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w w:val="90"/>
          <w:sz w:val="44"/>
          <w:szCs w:val="44"/>
          <w:lang w:val="en-US" w:eastAsia="zh-Hans"/>
        </w:rPr>
        <w:t>《怀柔区产业项目全要素综合评价办法</w:t>
      </w:r>
      <w:r>
        <w:rPr>
          <w:rFonts w:hint="eastAsia" w:ascii="方正小标宋_GBK" w:hAnsi="方正小标宋_GBK" w:eastAsia="方正小标宋_GBK" w:cs="方正小标宋_GBK"/>
          <w:w w:val="90"/>
          <w:sz w:val="44"/>
          <w:szCs w:val="44"/>
          <w:lang w:val="en-US" w:eastAsia="zh-CN"/>
        </w:rPr>
        <w:t>（试行）</w:t>
      </w:r>
      <w:r>
        <w:rPr>
          <w:rFonts w:hint="eastAsia" w:ascii="方正小标宋_GBK" w:hAnsi="方正小标宋_GBK" w:eastAsia="方正小标宋_GBK" w:cs="方正小标宋_GBK"/>
          <w:sz w:val="44"/>
          <w:szCs w:val="44"/>
          <w:lang w:val="en-US" w:eastAsia="zh-Hans"/>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val="en-US" w:eastAsia="zh-Hans"/>
        </w:rPr>
        <w:t>）</w:t>
      </w:r>
      <w:bookmarkStart w:id="0" w:name="_GoBack"/>
      <w:bookmarkEnd w:id="0"/>
      <w:r>
        <w:rPr>
          <w:rFonts w:hint="eastAsia" w:ascii="方正小标宋_GBK" w:hAnsi="方正小标宋_GBK" w:eastAsia="方正小标宋_GBK" w:cs="方正小标宋_GBK"/>
          <w:w w:val="90"/>
          <w:sz w:val="44"/>
          <w:szCs w:val="44"/>
          <w:lang w:val="en-US" w:eastAsia="zh-Hans"/>
        </w:rPr>
        <w:t>》</w:t>
      </w:r>
      <w:r>
        <w:rPr>
          <w:rFonts w:hint="eastAsia" w:ascii="方正小标宋_GBK" w:hAnsi="方正小标宋_GBK" w:eastAsia="方正小标宋_GBK" w:cs="方正小标宋_GBK"/>
          <w:sz w:val="44"/>
          <w:szCs w:val="44"/>
        </w:rPr>
        <w:t>的起草说明</w:t>
      </w: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jc w:val="both"/>
        <w:outlineLvl w:val="9"/>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ascii="黑体" w:eastAsia="黑体"/>
          <w:sz w:val="32"/>
          <w:szCs w:val="32"/>
        </w:rPr>
      </w:pPr>
      <w:r>
        <w:rPr>
          <w:rFonts w:ascii="黑体" w:eastAsia="黑体"/>
          <w:sz w:val="32"/>
          <w:szCs w:val="32"/>
        </w:rPr>
        <w:t>一、制定的依据及必要性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center"/>
        <w:outlineLvl w:val="9"/>
        <w:rPr>
          <w:rFonts w:hint="eastAsia" w:ascii="仿宋_GB2312" w:hAnsi="仿宋" w:eastAsia="仿宋_GB2312" w:cs="仿宋"/>
          <w:sz w:val="32"/>
          <w:szCs w:val="32"/>
          <w:highlight w:val="yellow"/>
          <w:lang w:val="en-US" w:eastAsia="zh-Hans"/>
        </w:rPr>
      </w:pPr>
      <w:r>
        <w:rPr>
          <w:rFonts w:hint="eastAsia" w:ascii="仿宋_GB2312" w:hAnsi="仿宋" w:eastAsia="仿宋_GB2312" w:cs="仿宋"/>
          <w:sz w:val="32"/>
          <w:szCs w:val="32"/>
          <w:lang w:val="en-US" w:eastAsia="zh-Hans"/>
        </w:rPr>
        <w:t>依据《北京市怀柔区人民政府关于落实&lt;北京市人民政府关于加快科技创新构建高精尖经济结构用地政策的意见（试行）&gt;的试点实施方案》等文件要求，区经济和信息化局牵头起草了《怀柔区产业项目全要素综合评价办法（试行）》，科学配置土地资源，构建高精尖经济结构、推动我区经济高质量发展。</w:t>
      </w:r>
    </w:p>
    <w:p>
      <w:pPr>
        <w:pStyle w:val="2"/>
        <w:keepNext w:val="0"/>
        <w:keepLines w:val="0"/>
        <w:pageBreakBefore w:val="0"/>
        <w:kinsoku/>
        <w:overflowPunct/>
        <w:topLinePunct w:val="0"/>
        <w:autoSpaceDN/>
        <w:bidi w:val="0"/>
        <w:adjustRightInd/>
        <w:snapToGrid/>
        <w:spacing w:line="560" w:lineRule="exact"/>
        <w:ind w:left="0" w:leftChars="0" w:firstLine="640" w:firstLineChars="200"/>
        <w:jc w:val="both"/>
        <w:rPr>
          <w:rFonts w:hint="eastAsia" w:ascii="黑体" w:hAnsi="黑体" w:eastAsia="黑体" w:cs="方正小标宋简体"/>
          <w:b w:val="0"/>
          <w:bCs/>
          <w:i w:val="0"/>
          <w:iCs w:val="0"/>
          <w:sz w:val="32"/>
          <w:szCs w:val="32"/>
          <w:lang w:bidi="ar"/>
        </w:rPr>
      </w:pPr>
      <w:r>
        <w:rPr>
          <w:rFonts w:hint="eastAsia" w:ascii="黑体" w:hAnsi="黑体" w:eastAsia="黑体" w:cs="方正小标宋简体"/>
          <w:b w:val="0"/>
          <w:bCs/>
          <w:i w:val="0"/>
          <w:iCs w:val="0"/>
          <w:sz w:val="32"/>
          <w:szCs w:val="32"/>
          <w:lang w:bidi="ar"/>
        </w:rPr>
        <w:t>二、</w:t>
      </w:r>
      <w:r>
        <w:rPr>
          <w:rFonts w:hint="eastAsia" w:ascii="黑体" w:hAnsi="黑体" w:eastAsia="黑体" w:cs="黑体"/>
          <w:b w:val="0"/>
          <w:bCs/>
          <w:i w:val="0"/>
          <w:iCs w:val="0"/>
          <w:sz w:val="32"/>
          <w:szCs w:val="32"/>
          <w:lang w:eastAsia="zh-Hans"/>
        </w:rPr>
        <w:t>主要内容</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ascii="CESI仿宋-GB2312" w:hAnsi="CESI仿宋-GB2312" w:eastAsia="CESI仿宋-GB2312" w:cs="CESI仿宋-GB2312"/>
          <w:sz w:val="36"/>
          <w:szCs w:val="36"/>
          <w:lang w:eastAsia="zh-CN"/>
        </w:rPr>
      </w:pPr>
      <w:r>
        <w:rPr>
          <w:rFonts w:hint="eastAsia" w:ascii="仿宋_GB2312" w:hAnsi="仿宋" w:eastAsia="仿宋_GB2312" w:cs="仿宋"/>
          <w:sz w:val="32"/>
          <w:szCs w:val="32"/>
          <w:lang w:eastAsia="zh-Hans"/>
        </w:rPr>
        <w:t>《全要素评价办法》分为总则、适用范围、入区条件和评价标准、评价组织、附则</w:t>
      </w:r>
      <w:r>
        <w:rPr>
          <w:rFonts w:ascii="仿宋_GB2312" w:hAnsi="仿宋" w:eastAsia="仿宋_GB2312" w:cs="仿宋"/>
          <w:sz w:val="32"/>
          <w:szCs w:val="32"/>
          <w:lang w:eastAsia="zh-Hans"/>
        </w:rPr>
        <w:t>5</w:t>
      </w:r>
      <w:r>
        <w:rPr>
          <w:rFonts w:hint="eastAsia" w:ascii="仿宋_GB2312" w:hAnsi="仿宋" w:eastAsia="仿宋_GB2312" w:cs="仿宋"/>
          <w:sz w:val="32"/>
          <w:szCs w:val="32"/>
          <w:lang w:eastAsia="zh-Hans"/>
        </w:rPr>
        <w:t>个部分。以</w:t>
      </w:r>
      <w:r>
        <w:rPr>
          <w:rFonts w:hint="eastAsia" w:ascii="仿宋_GB2312" w:eastAsia="仿宋_GB2312"/>
          <w:sz w:val="32"/>
          <w:szCs w:val="44"/>
          <w:highlight w:val="none"/>
        </w:rPr>
        <w:t>高端仪器装备和传感器、</w:t>
      </w:r>
      <w:r>
        <w:rPr>
          <w:rFonts w:hint="eastAsia" w:ascii="仿宋_GB2312" w:eastAsia="仿宋_GB2312"/>
          <w:sz w:val="32"/>
          <w:szCs w:val="44"/>
          <w:highlight w:val="none"/>
          <w:lang w:val="en-US" w:eastAsia="zh-CN"/>
        </w:rPr>
        <w:t>高端制造业</w:t>
      </w:r>
      <w:r>
        <w:rPr>
          <w:rFonts w:hint="eastAsia" w:ascii="仿宋_GB2312" w:eastAsia="仿宋_GB2312"/>
          <w:sz w:val="32"/>
          <w:szCs w:val="44"/>
          <w:highlight w:val="none"/>
        </w:rPr>
        <w:t>、</w:t>
      </w:r>
      <w:r>
        <w:rPr>
          <w:rFonts w:hint="eastAsia" w:ascii="仿宋_GB2312" w:eastAsia="仿宋_GB2312"/>
          <w:sz w:val="32"/>
          <w:szCs w:val="44"/>
          <w:highlight w:val="none"/>
          <w:lang w:val="en-US" w:eastAsia="zh-CN"/>
        </w:rPr>
        <w:t>生命科学</w:t>
      </w:r>
      <w:r>
        <w:rPr>
          <w:rFonts w:hint="eastAsia" w:ascii="仿宋_GB2312" w:eastAsia="仿宋_GB2312"/>
          <w:sz w:val="32"/>
          <w:szCs w:val="44"/>
          <w:highlight w:val="none"/>
        </w:rPr>
        <w:t>、新材料新能源、都市</w:t>
      </w:r>
      <w:r>
        <w:rPr>
          <w:rFonts w:hint="eastAsia" w:ascii="仿宋_GB2312" w:eastAsia="仿宋_GB2312"/>
          <w:sz w:val="32"/>
          <w:szCs w:val="44"/>
          <w:highlight w:val="none"/>
          <w:lang w:val="en-US" w:eastAsia="zh-CN"/>
        </w:rPr>
        <w:t>工业、</w:t>
      </w:r>
      <w:r>
        <w:rPr>
          <w:rFonts w:hint="eastAsia" w:ascii="仿宋_GB2312" w:eastAsia="仿宋_GB2312"/>
          <w:sz w:val="32"/>
          <w:szCs w:val="44"/>
          <w:highlight w:val="none"/>
        </w:rPr>
        <w:t>科技服务</w:t>
      </w:r>
      <w:r>
        <w:rPr>
          <w:rFonts w:hint="eastAsia" w:ascii="仿宋_GB2312" w:eastAsia="仿宋_GB2312"/>
          <w:sz w:val="32"/>
          <w:szCs w:val="44"/>
          <w:highlight w:val="none"/>
          <w:lang w:val="en-US" w:eastAsia="zh-CN"/>
        </w:rPr>
        <w:t>以及</w:t>
      </w:r>
      <w:r>
        <w:rPr>
          <w:rFonts w:hint="eastAsia" w:ascii="仿宋_GB2312" w:eastAsia="仿宋_GB2312"/>
          <w:sz w:val="32"/>
          <w:szCs w:val="44"/>
          <w:highlight w:val="none"/>
        </w:rPr>
        <w:t>硬科技孵化器（加速器</w:t>
      </w:r>
      <w:r>
        <w:rPr>
          <w:rFonts w:hint="eastAsia" w:ascii="仿宋_GB2312" w:eastAsia="仿宋_GB2312"/>
          <w:sz w:val="32"/>
          <w:szCs w:val="44"/>
          <w:highlight w:val="none"/>
          <w:lang w:eastAsia="zh-CN"/>
        </w:rPr>
        <w:t>）</w:t>
      </w:r>
      <w:r>
        <w:rPr>
          <w:rFonts w:hint="eastAsia" w:ascii="仿宋_GB2312" w:hAnsi="仿宋" w:eastAsia="仿宋_GB2312" w:cs="仿宋"/>
          <w:sz w:val="32"/>
          <w:szCs w:val="32"/>
          <w:lang w:eastAsia="zh-Hans"/>
        </w:rPr>
        <w:t>等领域为重点，遵循创新引领、绿色集约，坚持提质增效、组团聚集的产业定位，</w:t>
      </w:r>
      <w:r>
        <w:rPr>
          <w:rFonts w:hint="eastAsia" w:ascii="仿宋_GB2312" w:hAnsi="仿宋_GB2312" w:eastAsia="仿宋_GB2312" w:cs="仿宋_GB2312"/>
          <w:sz w:val="32"/>
          <w:szCs w:val="32"/>
        </w:rPr>
        <w:t>采</w:t>
      </w:r>
      <w:r>
        <w:rPr>
          <w:rFonts w:hint="eastAsia" w:ascii="仿宋_GB2312" w:hAnsi="仿宋_GB2312" w:eastAsia="仿宋_GB2312" w:cs="仿宋_GB2312"/>
          <w:sz w:val="32"/>
          <w:szCs w:val="32"/>
          <w:highlight w:val="none"/>
        </w:rPr>
        <w:t>用“会商”</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专题研究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rPr>
        <w:t>形式</w:t>
      </w:r>
      <w:r>
        <w:rPr>
          <w:rFonts w:hint="eastAsia" w:ascii="仿宋_GB2312" w:hAnsi="仿宋" w:eastAsia="仿宋_GB2312" w:cs="仿宋"/>
          <w:sz w:val="32"/>
          <w:szCs w:val="32"/>
          <w:lang w:eastAsia="zh-Hans"/>
        </w:rPr>
        <w:t>进行综合评价</w:t>
      </w:r>
      <w:r>
        <w:rPr>
          <w:rFonts w:hint="eastAsia" w:ascii="仿宋_GB2312" w:hAnsi="仿宋" w:eastAsia="仿宋_GB2312" w:cs="仿宋"/>
          <w:sz w:val="32"/>
          <w:szCs w:val="32"/>
          <w:lang w:eastAsia="zh-CN"/>
        </w:rPr>
        <w:t>，为打造区域“高精尖”产业集聚奠定基础，</w:t>
      </w:r>
      <w:r>
        <w:rPr>
          <w:rFonts w:hint="eastAsia" w:ascii="仿宋_GB2312" w:hAnsi="宋体" w:eastAsia="仿宋_GB2312"/>
          <w:color w:val="000000"/>
          <w:sz w:val="32"/>
          <w:szCs w:val="32"/>
        </w:rPr>
        <w:t>进一步提升项目质量，避免低效、耗能、污染和重复建设，使土地资源得到集约高效利用</w:t>
      </w:r>
      <w:r>
        <w:rPr>
          <w:rFonts w:hint="eastAsia" w:ascii="仿宋_GB2312" w:hAnsi="宋体" w:eastAsia="仿宋_GB2312"/>
          <w:color w:val="000000"/>
          <w:sz w:val="32"/>
          <w:szCs w:val="32"/>
          <w:lang w:eastAsia="zh-CN"/>
        </w:rPr>
        <w:t>，</w:t>
      </w:r>
      <w:r>
        <w:rPr>
          <w:rFonts w:hint="eastAsia" w:ascii="仿宋_GB2312" w:hAnsi="仿宋" w:eastAsia="仿宋_GB2312" w:cs="仿宋"/>
          <w:sz w:val="32"/>
          <w:szCs w:val="32"/>
          <w:lang w:eastAsia="zh-CN"/>
        </w:rPr>
        <w:t>各相关职能部门提前会商形成工作合力，为企业办理相关手续纳入绿色通道，加快项目落地</w:t>
      </w:r>
      <w:r>
        <w:rPr>
          <w:rFonts w:hint="eastAsia" w:ascii="仿宋_GB2312" w:hAnsi="仿宋" w:eastAsia="仿宋_GB2312" w:cs="仿宋"/>
          <w:sz w:val="32"/>
          <w:szCs w:val="32"/>
          <w:lang w:eastAsia="zh-Hans"/>
        </w:rPr>
        <w:t>。</w:t>
      </w:r>
    </w:p>
    <w:p>
      <w:pPr>
        <w:keepNext w:val="0"/>
        <w:keepLines w:val="0"/>
        <w:pageBreakBefore w:val="0"/>
        <w:kinsoku/>
        <w:overflowPunct/>
        <w:topLinePunct w:val="0"/>
        <w:autoSpaceDN/>
        <w:bidi w:val="0"/>
        <w:adjustRightInd/>
        <w:snapToGrid/>
        <w:spacing w:line="560" w:lineRule="exact"/>
        <w:ind w:left="0" w:leftChars="0" w:firstLine="640" w:firstLineChars="200"/>
        <w:jc w:val="both"/>
        <w:rPr>
          <w:rFonts w:ascii="仿宋_GB2312" w:hAnsi="宋体" w:eastAsia="仿宋_GB2312"/>
          <w:sz w:val="32"/>
          <w:szCs w:val="44"/>
        </w:rPr>
      </w:pPr>
      <w:r>
        <w:rPr>
          <w:rFonts w:hint="eastAsia" w:ascii="仿宋_GB2312" w:hAnsi="宋体" w:eastAsia="仿宋_GB2312"/>
          <w:sz w:val="32"/>
          <w:szCs w:val="44"/>
        </w:rPr>
        <w:t>第一部分，总则。主要对评价办法的制定背景、评价类型、</w:t>
      </w:r>
      <w:r>
        <w:rPr>
          <w:rFonts w:hint="eastAsia" w:ascii="仿宋_GB2312" w:hAnsi="宋体" w:eastAsia="仿宋_GB2312"/>
          <w:sz w:val="32"/>
          <w:szCs w:val="44"/>
          <w:lang w:eastAsia="zh-CN"/>
        </w:rPr>
        <w:t>基本</w:t>
      </w:r>
      <w:r>
        <w:rPr>
          <w:rFonts w:hint="eastAsia" w:ascii="仿宋_GB2312" w:hAnsi="宋体" w:eastAsia="仿宋_GB2312"/>
          <w:sz w:val="32"/>
          <w:szCs w:val="44"/>
        </w:rPr>
        <w:t>原则</w:t>
      </w:r>
      <w:r>
        <w:rPr>
          <w:rFonts w:hint="eastAsia" w:ascii="仿宋_GB2312" w:hAnsi="宋体" w:eastAsia="仿宋_GB2312"/>
          <w:sz w:val="32"/>
          <w:szCs w:val="44"/>
          <w:lang w:eastAsia="zh-CN"/>
        </w:rPr>
        <w:t>和</w:t>
      </w:r>
      <w:r>
        <w:rPr>
          <w:rFonts w:hint="eastAsia" w:ascii="仿宋_GB2312" w:hAnsi="宋体" w:eastAsia="仿宋_GB2312"/>
          <w:sz w:val="32"/>
          <w:szCs w:val="44"/>
        </w:rPr>
        <w:t>重点支持</w:t>
      </w:r>
      <w:r>
        <w:rPr>
          <w:rFonts w:hint="eastAsia" w:ascii="仿宋_GB2312" w:hAnsi="宋体" w:eastAsia="仿宋_GB2312"/>
          <w:sz w:val="32"/>
          <w:szCs w:val="44"/>
          <w:lang w:eastAsia="zh-CN"/>
        </w:rPr>
        <w:t>方向</w:t>
      </w:r>
      <w:r>
        <w:rPr>
          <w:rFonts w:hint="eastAsia" w:ascii="仿宋_GB2312" w:hAnsi="宋体" w:eastAsia="仿宋_GB2312"/>
          <w:sz w:val="32"/>
          <w:szCs w:val="44"/>
        </w:rPr>
        <w:t>，进行深化。</w:t>
      </w:r>
    </w:p>
    <w:p>
      <w:pPr>
        <w:keepNext w:val="0"/>
        <w:keepLines w:val="0"/>
        <w:pageBreakBefore w:val="0"/>
        <w:kinsoku/>
        <w:overflowPunct/>
        <w:topLinePunct w:val="0"/>
        <w:autoSpaceDN/>
        <w:bidi w:val="0"/>
        <w:adjustRightInd/>
        <w:snapToGrid/>
        <w:spacing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44"/>
        </w:rPr>
        <w:t>第二部分，适用范围。明确本办法适用于符合市区两级产业定位的产业项目。按照占地类、租赁类进行项目分类</w:t>
      </w:r>
      <w:r>
        <w:rPr>
          <w:rFonts w:hint="eastAsia" w:ascii="仿宋_GB2312" w:hAnsi="宋体" w:eastAsia="仿宋_GB2312"/>
          <w:sz w:val="32"/>
          <w:szCs w:val="32"/>
        </w:rPr>
        <w:t>。</w:t>
      </w:r>
    </w:p>
    <w:p>
      <w:pPr>
        <w:pStyle w:val="6"/>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hAnsi="宋体" w:eastAsia="仿宋_GB2312"/>
          <w:sz w:val="32"/>
          <w:szCs w:val="44"/>
        </w:rPr>
      </w:pPr>
      <w:r>
        <w:rPr>
          <w:rFonts w:hint="eastAsia" w:ascii="仿宋_GB2312" w:hAnsi="宋体" w:eastAsia="仿宋_GB2312"/>
          <w:sz w:val="32"/>
          <w:szCs w:val="44"/>
        </w:rPr>
        <w:t>第三部分，入区条件和</w:t>
      </w:r>
      <w:r>
        <w:rPr>
          <w:rFonts w:hint="eastAsia" w:ascii="仿宋_GB2312" w:hAnsi="宋体" w:eastAsia="仿宋_GB2312"/>
          <w:sz w:val="32"/>
          <w:szCs w:val="44"/>
          <w:lang w:eastAsia="zh-CN"/>
        </w:rPr>
        <w:t>评价</w:t>
      </w:r>
      <w:r>
        <w:rPr>
          <w:rFonts w:hint="eastAsia" w:ascii="仿宋_GB2312" w:hAnsi="宋体" w:eastAsia="仿宋_GB2312"/>
          <w:sz w:val="32"/>
          <w:szCs w:val="44"/>
        </w:rPr>
        <w:t>标准。针对不同类型的项目，制定相应条件和标准。</w:t>
      </w:r>
      <w:r>
        <w:rPr>
          <w:rFonts w:hint="eastAsia" w:ascii="仿宋_GB2312" w:hAnsi="宋体" w:eastAsia="仿宋_GB2312"/>
          <w:b w:val="0"/>
          <w:bCs w:val="0"/>
          <w:sz w:val="32"/>
          <w:szCs w:val="44"/>
        </w:rPr>
        <w:t>占地类关键指标包括：</w:t>
      </w:r>
      <w:r>
        <w:rPr>
          <w:rFonts w:hint="eastAsia" w:ascii="仿宋_GB2312" w:hAnsi="仿宋_GB2312" w:eastAsia="仿宋_GB2312" w:cs="仿宋_GB2312"/>
          <w:b w:val="0"/>
          <w:bCs w:val="0"/>
          <w:sz w:val="32"/>
          <w:szCs w:val="32"/>
          <w:highlight w:val="none"/>
          <w:shd w:val="clear" w:color="auto" w:fill="FFFFFF"/>
        </w:rPr>
        <w:t>投资强度不低于</w:t>
      </w:r>
      <w:r>
        <w:rPr>
          <w:rFonts w:ascii="仿宋_GB2312" w:hAnsi="仿宋_GB2312" w:eastAsia="仿宋_GB2312" w:cs="仿宋_GB2312"/>
          <w:b w:val="0"/>
          <w:bCs w:val="0"/>
          <w:sz w:val="32"/>
          <w:szCs w:val="32"/>
          <w:highlight w:val="none"/>
          <w:shd w:val="clear" w:color="auto" w:fill="FFFFFF"/>
        </w:rPr>
        <w:t>1</w:t>
      </w:r>
      <w:r>
        <w:rPr>
          <w:rFonts w:hint="eastAsia" w:ascii="仿宋_GB2312" w:hAnsi="仿宋_GB2312" w:eastAsia="仿宋_GB2312" w:cs="仿宋_GB2312"/>
          <w:b w:val="0"/>
          <w:bCs w:val="0"/>
          <w:sz w:val="32"/>
          <w:szCs w:val="32"/>
          <w:highlight w:val="none"/>
          <w:shd w:val="clear" w:color="auto" w:fill="FFFFFF"/>
        </w:rPr>
        <w:t>亿元</w:t>
      </w:r>
      <w:r>
        <w:rPr>
          <w:rFonts w:ascii="仿宋_GB2312" w:hAnsi="仿宋_GB2312" w:eastAsia="仿宋_GB2312" w:cs="仿宋_GB2312"/>
          <w:b w:val="0"/>
          <w:bCs w:val="0"/>
          <w:sz w:val="32"/>
          <w:szCs w:val="32"/>
          <w:highlight w:val="none"/>
          <w:shd w:val="clear" w:color="auto" w:fill="FFFFFF"/>
        </w:rPr>
        <w:t>/万平方米</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rPr>
        <w:t>年产值或营业收入不</w:t>
      </w:r>
      <w:r>
        <w:rPr>
          <w:rFonts w:hint="eastAsia" w:ascii="仿宋_GB2312" w:eastAsia="仿宋_GB2312"/>
          <w:b w:val="0"/>
          <w:bCs w:val="0"/>
          <w:sz w:val="32"/>
          <w:szCs w:val="44"/>
          <w:highlight w:val="none"/>
        </w:rPr>
        <w:t>低于</w:t>
      </w:r>
      <w:r>
        <w:rPr>
          <w:rFonts w:hint="eastAsia" w:ascii="仿宋_GB2312" w:hAnsi="仿宋_GB2312" w:eastAsia="仿宋_GB2312" w:cs="仿宋_GB2312"/>
          <w:b w:val="0"/>
          <w:bCs w:val="0"/>
          <w:sz w:val="32"/>
          <w:szCs w:val="32"/>
          <w:highlight w:val="none"/>
          <w:shd w:val="clear" w:color="auto" w:fill="FFFFFF"/>
        </w:rPr>
        <w:t>2亿元</w:t>
      </w:r>
      <w:r>
        <w:rPr>
          <w:rFonts w:ascii="仿宋_GB2312" w:hAnsi="仿宋_GB2312" w:eastAsia="仿宋_GB2312" w:cs="仿宋_GB2312"/>
          <w:b w:val="0"/>
          <w:bCs w:val="0"/>
          <w:sz w:val="32"/>
          <w:szCs w:val="32"/>
          <w:highlight w:val="none"/>
          <w:shd w:val="clear" w:color="auto" w:fill="FFFFFF"/>
        </w:rPr>
        <w:t>/万平方米</w:t>
      </w:r>
      <w:r>
        <w:rPr>
          <w:rFonts w:hint="eastAsia" w:ascii="仿宋_GB2312" w:eastAsia="仿宋_GB2312"/>
          <w:b w:val="0"/>
          <w:bCs w:val="0"/>
          <w:sz w:val="32"/>
          <w:szCs w:val="44"/>
          <w:highlight w:val="none"/>
          <w:lang w:eastAsia="zh-CN"/>
        </w:rPr>
        <w:t>、</w:t>
      </w:r>
      <w:r>
        <w:rPr>
          <w:rFonts w:hint="eastAsia" w:ascii="仿宋_GB2312" w:hAnsi="仿宋_GB2312" w:eastAsia="仿宋_GB2312" w:cs="仿宋_GB2312"/>
          <w:b w:val="0"/>
          <w:bCs w:val="0"/>
          <w:sz w:val="32"/>
          <w:szCs w:val="32"/>
          <w:highlight w:val="none"/>
          <w:shd w:val="clear" w:color="auto" w:fill="FFFFFF"/>
        </w:rPr>
        <w:t>年纳税总额不低于15</w:t>
      </w:r>
      <w:r>
        <w:rPr>
          <w:rFonts w:ascii="仿宋_GB2312" w:hAnsi="仿宋_GB2312" w:eastAsia="仿宋_GB2312" w:cs="仿宋_GB2312"/>
          <w:b w:val="0"/>
          <w:bCs w:val="0"/>
          <w:sz w:val="32"/>
          <w:szCs w:val="32"/>
          <w:highlight w:val="none"/>
          <w:shd w:val="clear" w:color="auto" w:fill="FFFFFF"/>
        </w:rPr>
        <w:t>00</w:t>
      </w:r>
      <w:r>
        <w:rPr>
          <w:rFonts w:hint="eastAsia" w:ascii="仿宋_GB2312" w:hAnsi="仿宋_GB2312" w:eastAsia="仿宋_GB2312" w:cs="仿宋_GB2312"/>
          <w:b w:val="0"/>
          <w:bCs w:val="0"/>
          <w:sz w:val="32"/>
          <w:szCs w:val="32"/>
          <w:highlight w:val="none"/>
          <w:shd w:val="clear" w:color="auto" w:fill="FFFFFF"/>
        </w:rPr>
        <w:t>万元</w:t>
      </w:r>
      <w:r>
        <w:rPr>
          <w:rFonts w:ascii="仿宋_GB2312" w:hAnsi="仿宋_GB2312" w:eastAsia="仿宋_GB2312" w:cs="仿宋_GB2312"/>
          <w:b w:val="0"/>
          <w:bCs w:val="0"/>
          <w:sz w:val="32"/>
          <w:szCs w:val="32"/>
          <w:highlight w:val="none"/>
          <w:shd w:val="clear" w:color="auto" w:fill="FFFFFF"/>
        </w:rPr>
        <w:t>/万平方米</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rPr>
        <w:t>年研发投入占产值（</w:t>
      </w:r>
      <w:r>
        <w:rPr>
          <w:rFonts w:hint="eastAsia" w:ascii="仿宋_GB2312" w:hAnsi="仿宋_GB2312" w:eastAsia="仿宋_GB2312" w:cs="仿宋_GB2312"/>
          <w:b w:val="0"/>
          <w:bCs w:val="0"/>
          <w:sz w:val="32"/>
          <w:szCs w:val="32"/>
          <w:highlight w:val="none"/>
          <w:shd w:val="clear" w:color="auto" w:fill="FFFFFF"/>
          <w:lang w:eastAsia="zh-CN"/>
        </w:rPr>
        <w:t>营业</w:t>
      </w:r>
      <w:r>
        <w:rPr>
          <w:rFonts w:hint="eastAsia" w:ascii="仿宋_GB2312" w:hAnsi="仿宋_GB2312" w:eastAsia="仿宋_GB2312" w:cs="仿宋_GB2312"/>
          <w:b w:val="0"/>
          <w:bCs w:val="0"/>
          <w:sz w:val="32"/>
          <w:szCs w:val="32"/>
          <w:highlight w:val="none"/>
          <w:shd w:val="clear" w:color="auto" w:fill="FFFFFF"/>
        </w:rPr>
        <w:t>收入）比例不少于3%</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eastAsia="仿宋_GB2312"/>
          <w:b w:val="0"/>
          <w:bCs w:val="0"/>
          <w:sz w:val="32"/>
          <w:szCs w:val="32"/>
          <w:highlight w:val="none"/>
          <w:lang w:eastAsia="zh-CN"/>
        </w:rPr>
        <w:t>对符合怀柔综合性国家科学中心战略定位的产业项目，满足其中两条即可</w:t>
      </w:r>
      <w:r>
        <w:rPr>
          <w:rFonts w:hint="eastAsia" w:ascii="仿宋_GB2312" w:hAnsi="仿宋_GB2312" w:eastAsia="仿宋_GB2312" w:cs="仿宋_GB2312"/>
          <w:b w:val="0"/>
          <w:bCs w:val="0"/>
          <w:sz w:val="32"/>
          <w:szCs w:val="32"/>
          <w:highlight w:val="none"/>
          <w:shd w:val="clear" w:color="auto" w:fill="FFFFFF"/>
        </w:rPr>
        <w:t>。</w:t>
      </w:r>
      <w:r>
        <w:rPr>
          <w:rFonts w:hint="eastAsia" w:ascii="仿宋_GB2312" w:hAnsi="仿宋_GB2312" w:eastAsia="仿宋_GB2312" w:cs="仿宋_GB2312"/>
          <w:b w:val="0"/>
          <w:bCs w:val="0"/>
          <w:sz w:val="32"/>
          <w:szCs w:val="32"/>
          <w:highlight w:val="none"/>
          <w:shd w:val="clear" w:color="auto" w:fill="FFFFFF"/>
          <w:lang w:eastAsia="zh-CN"/>
        </w:rPr>
        <w:t>对</w:t>
      </w:r>
      <w:r>
        <w:rPr>
          <w:rFonts w:hint="eastAsia" w:ascii="仿宋_GB2312" w:hAnsi="宋体" w:eastAsia="仿宋_GB2312"/>
          <w:b w:val="0"/>
          <w:bCs w:val="0"/>
          <w:sz w:val="32"/>
          <w:szCs w:val="44"/>
        </w:rPr>
        <w:t>租赁</w:t>
      </w:r>
      <w:r>
        <w:rPr>
          <w:rFonts w:hint="eastAsia" w:ascii="仿宋_GB2312" w:hAnsi="宋体" w:eastAsia="仿宋_GB2312"/>
          <w:b w:val="0"/>
          <w:bCs w:val="0"/>
          <w:sz w:val="32"/>
          <w:szCs w:val="44"/>
          <w:lang w:val="en-US" w:eastAsia="zh-CN"/>
        </w:rPr>
        <w:t>1000平米以上的</w:t>
      </w:r>
      <w:r>
        <w:rPr>
          <w:rFonts w:hint="eastAsia" w:ascii="仿宋_GB2312" w:hAnsi="宋体" w:eastAsia="仿宋_GB2312"/>
          <w:b w:val="0"/>
          <w:bCs w:val="0"/>
          <w:sz w:val="32"/>
          <w:szCs w:val="44"/>
        </w:rPr>
        <w:t>项目</w:t>
      </w:r>
      <w:r>
        <w:rPr>
          <w:rFonts w:hint="eastAsia" w:ascii="仿宋_GB2312" w:hAnsi="宋体" w:eastAsia="仿宋_GB2312"/>
          <w:sz w:val="32"/>
          <w:szCs w:val="44"/>
        </w:rPr>
        <w:t>，</w:t>
      </w:r>
      <w:r>
        <w:rPr>
          <w:rFonts w:hint="eastAsia" w:ascii="仿宋_GB2312" w:hAnsi="宋体" w:eastAsia="仿宋_GB2312"/>
          <w:sz w:val="32"/>
          <w:szCs w:val="44"/>
          <w:lang w:eastAsia="zh-CN"/>
        </w:rPr>
        <w:t>明确</w:t>
      </w:r>
      <w:r>
        <w:rPr>
          <w:rFonts w:hint="eastAsia" w:ascii="仿宋_GB2312" w:hAnsi="仿宋_GB2312" w:eastAsia="仿宋_GB2312" w:cs="仿宋_GB2312"/>
          <w:sz w:val="32"/>
          <w:szCs w:val="32"/>
          <w:highlight w:val="none"/>
          <w:shd w:val="clear" w:color="auto" w:fill="FFFFFF"/>
        </w:rPr>
        <w:t>投资强度不低于</w:t>
      </w:r>
      <w:r>
        <w:rPr>
          <w:rFonts w:hint="eastAsia" w:ascii="仿宋_GB2312" w:hAnsi="仿宋_GB2312" w:eastAsia="仿宋_GB2312" w:cs="仿宋_GB2312"/>
          <w:sz w:val="32"/>
          <w:szCs w:val="32"/>
          <w:highlight w:val="none"/>
          <w:shd w:val="clear" w:color="auto" w:fill="FFFFFF"/>
          <w:lang w:val="en-US" w:eastAsia="zh-CN"/>
        </w:rPr>
        <w:t>2</w:t>
      </w:r>
      <w:r>
        <w:rPr>
          <w:rFonts w:hint="eastAsia" w:ascii="仿宋_GB2312" w:hAnsi="仿宋_GB2312" w:eastAsia="仿宋_GB2312" w:cs="仿宋_GB2312"/>
          <w:sz w:val="32"/>
          <w:szCs w:val="32"/>
          <w:highlight w:val="none"/>
          <w:shd w:val="clear" w:color="auto" w:fill="FFFFFF"/>
        </w:rPr>
        <w:t>000万元/万平方米</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年产值或营业收入不低于</w:t>
      </w:r>
      <w:r>
        <w:rPr>
          <w:rFonts w:hint="eastAsia" w:ascii="仿宋_GB2312" w:hAnsi="仿宋_GB2312" w:eastAsia="仿宋_GB2312" w:cs="仿宋_GB2312"/>
          <w:b w:val="0"/>
          <w:bCs w:val="0"/>
          <w:sz w:val="32"/>
          <w:szCs w:val="32"/>
          <w:highlight w:val="none"/>
          <w:shd w:val="clear" w:color="auto" w:fill="FFFFFF"/>
          <w:lang w:val="en-US" w:eastAsia="zh-CN"/>
        </w:rPr>
        <w:t>5000</w:t>
      </w:r>
      <w:r>
        <w:rPr>
          <w:rFonts w:hint="eastAsia" w:ascii="仿宋_GB2312" w:hAnsi="仿宋_GB2312" w:eastAsia="仿宋_GB2312" w:cs="仿宋_GB2312"/>
          <w:b w:val="0"/>
          <w:bCs w:val="0"/>
          <w:sz w:val="32"/>
          <w:szCs w:val="32"/>
          <w:highlight w:val="none"/>
          <w:shd w:val="clear" w:color="auto" w:fill="FFFFFF"/>
          <w:lang w:eastAsia="zh-CN"/>
        </w:rPr>
        <w:t>万</w:t>
      </w:r>
      <w:r>
        <w:rPr>
          <w:rFonts w:hint="eastAsia" w:ascii="仿宋_GB2312" w:hAnsi="仿宋_GB2312" w:eastAsia="仿宋_GB2312" w:cs="仿宋_GB2312"/>
          <w:sz w:val="32"/>
          <w:szCs w:val="32"/>
          <w:highlight w:val="none"/>
          <w:shd w:val="clear" w:color="auto" w:fill="FFFFFF"/>
        </w:rPr>
        <w:t>元/万平方米</w:t>
      </w:r>
      <w:r>
        <w:rPr>
          <w:rFonts w:hint="eastAsia" w:ascii="仿宋_GB2312" w:eastAsia="仿宋_GB2312"/>
          <w:sz w:val="32"/>
          <w:szCs w:val="44"/>
          <w:highlight w:val="none"/>
          <w:lang w:eastAsia="zh-CN"/>
        </w:rPr>
        <w:t>、</w:t>
      </w:r>
      <w:r>
        <w:rPr>
          <w:rFonts w:hint="eastAsia" w:ascii="仿宋_GB2312" w:hAnsi="仿宋_GB2312" w:eastAsia="仿宋_GB2312" w:cs="仿宋_GB2312"/>
          <w:sz w:val="32"/>
          <w:szCs w:val="32"/>
          <w:highlight w:val="none"/>
          <w:shd w:val="clear" w:color="auto" w:fill="FFFFFF"/>
        </w:rPr>
        <w:t>年纳税总额不低于</w:t>
      </w:r>
      <w:r>
        <w:rPr>
          <w:rFonts w:hint="eastAsia" w:ascii="仿宋_GB2312" w:hAnsi="仿宋_GB2312" w:eastAsia="仿宋_GB2312" w:cs="仿宋_GB2312"/>
          <w:sz w:val="32"/>
          <w:szCs w:val="32"/>
          <w:highlight w:val="none"/>
          <w:shd w:val="clear" w:color="auto" w:fill="FFFFFF"/>
          <w:lang w:val="en-US" w:eastAsia="zh-CN"/>
        </w:rPr>
        <w:t>500</w:t>
      </w:r>
      <w:r>
        <w:rPr>
          <w:rFonts w:hint="eastAsia" w:ascii="仿宋_GB2312" w:hAnsi="仿宋_GB2312" w:eastAsia="仿宋_GB2312" w:cs="仿宋_GB2312"/>
          <w:sz w:val="32"/>
          <w:szCs w:val="32"/>
          <w:highlight w:val="none"/>
          <w:shd w:val="clear" w:color="auto" w:fill="FFFFFF"/>
        </w:rPr>
        <w:t>万元/万平方米</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年研发投入占产值（</w:t>
      </w:r>
      <w:r>
        <w:rPr>
          <w:rFonts w:hint="eastAsia" w:ascii="仿宋_GB2312" w:hAnsi="仿宋_GB2312" w:eastAsia="仿宋_GB2312" w:cs="仿宋_GB2312"/>
          <w:sz w:val="32"/>
          <w:szCs w:val="32"/>
          <w:highlight w:val="none"/>
          <w:shd w:val="clear" w:color="auto" w:fill="FFFFFF"/>
          <w:lang w:eastAsia="zh-CN"/>
        </w:rPr>
        <w:t>营业</w:t>
      </w:r>
      <w:r>
        <w:rPr>
          <w:rFonts w:hint="eastAsia" w:ascii="仿宋_GB2312" w:hAnsi="仿宋_GB2312" w:eastAsia="仿宋_GB2312" w:cs="仿宋_GB2312"/>
          <w:sz w:val="32"/>
          <w:szCs w:val="32"/>
          <w:highlight w:val="none"/>
          <w:shd w:val="clear" w:color="auto" w:fill="FFFFFF"/>
        </w:rPr>
        <w:t>收入）比例不少于3%</w:t>
      </w:r>
      <w:r>
        <w:rPr>
          <w:rFonts w:hint="eastAsia" w:ascii="仿宋_GB2312" w:hAnsi="仿宋_GB2312" w:eastAsia="仿宋_GB2312" w:cs="仿宋_GB2312"/>
          <w:sz w:val="32"/>
          <w:szCs w:val="32"/>
          <w:highlight w:val="none"/>
          <w:shd w:val="clear" w:color="auto" w:fill="FFFFFF"/>
          <w:lang w:eastAsia="zh-CN"/>
        </w:rPr>
        <w:t>，且满足其中两条即可</w:t>
      </w:r>
      <w:r>
        <w:rPr>
          <w:rFonts w:hint="eastAsia" w:ascii="仿宋_GB2312" w:hAnsi="仿宋_GB2312" w:eastAsia="仿宋_GB2312" w:cs="仿宋_GB2312"/>
          <w:sz w:val="32"/>
          <w:szCs w:val="32"/>
          <w:shd w:val="clear" w:color="auto" w:fill="FFFFFF"/>
        </w:rPr>
        <w:t>。</w:t>
      </w:r>
      <w:r>
        <w:rPr>
          <w:rFonts w:hint="eastAsia" w:ascii="仿宋_GB2312" w:hAnsi="宋体" w:eastAsia="仿宋_GB2312"/>
          <w:sz w:val="32"/>
          <w:szCs w:val="44"/>
        </w:rPr>
        <w:t>另外，本部分明确了项目优先准入和</w:t>
      </w:r>
      <w:r>
        <w:rPr>
          <w:rFonts w:hint="eastAsia" w:ascii="仿宋_GB2312" w:hAnsi="宋体" w:eastAsia="仿宋_GB2312"/>
          <w:sz w:val="32"/>
          <w:szCs w:val="44"/>
          <w:lang w:eastAsia="zh-CN"/>
        </w:rPr>
        <w:t>不予准入的项目情形</w:t>
      </w:r>
      <w:r>
        <w:rPr>
          <w:rFonts w:hint="eastAsia" w:ascii="仿宋_GB2312" w:hAnsi="宋体" w:eastAsia="仿宋_GB2312"/>
          <w:sz w:val="32"/>
          <w:szCs w:val="44"/>
        </w:rPr>
        <w:t>。</w:t>
      </w:r>
    </w:p>
    <w:p>
      <w:pPr>
        <w:keepNext w:val="0"/>
        <w:keepLines w:val="0"/>
        <w:pageBreakBefore w:val="0"/>
        <w:kinsoku/>
        <w:overflowPunct/>
        <w:topLinePunct w:val="0"/>
        <w:autoSpaceDN/>
        <w:bidi w:val="0"/>
        <w:adjustRightInd/>
        <w:snapToGrid/>
        <w:spacing w:line="560" w:lineRule="exact"/>
        <w:ind w:left="0" w:leftChars="0" w:firstLine="640" w:firstLineChars="200"/>
        <w:jc w:val="both"/>
        <w:rPr>
          <w:rFonts w:ascii="仿宋_GB2312" w:hAnsi="宋体" w:eastAsia="仿宋_GB2312"/>
          <w:sz w:val="32"/>
          <w:szCs w:val="44"/>
        </w:rPr>
      </w:pPr>
      <w:r>
        <w:rPr>
          <w:rFonts w:hint="eastAsia" w:ascii="仿宋_GB2312" w:hAnsi="宋体" w:eastAsia="仿宋_GB2312"/>
          <w:sz w:val="32"/>
          <w:szCs w:val="44"/>
        </w:rPr>
        <w:t>第四部分，评价组织。</w:t>
      </w:r>
      <w:r>
        <w:rPr>
          <w:rFonts w:hint="eastAsia" w:ascii="仿宋_GB2312" w:eastAsia="仿宋_GB2312"/>
          <w:strike w:val="0"/>
          <w:sz w:val="32"/>
          <w:szCs w:val="44"/>
          <w:highlight w:val="none"/>
          <w:lang w:val="en-US" w:eastAsia="zh-CN"/>
        </w:rPr>
        <w:t>建立协调会商机制，成立怀柔区产业项目全要素综合评价领导小组，办公室设在区经济和信息化局，负责统筹协调、执行和落实评价工作，办公室主任由区经济和信息化局局长兼任，成员单位</w:t>
      </w:r>
      <w:r>
        <w:rPr>
          <w:rFonts w:hint="eastAsia" w:ascii="仿宋_GB2312" w:eastAsia="仿宋_GB2312"/>
          <w:sz w:val="32"/>
          <w:szCs w:val="44"/>
          <w:highlight w:val="none"/>
          <w:lang w:val="en-US" w:eastAsia="zh-CN"/>
        </w:rPr>
        <w:t>由</w:t>
      </w:r>
      <w:r>
        <w:rPr>
          <w:rFonts w:ascii="仿宋_GB2312" w:eastAsia="仿宋_GB2312"/>
          <w:sz w:val="32"/>
          <w:szCs w:val="44"/>
          <w:highlight w:val="none"/>
        </w:rPr>
        <w:t>区</w:t>
      </w:r>
      <w:r>
        <w:rPr>
          <w:rFonts w:hint="eastAsia" w:ascii="仿宋_GB2312" w:eastAsia="仿宋_GB2312"/>
          <w:sz w:val="32"/>
          <w:szCs w:val="44"/>
          <w:highlight w:val="none"/>
        </w:rPr>
        <w:t>发展改革</w:t>
      </w:r>
      <w:r>
        <w:rPr>
          <w:rFonts w:ascii="仿宋_GB2312" w:eastAsia="仿宋_GB2312"/>
          <w:sz w:val="32"/>
          <w:szCs w:val="44"/>
          <w:highlight w:val="none"/>
        </w:rPr>
        <w:t>委</w:t>
      </w:r>
      <w:r>
        <w:rPr>
          <w:rFonts w:hint="eastAsia" w:ascii="仿宋_GB2312" w:eastAsia="仿宋_GB2312"/>
          <w:sz w:val="32"/>
          <w:szCs w:val="44"/>
          <w:highlight w:val="none"/>
        </w:rPr>
        <w:t>、区财政局、区规自分局、</w:t>
      </w:r>
      <w:r>
        <w:rPr>
          <w:rFonts w:ascii="仿宋_GB2312" w:eastAsia="仿宋_GB2312"/>
          <w:sz w:val="32"/>
          <w:szCs w:val="44"/>
          <w:highlight w:val="none"/>
        </w:rPr>
        <w:t>区</w:t>
      </w:r>
      <w:r>
        <w:rPr>
          <w:rFonts w:hint="eastAsia" w:ascii="仿宋_GB2312" w:eastAsia="仿宋_GB2312"/>
          <w:sz w:val="32"/>
          <w:szCs w:val="44"/>
          <w:highlight w:val="none"/>
        </w:rPr>
        <w:t>经济</w:t>
      </w:r>
      <w:r>
        <w:rPr>
          <w:rFonts w:hint="eastAsia" w:ascii="仿宋_GB2312" w:eastAsia="仿宋_GB2312"/>
          <w:sz w:val="32"/>
          <w:szCs w:val="44"/>
          <w:highlight w:val="none"/>
          <w:lang w:eastAsia="zh-Hans"/>
        </w:rPr>
        <w:t>和</w:t>
      </w:r>
      <w:r>
        <w:rPr>
          <w:rFonts w:hint="eastAsia" w:ascii="仿宋_GB2312" w:eastAsia="仿宋_GB2312"/>
          <w:sz w:val="32"/>
          <w:szCs w:val="44"/>
          <w:highlight w:val="none"/>
        </w:rPr>
        <w:t>信息</w:t>
      </w:r>
      <w:r>
        <w:rPr>
          <w:rFonts w:hint="eastAsia" w:ascii="仿宋_GB2312" w:eastAsia="仿宋_GB2312"/>
          <w:sz w:val="32"/>
          <w:szCs w:val="44"/>
          <w:highlight w:val="none"/>
          <w:lang w:eastAsia="zh-Hans"/>
        </w:rPr>
        <w:t>化</w:t>
      </w:r>
      <w:r>
        <w:rPr>
          <w:rFonts w:ascii="仿宋_GB2312" w:eastAsia="仿宋_GB2312"/>
          <w:sz w:val="32"/>
          <w:szCs w:val="44"/>
          <w:highlight w:val="none"/>
        </w:rPr>
        <w:t>局</w:t>
      </w:r>
      <w:r>
        <w:rPr>
          <w:rFonts w:hint="eastAsia" w:ascii="仿宋_GB2312" w:eastAsia="仿宋_GB2312"/>
          <w:sz w:val="32"/>
          <w:szCs w:val="44"/>
          <w:highlight w:val="none"/>
        </w:rPr>
        <w:t>、区科委</w:t>
      </w:r>
      <w:r>
        <w:rPr>
          <w:rFonts w:ascii="仿宋_GB2312" w:eastAsia="仿宋_GB2312"/>
          <w:sz w:val="32"/>
          <w:szCs w:val="44"/>
          <w:highlight w:val="none"/>
        </w:rPr>
        <w:t>、</w:t>
      </w:r>
      <w:r>
        <w:rPr>
          <w:rFonts w:hint="eastAsia" w:ascii="仿宋_GB2312" w:eastAsia="仿宋_GB2312"/>
          <w:sz w:val="32"/>
          <w:szCs w:val="44"/>
          <w:highlight w:val="none"/>
          <w:lang w:eastAsia="zh-CN"/>
        </w:rPr>
        <w:t>区住建委、区生态环境局、区国资委、</w:t>
      </w:r>
      <w:r>
        <w:rPr>
          <w:rFonts w:hint="eastAsia" w:ascii="仿宋_GB2312" w:eastAsia="仿宋_GB2312"/>
          <w:sz w:val="32"/>
          <w:szCs w:val="44"/>
          <w:highlight w:val="none"/>
        </w:rPr>
        <w:t>怀柔科学城管委会</w:t>
      </w:r>
      <w:r>
        <w:rPr>
          <w:rFonts w:hint="eastAsia" w:ascii="仿宋_GB2312" w:eastAsia="仿宋_GB2312"/>
          <w:sz w:val="32"/>
          <w:szCs w:val="44"/>
          <w:highlight w:val="none"/>
          <w:lang w:eastAsia="zh-CN"/>
        </w:rPr>
        <w:t>成果转化与创新协调处</w:t>
      </w:r>
      <w:r>
        <w:rPr>
          <w:rFonts w:hint="eastAsia" w:ascii="仿宋_GB2312" w:eastAsia="仿宋_GB2312"/>
          <w:sz w:val="32"/>
          <w:szCs w:val="44"/>
          <w:highlight w:val="none"/>
          <w:lang w:val="en-US" w:eastAsia="zh-CN"/>
        </w:rPr>
        <w:t>等部门</w:t>
      </w:r>
      <w:r>
        <w:rPr>
          <w:rFonts w:ascii="仿宋_GB2312" w:eastAsia="仿宋_GB2312"/>
          <w:sz w:val="32"/>
          <w:szCs w:val="44"/>
          <w:highlight w:val="none"/>
        </w:rPr>
        <w:t>组成</w:t>
      </w:r>
      <w:r>
        <w:rPr>
          <w:rFonts w:hint="eastAsia" w:ascii="仿宋_GB2312" w:hAnsi="宋体" w:eastAsia="仿宋_GB2312"/>
          <w:sz w:val="32"/>
          <w:szCs w:val="44"/>
        </w:rPr>
        <w:t>。</w:t>
      </w:r>
      <w:r>
        <w:rPr>
          <w:rFonts w:hint="eastAsia" w:ascii="仿宋_GB2312" w:hAnsi="宋体" w:eastAsia="仿宋_GB2312"/>
          <w:sz w:val="32"/>
          <w:szCs w:val="44"/>
          <w:lang w:eastAsia="zh-Hans"/>
        </w:rPr>
        <w:t>其次，进一步</w:t>
      </w:r>
      <w:r>
        <w:rPr>
          <w:rFonts w:hint="eastAsia" w:ascii="仿宋_GB2312" w:hAnsi="宋体" w:eastAsia="仿宋_GB2312"/>
          <w:sz w:val="32"/>
          <w:szCs w:val="44"/>
        </w:rPr>
        <w:t>明确评价的流程。</w:t>
      </w:r>
      <w:r>
        <w:rPr>
          <w:rFonts w:hint="eastAsia" w:ascii="仿宋_GB2312" w:hAnsi="宋体" w:eastAsia="仿宋_GB2312"/>
          <w:sz w:val="32"/>
          <w:szCs w:val="44"/>
          <w:lang w:eastAsia="zh-CN"/>
        </w:rPr>
        <w:t>占地类项目由项目方直接向区经济和信息化局提交申请，区经信局根据项目情况</w:t>
      </w:r>
      <w:r>
        <w:rPr>
          <w:rFonts w:hint="eastAsia" w:ascii="仿宋_GB2312" w:hAnsi="宋体" w:eastAsia="仿宋_GB2312"/>
          <w:sz w:val="32"/>
          <w:szCs w:val="44"/>
          <w:lang w:val="en-US" w:eastAsia="zh-CN"/>
        </w:rPr>
        <w:t>3个工作日内组织部门会商，会商后提请区政府专题审议，并出具相关意见；租赁类项目根据租赁面积，分类进行评价。</w:t>
      </w:r>
    </w:p>
    <w:p>
      <w:pPr>
        <w:keepNext w:val="0"/>
        <w:keepLines w:val="0"/>
        <w:pageBreakBefore w:val="0"/>
        <w:kinsoku/>
        <w:overflowPunct/>
        <w:topLinePunct w:val="0"/>
        <w:autoSpaceDN/>
        <w:bidi w:val="0"/>
        <w:adjustRightInd/>
        <w:snapToGrid/>
        <w:spacing w:line="560" w:lineRule="exact"/>
        <w:ind w:left="0" w:leftChars="0" w:firstLine="640" w:firstLineChars="200"/>
        <w:jc w:val="both"/>
        <w:rPr>
          <w:rFonts w:ascii="仿宋_GB2312" w:eastAsia="仿宋_GB2312"/>
          <w:sz w:val="32"/>
          <w:szCs w:val="32"/>
        </w:rPr>
      </w:pPr>
      <w:r>
        <w:rPr>
          <w:rFonts w:hint="eastAsia" w:ascii="仿宋_GB2312" w:hAnsi="宋体" w:eastAsia="仿宋_GB2312"/>
          <w:sz w:val="32"/>
          <w:szCs w:val="44"/>
        </w:rPr>
        <w:t>第五部分，附则。明确了分别明确了对投资方、监管部门、镇乡属地及园区管理机构的相关要求以及项目退出机制。</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Hans"/>
        </w:rPr>
        <w:t>三、所需解决的问题</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firstLine="640" w:firstLineChars="200"/>
        <w:jc w:val="both"/>
        <w:outlineLvl w:val="9"/>
        <w:rPr>
          <w:rFonts w:hint="eastAsia" w:ascii="仿宋_GB2312" w:eastAsia="仿宋_GB2312"/>
          <w:sz w:val="32"/>
          <w:szCs w:val="32"/>
          <w:highlight w:val="none"/>
          <w:lang w:val="en-US" w:eastAsia="zh-Hans"/>
        </w:rPr>
      </w:pPr>
      <w:r>
        <w:rPr>
          <w:rFonts w:hint="eastAsia" w:ascii="仿宋_GB2312" w:eastAsia="仿宋_GB2312"/>
          <w:sz w:val="32"/>
          <w:szCs w:val="44"/>
          <w:lang w:val="en-US" w:eastAsia="zh-Hans"/>
        </w:rPr>
        <w:t>进</w:t>
      </w:r>
      <w:r>
        <w:rPr>
          <w:rFonts w:hint="eastAsia" w:ascii="仿宋_GB2312" w:eastAsia="仿宋_GB2312"/>
          <w:sz w:val="32"/>
          <w:szCs w:val="44"/>
        </w:rPr>
        <w:t>一步用好</w:t>
      </w:r>
      <w:r>
        <w:rPr>
          <w:rFonts w:hint="eastAsia" w:ascii="仿宋_GB2312" w:eastAsia="仿宋_GB2312"/>
          <w:sz w:val="32"/>
          <w:szCs w:val="32"/>
        </w:rPr>
        <w:t>我</w:t>
      </w:r>
      <w:r>
        <w:rPr>
          <w:rFonts w:hint="eastAsia" w:ascii="仿宋_GB2312" w:eastAsia="仿宋_GB2312"/>
          <w:sz w:val="32"/>
          <w:szCs w:val="44"/>
        </w:rPr>
        <w:t>区产业空间资源，推动高精尖产业高质量发展，按照规范入口、强化服务、畅通出口的要求，聚焦产业项目落地、产业空间优化、产业生态打造的核心环节，通过客观、公正的产业项目全要素综合评价，实现对产业项目</w:t>
      </w:r>
      <w:r>
        <w:rPr>
          <w:rFonts w:hint="eastAsia" w:ascii="仿宋_GB2312" w:eastAsia="仿宋_GB2312"/>
          <w:sz w:val="32"/>
          <w:szCs w:val="44"/>
          <w:lang w:eastAsia="zh-CN"/>
        </w:rPr>
        <w:t>全要素评价、全口径覆盖、</w:t>
      </w:r>
      <w:r>
        <w:rPr>
          <w:rFonts w:hint="eastAsia" w:ascii="仿宋_GB2312" w:eastAsia="仿宋_GB2312"/>
          <w:sz w:val="32"/>
          <w:szCs w:val="44"/>
        </w:rPr>
        <w:t>全</w:t>
      </w:r>
      <w:r>
        <w:rPr>
          <w:rFonts w:hint="eastAsia" w:ascii="仿宋_GB2312" w:eastAsia="仿宋_GB2312"/>
          <w:sz w:val="32"/>
          <w:szCs w:val="44"/>
          <w:lang w:eastAsia="zh-CN"/>
        </w:rPr>
        <w:t>流程服务</w:t>
      </w:r>
      <w:r>
        <w:rPr>
          <w:rFonts w:hint="eastAsia" w:ascii="仿宋_GB2312" w:eastAsia="仿宋_GB2312"/>
          <w:sz w:val="32"/>
          <w:szCs w:val="44"/>
        </w:rPr>
        <w:t>管理</w:t>
      </w:r>
      <w:r>
        <w:rPr>
          <w:rFonts w:hint="eastAsia" w:ascii="仿宋_GB2312" w:eastAsia="仿宋_GB2312"/>
          <w:sz w:val="32"/>
          <w:szCs w:val="44"/>
          <w:lang w:eastAsia="zh-Hans"/>
        </w:rPr>
        <w:t>。</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Hans"/>
        </w:rPr>
        <w:t>四</w:t>
      </w:r>
      <w:r>
        <w:rPr>
          <w:rFonts w:hint="eastAsia" w:ascii="黑体" w:hAnsi="黑体" w:eastAsia="黑体" w:cs="黑体"/>
          <w:sz w:val="32"/>
          <w:szCs w:val="32"/>
          <w:lang w:val="en-US" w:eastAsia="zh-CN"/>
        </w:rPr>
        <w:t>、备注</w:t>
      </w:r>
    </w:p>
    <w:p>
      <w:pPr>
        <w:keepNext w:val="0"/>
        <w:keepLines w:val="0"/>
        <w:pageBreakBefore w:val="0"/>
        <w:kinsoku/>
        <w:wordWrap/>
        <w:overflowPunct/>
        <w:topLinePunct w:val="0"/>
        <w:autoSpaceDE/>
        <w:autoSpaceDN/>
        <w:bidi w:val="0"/>
        <w:adjustRightInd/>
        <w:snapToGrid/>
        <w:spacing w:before="0" w:beforeLines="0" w:after="0" w:afterLines="0" w:line="560" w:lineRule="exact"/>
        <w:ind w:firstLine="640" w:firstLineChars="200"/>
        <w:jc w:val="both"/>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Hans"/>
        </w:rPr>
        <w:t>无</w:t>
      </w:r>
    </w:p>
    <w:p>
      <w:pPr>
        <w:jc w:val="both"/>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CFAE08"/>
    <w:rsid w:val="2CEF624D"/>
    <w:rsid w:val="3FF861CC"/>
    <w:rsid w:val="41FE3F30"/>
    <w:rsid w:val="5FFB549E"/>
    <w:rsid w:val="5FFFE853"/>
    <w:rsid w:val="684F4A86"/>
    <w:rsid w:val="6F7B2E15"/>
    <w:rsid w:val="7FFD7112"/>
    <w:rsid w:val="B7FFB6D9"/>
    <w:rsid w:val="D13BB873"/>
    <w:rsid w:val="EFAE03C2"/>
    <w:rsid w:val="FE5FB4E4"/>
    <w:rsid w:val="FFCFAE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0" w:beforeLines="0" w:after="0" w:afterLines="0" w:line="578" w:lineRule="atLeast"/>
      <w:ind w:left="0" w:right="0" w:firstLine="0"/>
      <w:jc w:val="both"/>
      <w:textAlignment w:val="baseline"/>
    </w:pPr>
    <w:rPr>
      <w:rFonts w:ascii="Times New Roman" w:hAnsi="Times New Roman" w:eastAsia="宋体" w:cs="Times New Roman"/>
      <w:color w:val="000000"/>
      <w:spacing w:val="0"/>
      <w:w w:val="100"/>
      <w:sz w:val="21"/>
      <w:u w:val="none" w:color="000000"/>
      <w:vertAlign w:val="baseline"/>
      <w:lang w:val="en-US" w:eastAsia="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11"/>
    <w:basedOn w:val="1"/>
    <w:next w:val="1"/>
    <w:qFormat/>
    <w:uiPriority w:val="0"/>
    <w:pPr>
      <w:widowControl/>
      <w:wordWrap w:val="0"/>
    </w:pPr>
    <w:rPr>
      <w:kern w:val="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toc 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2022-07-31T23:00:00Z</dcterms:created>
  <dc:creator>走走停停</dc:creator>
  <cp:lastModifiedBy>bgs</cp:lastModifiedBy>
  <dcterms:modified xsi:type="dcterms:W3CDTF">2025-05-21T08:52:39Z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AAC56A22D45E5E989685E362E2A89476</vt:lpwstr>
  </property>
</Properties>
</file>