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34808">
      <w:pPr>
        <w:widowControl/>
        <w:shd w:val="clear" w:color="auto" w:fill="FFFFFF"/>
        <w:spacing w:line="560" w:lineRule="exact"/>
        <w:ind w:firstLine="482"/>
        <w:jc w:val="center"/>
        <w:rPr>
          <w:rFonts w:hint="eastAsia" w:ascii="方正小标宋简体" w:eastAsia="方正小标宋简体" w:cs="宋体"/>
          <w:color w:val="000000"/>
          <w:kern w:val="0"/>
          <w:sz w:val="44"/>
          <w:szCs w:val="44"/>
        </w:rPr>
      </w:pPr>
      <w:r>
        <w:rPr>
          <w:rFonts w:hint="eastAsia" w:ascii="方正小标宋简体" w:eastAsia="方正小标宋简体" w:cs="宋体"/>
          <w:color w:val="000000"/>
          <w:kern w:val="0"/>
          <w:sz w:val="44"/>
          <w:szCs w:val="44"/>
        </w:rPr>
        <w:t>北京市</w:t>
      </w:r>
      <w:r>
        <w:rPr>
          <w:rFonts w:hint="eastAsia" w:ascii="方正小标宋简体" w:eastAsia="方正小标宋简体" w:cs="宋体"/>
          <w:color w:val="000000"/>
          <w:kern w:val="0"/>
          <w:sz w:val="44"/>
          <w:szCs w:val="44"/>
          <w:lang w:eastAsia="zh-CN"/>
        </w:rPr>
        <w:t>丰台区</w:t>
      </w:r>
      <w:r>
        <w:rPr>
          <w:rFonts w:hint="eastAsia" w:ascii="方正小标宋简体" w:eastAsia="方正小标宋简体" w:cs="宋体"/>
          <w:color w:val="000000"/>
          <w:kern w:val="0"/>
          <w:sz w:val="44"/>
          <w:szCs w:val="44"/>
        </w:rPr>
        <w:t>生态环境局关于</w:t>
      </w:r>
    </w:p>
    <w:p w14:paraId="7E2E0C7B">
      <w:pPr>
        <w:keepNext w:val="0"/>
        <w:keepLines w:val="0"/>
        <w:pageBreakBefore w:val="0"/>
        <w:widowControl w:val="0"/>
        <w:kinsoku/>
        <w:wordWrap w:val="0"/>
        <w:overflowPunct/>
        <w:topLinePunct w:val="0"/>
        <w:autoSpaceDE/>
        <w:autoSpaceDN/>
        <w:bidi w:val="0"/>
        <w:adjustRightInd/>
        <w:snapToGrid/>
        <w:spacing w:line="660" w:lineRule="exact"/>
        <w:ind w:left="0" w:right="0" w:rightChars="0"/>
        <w:jc w:val="center"/>
        <w:textAlignment w:val="auto"/>
        <w:outlineLvl w:val="0"/>
        <w:rPr>
          <w:rFonts w:hint="eastAsia" w:ascii="方正小标宋简体" w:eastAsia="方正小标宋简体" w:cs="宋体"/>
          <w:color w:val="000000"/>
          <w:kern w:val="0"/>
          <w:sz w:val="44"/>
          <w:szCs w:val="44"/>
          <w:lang w:val="en-US" w:eastAsia="zh-CN"/>
        </w:rPr>
      </w:pPr>
      <w:r>
        <w:rPr>
          <w:rFonts w:hint="eastAsia" w:ascii="方正小标宋简体" w:eastAsia="方正小标宋简体" w:cs="宋体"/>
          <w:color w:val="000000"/>
          <w:kern w:val="0"/>
          <w:sz w:val="44"/>
          <w:szCs w:val="44"/>
        </w:rPr>
        <w:t>《丰台区</w:t>
      </w:r>
      <w:r>
        <w:rPr>
          <w:rFonts w:hint="eastAsia" w:ascii="方正小标宋简体" w:eastAsia="方正小标宋简体" w:cs="宋体"/>
          <w:color w:val="000000"/>
          <w:kern w:val="0"/>
          <w:sz w:val="44"/>
          <w:szCs w:val="44"/>
          <w:lang w:val="en-US" w:eastAsia="zh-CN"/>
        </w:rPr>
        <w:t>2025年餐饮行业油烟治理提升</w:t>
      </w:r>
    </w:p>
    <w:p w14:paraId="71B7A7C4">
      <w:pPr>
        <w:keepNext w:val="0"/>
        <w:keepLines w:val="0"/>
        <w:pageBreakBefore w:val="0"/>
        <w:widowControl w:val="0"/>
        <w:kinsoku/>
        <w:wordWrap w:val="0"/>
        <w:overflowPunct/>
        <w:topLinePunct w:val="0"/>
        <w:autoSpaceDE/>
        <w:autoSpaceDN/>
        <w:bidi w:val="0"/>
        <w:adjustRightInd/>
        <w:snapToGrid/>
        <w:spacing w:line="660" w:lineRule="exact"/>
        <w:ind w:left="0" w:right="0" w:rightChars="0"/>
        <w:jc w:val="center"/>
        <w:textAlignment w:val="auto"/>
        <w:outlineLvl w:val="0"/>
        <w:rPr>
          <w:rFonts w:ascii="华文中宋" w:eastAsia="华文中宋" w:cs="宋体"/>
          <w:b/>
          <w:color w:val="000000"/>
          <w:kern w:val="0"/>
          <w:sz w:val="44"/>
          <w:szCs w:val="44"/>
        </w:rPr>
      </w:pPr>
      <w:r>
        <w:rPr>
          <w:rFonts w:hint="eastAsia" w:ascii="方正小标宋简体" w:eastAsia="方正小标宋简体" w:cs="宋体"/>
          <w:color w:val="000000"/>
          <w:kern w:val="0"/>
          <w:sz w:val="44"/>
          <w:szCs w:val="44"/>
        </w:rPr>
        <w:t>以奖代补工作</w:t>
      </w:r>
      <w:r>
        <w:rPr>
          <w:rFonts w:hint="eastAsia" w:ascii="方正小标宋简体" w:eastAsia="方正小标宋简体" w:cs="宋体"/>
          <w:color w:val="000000"/>
          <w:kern w:val="0"/>
          <w:sz w:val="44"/>
          <w:szCs w:val="44"/>
          <w:lang w:val="en-US" w:eastAsia="zh-CN"/>
        </w:rPr>
        <w:t>办法（修订版）（征求意见稿）</w:t>
      </w:r>
      <w:r>
        <w:rPr>
          <w:rFonts w:hint="eastAsia" w:ascii="方正小标宋简体" w:eastAsia="方正小标宋简体" w:cs="宋体"/>
          <w:color w:val="000000"/>
          <w:kern w:val="0"/>
          <w:sz w:val="44"/>
          <w:szCs w:val="44"/>
        </w:rPr>
        <w:t>》的起草说明</w:t>
      </w:r>
    </w:p>
    <w:p w14:paraId="6AF8A50D">
      <w:pPr>
        <w:widowControl/>
        <w:shd w:val="clear" w:color="auto" w:fill="FFFFFF"/>
        <w:spacing w:line="360" w:lineRule="auto"/>
        <w:ind w:firstLine="480"/>
        <w:jc w:val="left"/>
        <w:rPr>
          <w:rFonts w:ascii="宋体" w:hAnsi="宋体" w:cs="宋体"/>
          <w:color w:val="000000"/>
          <w:kern w:val="0"/>
          <w:szCs w:val="21"/>
        </w:rPr>
      </w:pPr>
      <w:r>
        <w:rPr>
          <w:rFonts w:hint="eastAsia" w:ascii="宋体" w:hAnsi="宋体" w:cs="宋体"/>
          <w:color w:val="000000"/>
          <w:kern w:val="0"/>
          <w:szCs w:val="21"/>
        </w:rPr>
        <w:t>  </w:t>
      </w:r>
    </w:p>
    <w:p w14:paraId="7FB001B7">
      <w:pPr>
        <w:numPr>
          <w:ilvl w:val="0"/>
          <w:numId w:val="1"/>
        </w:num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lang w:eastAsia="zh-CN"/>
        </w:rPr>
        <w:t>规定</w:t>
      </w:r>
      <w:r>
        <w:rPr>
          <w:rFonts w:hint="eastAsia" w:ascii="黑体" w:hAnsi="黑体" w:eastAsia="黑体" w:cs="仿宋_GB2312"/>
          <w:color w:val="000000"/>
          <w:sz w:val="32"/>
          <w:szCs w:val="32"/>
        </w:rPr>
        <w:t>编制思路</w:t>
      </w:r>
    </w:p>
    <w:p w14:paraId="14288B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eastAsia="仿宋_GB2312"/>
          <w:sz w:val="32"/>
          <w:szCs w:val="32"/>
          <w:highlight w:val="none"/>
        </w:rPr>
        <w:t>为落实</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北京市生态环境</w:t>
      </w:r>
      <w:r>
        <w:rPr>
          <w:rFonts w:hint="eastAsia" w:ascii="仿宋_GB2312" w:eastAsia="仿宋_GB2312"/>
          <w:sz w:val="32"/>
          <w:szCs w:val="32"/>
          <w:highlight w:val="none"/>
          <w:lang w:eastAsia="zh-CN"/>
        </w:rPr>
        <w:t>局关于推进2024年接诉即办“每月一题”餐饮油烟治理工作的函</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京环函〔</w:t>
      </w:r>
      <w:r>
        <w:rPr>
          <w:rFonts w:hint="eastAsia" w:ascii="仿宋_GB2312" w:eastAsia="仿宋_GB2312"/>
          <w:sz w:val="32"/>
          <w:szCs w:val="32"/>
          <w:highlight w:val="none"/>
          <w:lang w:val="en-US" w:eastAsia="zh-CN"/>
        </w:rPr>
        <w:t>2024</w:t>
      </w:r>
      <w:r>
        <w:rPr>
          <w:rFonts w:hint="eastAsia" w:ascii="仿宋_GB2312" w:eastAsia="仿宋_GB2312"/>
          <w:sz w:val="32"/>
          <w:szCs w:val="32"/>
          <w:highlight w:val="none"/>
          <w:lang w:eastAsia="zh-CN"/>
        </w:rPr>
        <w:t>〕7号</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鼓励餐饮行业主动开展油烟治理提升工作，切实解决</w:t>
      </w:r>
      <w:r>
        <w:rPr>
          <w:rFonts w:hint="eastAsia" w:ascii="仿宋_GB2312" w:hAnsi="Times New Roman" w:eastAsia="仿宋_GB2312"/>
          <w:sz w:val="32"/>
          <w:szCs w:val="32"/>
          <w:highlight w:val="none"/>
          <w:lang w:val="en-US" w:eastAsia="zh-CN"/>
        </w:rPr>
        <w:t>“达标扰民”“扎堆扰民”</w:t>
      </w:r>
      <w:r>
        <w:rPr>
          <w:rFonts w:hint="eastAsia" w:ascii="仿宋_GB2312" w:eastAsia="仿宋_GB2312"/>
          <w:sz w:val="32"/>
          <w:szCs w:val="32"/>
          <w:highlight w:val="none"/>
          <w:lang w:val="en-US" w:eastAsia="zh-CN"/>
        </w:rPr>
        <w:t>等油烟扰民问题，</w:t>
      </w:r>
      <w:r>
        <w:rPr>
          <w:rFonts w:hint="eastAsia" w:ascii="仿宋_GB2312" w:hAnsi="仿宋_GB2312" w:eastAsia="仿宋_GB2312"/>
          <w:sz w:val="32"/>
          <w:szCs w:val="32"/>
        </w:rPr>
        <w:t>制定本</w:t>
      </w:r>
      <w:r>
        <w:rPr>
          <w:rFonts w:hint="eastAsia" w:ascii="仿宋_GB2312" w:hAnsi="仿宋_GB2312" w:eastAsia="仿宋_GB2312"/>
          <w:sz w:val="32"/>
          <w:szCs w:val="32"/>
          <w:lang w:val="en-US" w:eastAsia="zh-CN"/>
        </w:rPr>
        <w:t>办法</w:t>
      </w:r>
      <w:r>
        <w:rPr>
          <w:rFonts w:hint="eastAsia" w:ascii="仿宋_GB2312" w:hAnsi="仿宋_GB2312" w:eastAsia="仿宋_GB2312"/>
          <w:sz w:val="32"/>
          <w:szCs w:val="32"/>
        </w:rPr>
        <w:t>。</w:t>
      </w:r>
    </w:p>
    <w:p w14:paraId="56B612CE">
      <w:pPr>
        <w:numPr>
          <w:ilvl w:val="0"/>
          <w:numId w:val="1"/>
        </w:num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lang w:val="en-US" w:eastAsia="zh-CN"/>
        </w:rPr>
        <w:t>办法</w:t>
      </w:r>
      <w:r>
        <w:rPr>
          <w:rFonts w:hint="eastAsia" w:ascii="黑体" w:hAnsi="黑体" w:eastAsia="黑体" w:cs="仿宋_GB2312"/>
          <w:color w:val="000000"/>
          <w:sz w:val="32"/>
          <w:szCs w:val="32"/>
        </w:rPr>
        <w:t>的主要内容</w:t>
      </w:r>
    </w:p>
    <w:p w14:paraId="4FE5B66C">
      <w:pPr>
        <w:widowControl/>
        <w:shd w:val="clear" w:color="auto" w:fill="FFFFFF"/>
        <w:spacing w:line="560" w:lineRule="exact"/>
        <w:ind w:firstLine="640" w:firstLineChars="200"/>
        <w:jc w:val="left"/>
        <w:rPr>
          <w:rFonts w:hint="eastAsia" w:ascii="仿宋_GB2312" w:hAnsi="黑体" w:cs="仿宋_GB2312"/>
          <w:sz w:val="32"/>
          <w:szCs w:val="32"/>
        </w:rPr>
      </w:pPr>
      <w:r>
        <w:rPr>
          <w:rFonts w:hint="eastAsia" w:ascii="仿宋_GB2312" w:hAnsi="黑体" w:cs="仿宋_GB2312"/>
          <w:sz w:val="32"/>
          <w:szCs w:val="32"/>
          <w:lang w:val="en-US" w:eastAsia="zh-CN"/>
        </w:rPr>
        <w:t>办法分为六章</w:t>
      </w:r>
      <w:r>
        <w:rPr>
          <w:rFonts w:hint="eastAsia" w:ascii="仿宋_GB2312" w:hAnsi="黑体" w:cs="仿宋_GB2312"/>
          <w:sz w:val="32"/>
          <w:szCs w:val="32"/>
        </w:rPr>
        <w:t>。</w:t>
      </w:r>
    </w:p>
    <w:p w14:paraId="674E41A3">
      <w:pPr>
        <w:widowControl/>
        <w:shd w:val="clear" w:color="auto" w:fill="FFFFFF"/>
        <w:spacing w:line="560" w:lineRule="exact"/>
        <w:ind w:firstLine="643" w:firstLineChars="200"/>
        <w:jc w:val="left"/>
        <w:rPr>
          <w:rFonts w:hint="eastAsia" w:ascii="仿宋_GB2312" w:hAnsi="黑体" w:eastAsia="仿宋_GB2312" w:cs="仿宋_GB2312"/>
          <w:b/>
          <w:bCs/>
          <w:sz w:val="32"/>
          <w:szCs w:val="32"/>
          <w:lang w:eastAsia="zh-CN"/>
        </w:rPr>
      </w:pPr>
      <w:r>
        <w:rPr>
          <w:rFonts w:hint="eastAsia" w:ascii="仿宋_GB2312" w:hAnsi="黑体" w:cs="仿宋_GB2312"/>
          <w:b/>
          <w:sz w:val="32"/>
          <w:szCs w:val="32"/>
        </w:rPr>
        <w:t>第一</w:t>
      </w:r>
      <w:r>
        <w:rPr>
          <w:rFonts w:hint="eastAsia" w:ascii="仿宋_GB2312" w:hAnsi="黑体" w:cs="仿宋_GB2312"/>
          <w:b/>
          <w:sz w:val="32"/>
          <w:szCs w:val="32"/>
          <w:lang w:val="en-US" w:eastAsia="zh-CN"/>
        </w:rPr>
        <w:t xml:space="preserve">章 </w:t>
      </w:r>
      <w:r>
        <w:rPr>
          <w:rFonts w:hint="eastAsia" w:ascii="仿宋_GB2312" w:hAnsi="黑体" w:cs="仿宋_GB2312"/>
          <w:b/>
          <w:bCs/>
          <w:sz w:val="32"/>
          <w:szCs w:val="32"/>
          <w:lang w:eastAsia="zh-CN"/>
        </w:rPr>
        <w:t>总则</w:t>
      </w:r>
    </w:p>
    <w:p w14:paraId="056A9A9A">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eastAsia" w:eastAsia="仿宋_GB2312"/>
          <w:sz w:val="32"/>
          <w:szCs w:val="32"/>
          <w:lang w:val="en-US" w:eastAsia="zh-CN"/>
        </w:rPr>
      </w:pPr>
      <w:r>
        <w:rPr>
          <w:rFonts w:eastAsia="仿宋_GB2312"/>
          <w:sz w:val="32"/>
          <w:szCs w:val="32"/>
        </w:rPr>
        <w:t>本办法所称</w:t>
      </w:r>
      <w:r>
        <w:rPr>
          <w:rFonts w:hint="eastAsia" w:ascii="仿宋_GB2312" w:eastAsia="仿宋_GB2312"/>
          <w:sz w:val="32"/>
          <w:szCs w:val="32"/>
          <w:highlight w:val="none"/>
          <w:lang w:val="en-US" w:eastAsia="zh-CN"/>
        </w:rPr>
        <w:t>治理提升</w:t>
      </w:r>
      <w:r>
        <w:rPr>
          <w:rFonts w:hint="eastAsia" w:eastAsia="仿宋_GB2312"/>
          <w:sz w:val="32"/>
          <w:szCs w:val="32"/>
          <w:lang w:val="en-US" w:eastAsia="zh-CN"/>
        </w:rPr>
        <w:t>，是指通过</w:t>
      </w:r>
      <w:r>
        <w:rPr>
          <w:rFonts w:hint="eastAsia" w:ascii="仿宋_GB2312" w:eastAsia="仿宋_GB2312" w:cs="Times New Roman"/>
          <w:kern w:val="2"/>
          <w:sz w:val="32"/>
          <w:szCs w:val="32"/>
          <w:highlight w:val="none"/>
          <w:lang w:val="en-US" w:eastAsia="zh-CN" w:bidi="ar-SA"/>
        </w:rPr>
        <w:t>加装活性炭吸附、雾化除臭</w:t>
      </w:r>
      <w:r>
        <w:rPr>
          <w:rFonts w:hint="eastAsia" w:eastAsia="仿宋_GB2312"/>
          <w:sz w:val="32"/>
          <w:szCs w:val="32"/>
          <w:lang w:val="en-US" w:eastAsia="zh-CN"/>
        </w:rPr>
        <w:t>或整体更换油烟净化设施，使油烟净化装置具有两级及以上净化工艺，即在具备油烟、颗粒物净化工艺的基础上，还具备挥发性有机物、异味处理工艺之一。</w:t>
      </w:r>
    </w:p>
    <w:p w14:paraId="56A000F7">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黑体" w:hAnsi="黑体" w:eastAsia="黑体"/>
          <w:sz w:val="32"/>
          <w:szCs w:val="32"/>
          <w:lang w:val="en-US" w:eastAsia="zh-CN"/>
        </w:rPr>
      </w:pPr>
      <w:r>
        <w:rPr>
          <w:rFonts w:hint="eastAsia" w:ascii="仿宋_GB2312" w:eastAsia="仿宋_GB2312" w:cs="Times New Roman"/>
          <w:kern w:val="2"/>
          <w:sz w:val="32"/>
          <w:szCs w:val="32"/>
          <w:highlight w:val="none"/>
          <w:lang w:val="en-US" w:eastAsia="zh-CN" w:bidi="ar-SA"/>
        </w:rPr>
        <w:t>单独采用活性炭吸附工艺的油烟净化设施或原没有油烟净化设施，新安装的餐饮单位不适用本办法。</w:t>
      </w:r>
    </w:p>
    <w:p w14:paraId="27C56298">
      <w:pPr>
        <w:widowControl/>
        <w:shd w:val="clear" w:color="auto" w:fill="FFFFFF"/>
        <w:spacing w:line="560" w:lineRule="exact"/>
        <w:ind w:firstLine="643" w:firstLineChars="200"/>
        <w:jc w:val="left"/>
        <w:rPr>
          <w:rFonts w:hint="default" w:ascii="仿宋_GB2312" w:hAnsi="黑体" w:eastAsia="仿宋_GB2312" w:cs="仿宋_GB2312"/>
          <w:sz w:val="32"/>
          <w:szCs w:val="32"/>
          <w:lang w:val="en-US" w:eastAsia="zh-CN"/>
        </w:rPr>
      </w:pPr>
      <w:r>
        <w:rPr>
          <w:rFonts w:hint="eastAsia" w:ascii="仿宋_GB2312" w:hAnsi="黑体" w:cs="仿宋_GB2312"/>
          <w:b/>
          <w:sz w:val="32"/>
          <w:szCs w:val="32"/>
        </w:rPr>
        <w:t>第</w:t>
      </w:r>
      <w:r>
        <w:rPr>
          <w:rFonts w:hint="eastAsia" w:ascii="仿宋_GB2312" w:hAnsi="黑体" w:cs="仿宋_GB2312"/>
          <w:b/>
          <w:sz w:val="32"/>
          <w:szCs w:val="32"/>
          <w:lang w:eastAsia="zh-CN"/>
        </w:rPr>
        <w:t>二</w:t>
      </w:r>
      <w:r>
        <w:rPr>
          <w:rFonts w:hint="eastAsia" w:ascii="仿宋_GB2312" w:hAnsi="黑体" w:cs="仿宋_GB2312"/>
          <w:b/>
          <w:sz w:val="32"/>
          <w:szCs w:val="32"/>
          <w:lang w:val="en-US" w:eastAsia="zh-CN"/>
        </w:rPr>
        <w:t>章 奖励范围</w:t>
      </w:r>
    </w:p>
    <w:p w14:paraId="2A848E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eastAsia="仿宋_GB2312"/>
          <w:sz w:val="32"/>
          <w:szCs w:val="32"/>
          <w:lang w:val="en-US" w:eastAsia="zh-CN"/>
        </w:rPr>
        <w:t>注册登记在丰台区且实际经营地址在丰台区界内，</w:t>
      </w:r>
      <w:r>
        <w:rPr>
          <w:rFonts w:eastAsia="仿宋_GB2312"/>
          <w:sz w:val="32"/>
          <w:szCs w:val="32"/>
          <w:lang w:val="en-US" w:eastAsia="zh-CN"/>
        </w:rPr>
        <w:t>拥有固定餐饮服务经营场所的合法经营</w:t>
      </w:r>
      <w:r>
        <w:rPr>
          <w:rFonts w:hint="eastAsia" w:eastAsia="仿宋_GB2312"/>
          <w:sz w:val="32"/>
          <w:szCs w:val="32"/>
          <w:lang w:val="en-US" w:eastAsia="zh-CN"/>
        </w:rPr>
        <w:t>的</w:t>
      </w:r>
      <w:r>
        <w:rPr>
          <w:rFonts w:hint="eastAsia" w:ascii="仿宋_GB2312" w:eastAsia="仿宋_GB2312" w:cs="Times New Roman"/>
          <w:kern w:val="2"/>
          <w:sz w:val="32"/>
          <w:szCs w:val="32"/>
          <w:highlight w:val="none"/>
          <w:lang w:val="en-US" w:eastAsia="zh-CN" w:bidi="ar-SA"/>
        </w:rPr>
        <w:t>餐饮单位或餐饮油烟治理提升改造的实际投资主体</w:t>
      </w:r>
      <w:r>
        <w:rPr>
          <w:rFonts w:hint="eastAsia" w:eastAsia="仿宋_GB2312"/>
          <w:sz w:val="32"/>
          <w:szCs w:val="32"/>
          <w:lang w:val="en-US" w:eastAsia="zh-CN"/>
        </w:rPr>
        <w:t>。</w:t>
      </w:r>
      <w:r>
        <w:rPr>
          <w:rFonts w:hint="eastAsia" w:ascii="仿宋_GB2312" w:hAnsi="仿宋_GB2312" w:eastAsia="仿宋_GB2312" w:cs="仿宋_GB2312"/>
          <w:sz w:val="32"/>
          <w:szCs w:val="32"/>
          <w:lang w:val="en-US" w:eastAsia="zh-CN"/>
        </w:rPr>
        <w:t>在2025年1月1日至11月30日期间（以购置发票时间为准）实施餐饮油烟治理提升工作的</w:t>
      </w:r>
      <w:r>
        <w:rPr>
          <w:rFonts w:hint="eastAsia" w:eastAsia="仿宋_GB2312"/>
          <w:sz w:val="32"/>
          <w:szCs w:val="32"/>
          <w:lang w:val="en-US" w:eastAsia="zh-CN"/>
        </w:rPr>
        <w:t>，</w:t>
      </w:r>
      <w:r>
        <w:rPr>
          <w:rFonts w:hint="eastAsia" w:ascii="仿宋_GB2312" w:hAnsi="仿宋_GB2312" w:eastAsia="仿宋_GB2312" w:cs="仿宋_GB2312"/>
          <w:sz w:val="32"/>
          <w:szCs w:val="32"/>
          <w:highlight w:val="none"/>
          <w:u w:val="none"/>
          <w:lang w:val="en-US" w:eastAsia="zh-CN"/>
        </w:rPr>
        <w:t>可享受一次性以奖代补奖励</w:t>
      </w:r>
      <w:r>
        <w:rPr>
          <w:rFonts w:hint="eastAsia" w:ascii="仿宋_GB2312" w:hAnsi="仿宋_GB2312" w:eastAsia="仿宋_GB2312" w:cs="仿宋_GB2312"/>
          <w:sz w:val="32"/>
          <w:szCs w:val="32"/>
          <w:highlight w:val="none"/>
          <w:u w:val="none"/>
        </w:rPr>
        <w:t>资金</w:t>
      </w:r>
      <w:r>
        <w:rPr>
          <w:rFonts w:hint="eastAsia" w:eastAsia="仿宋_GB2312"/>
          <w:sz w:val="32"/>
          <w:szCs w:val="32"/>
          <w:highlight w:val="none"/>
          <w:u w:val="none"/>
          <w:lang w:val="en-US" w:eastAsia="zh-CN"/>
        </w:rPr>
        <w:t>。</w:t>
      </w:r>
      <w:r>
        <w:rPr>
          <w:rFonts w:hint="eastAsia" w:ascii="仿宋_GB2312" w:eastAsia="仿宋_GB2312"/>
          <w:sz w:val="32"/>
          <w:szCs w:val="32"/>
          <w:highlight w:val="none"/>
          <w:u w:val="none"/>
          <w:lang w:val="en-US" w:eastAsia="zh-CN"/>
        </w:rPr>
        <w:t>2025年12月1日</w:t>
      </w:r>
      <w:r>
        <w:rPr>
          <w:rFonts w:hint="eastAsia" w:eastAsia="仿宋_GB2312"/>
          <w:sz w:val="32"/>
          <w:szCs w:val="32"/>
          <w:lang w:val="en-US" w:eastAsia="zh-CN"/>
        </w:rPr>
        <w:t>（以购置发票时间为准）</w:t>
      </w:r>
      <w:r>
        <w:rPr>
          <w:rFonts w:hint="eastAsia" w:ascii="仿宋_GB2312" w:eastAsia="仿宋_GB2312"/>
          <w:sz w:val="32"/>
          <w:szCs w:val="32"/>
          <w:highlight w:val="none"/>
          <w:u w:val="none"/>
          <w:lang w:val="en-US" w:eastAsia="zh-CN"/>
        </w:rPr>
        <w:t>以后开展餐饮油烟治理提升工作的将不再发放区级奖励资金。</w:t>
      </w:r>
    </w:p>
    <w:p w14:paraId="3F582A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已享受北京市或丰台区涉及餐饮行业油烟治理以奖代补奖励资金或补贴资金的餐饮单位或投资主体，不得申请本次以奖代补</w:t>
      </w:r>
      <w:r>
        <w:rPr>
          <w:rFonts w:hint="eastAsia" w:ascii="仿宋_GB2312" w:hAnsi="Times New Roman" w:eastAsia="仿宋_GB2312" w:cs="Times New Roman"/>
          <w:kern w:val="2"/>
          <w:sz w:val="32"/>
          <w:szCs w:val="32"/>
          <w:highlight w:val="none"/>
          <w:u w:val="none"/>
          <w:lang w:val="en-US" w:eastAsia="zh-CN" w:bidi="ar-SA"/>
        </w:rPr>
        <w:t>资金。</w:t>
      </w:r>
    </w:p>
    <w:p w14:paraId="22BB3403">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仿宋_GB2312"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u w:val="none"/>
          <w:lang w:val="en-US" w:eastAsia="zh-CN" w:bidi="ar-SA"/>
        </w:rPr>
        <w:t>申请以奖代补资金的</w:t>
      </w:r>
      <w:r>
        <w:rPr>
          <w:rFonts w:hint="eastAsia" w:ascii="仿宋_GB2312" w:hAnsi="仿宋_GB2312" w:eastAsia="仿宋_GB2312" w:cs="仿宋_GB2312"/>
          <w:sz w:val="32"/>
          <w:szCs w:val="32"/>
          <w:u w:val="none"/>
          <w:lang w:val="en-US" w:eastAsia="zh-CN"/>
        </w:rPr>
        <w:t>餐饮单位或投资主体</w:t>
      </w:r>
      <w:r>
        <w:rPr>
          <w:rFonts w:hint="eastAsia" w:ascii="仿宋_GB2312" w:hAnsi="Times New Roman" w:eastAsia="仿宋_GB2312" w:cs="Times New Roman"/>
          <w:kern w:val="2"/>
          <w:sz w:val="32"/>
          <w:szCs w:val="32"/>
          <w:highlight w:val="none"/>
          <w:u w:val="none"/>
          <w:lang w:val="en-US" w:eastAsia="zh-CN" w:bidi="ar-SA"/>
        </w:rPr>
        <w:t>，应</w:t>
      </w:r>
      <w:r>
        <w:rPr>
          <w:rFonts w:hint="eastAsia" w:ascii="仿宋_GB2312" w:hAnsi="仿宋_GB2312" w:eastAsia="仿宋_GB2312" w:cs="仿宋_GB2312"/>
          <w:sz w:val="32"/>
          <w:szCs w:val="32"/>
          <w:highlight w:val="none"/>
          <w:u w:val="none"/>
          <w:lang w:val="en-US" w:eastAsia="zh-CN"/>
        </w:rPr>
        <w:t>未被列入严重违法失信主体名单或经营地异常名单。</w:t>
      </w:r>
    </w:p>
    <w:p w14:paraId="1C11B0BF">
      <w:pPr>
        <w:widowControl/>
        <w:spacing w:line="560" w:lineRule="exact"/>
        <w:ind w:firstLine="643" w:firstLineChars="200"/>
        <w:jc w:val="left"/>
        <w:rPr>
          <w:rFonts w:hint="default" w:ascii="仿宋_GB2312" w:hAnsi="黑体" w:eastAsia="仿宋_GB2312" w:cs="仿宋_GB2312"/>
          <w:b/>
          <w:sz w:val="32"/>
          <w:szCs w:val="32"/>
          <w:lang w:val="en-US" w:eastAsia="zh-CN"/>
        </w:rPr>
      </w:pPr>
      <w:r>
        <w:rPr>
          <w:rFonts w:hint="eastAsia" w:ascii="仿宋_GB2312" w:hAnsi="黑体" w:cs="仿宋_GB2312"/>
          <w:b/>
          <w:sz w:val="32"/>
          <w:szCs w:val="32"/>
        </w:rPr>
        <w:t>第</w:t>
      </w:r>
      <w:r>
        <w:rPr>
          <w:rFonts w:hint="eastAsia" w:ascii="仿宋_GB2312" w:hAnsi="黑体" w:cs="仿宋_GB2312"/>
          <w:b/>
          <w:sz w:val="32"/>
          <w:szCs w:val="32"/>
          <w:lang w:eastAsia="zh-CN"/>
        </w:rPr>
        <w:t>三</w:t>
      </w:r>
      <w:r>
        <w:rPr>
          <w:rFonts w:hint="eastAsia" w:ascii="仿宋_GB2312" w:hAnsi="黑体" w:cs="仿宋_GB2312"/>
          <w:b/>
          <w:sz w:val="32"/>
          <w:szCs w:val="32"/>
          <w:lang w:val="en-US" w:eastAsia="zh-CN"/>
        </w:rPr>
        <w:t>章 奖励资金标准</w:t>
      </w:r>
    </w:p>
    <w:p w14:paraId="48B42C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0" w:leftChars="0" w:firstLine="640" w:firstLineChars="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eastAsia="仿宋_GB2312"/>
          <w:sz w:val="32"/>
          <w:szCs w:val="32"/>
          <w:highlight w:val="none"/>
          <w:u w:val="none"/>
          <w:lang w:val="en-US" w:eastAsia="zh-CN"/>
        </w:rPr>
        <w:t>鼓励</w:t>
      </w:r>
      <w:r>
        <w:rPr>
          <w:rFonts w:hint="eastAsia" w:ascii="仿宋_GB2312" w:hAnsi="仿宋_GB2312" w:eastAsia="仿宋_GB2312" w:cs="仿宋_GB2312"/>
          <w:sz w:val="32"/>
          <w:szCs w:val="32"/>
          <w:u w:val="none"/>
          <w:lang w:val="en-US" w:eastAsia="zh-CN"/>
        </w:rPr>
        <w:t>餐饮行业</w:t>
      </w:r>
      <w:r>
        <w:rPr>
          <w:rFonts w:hint="eastAsia" w:ascii="仿宋_GB2312" w:eastAsia="仿宋_GB2312"/>
          <w:sz w:val="32"/>
          <w:szCs w:val="32"/>
          <w:highlight w:val="none"/>
          <w:u w:val="none"/>
          <w:lang w:val="en-US" w:eastAsia="zh-CN"/>
        </w:rPr>
        <w:t>主动开展</w:t>
      </w:r>
      <w:r>
        <w:rPr>
          <w:rFonts w:hint="eastAsia" w:ascii="仿宋_GB2312" w:eastAsia="仿宋_GB2312"/>
          <w:sz w:val="32"/>
          <w:szCs w:val="32"/>
          <w:highlight w:val="none"/>
          <w:lang w:val="en-US" w:eastAsia="zh-CN"/>
        </w:rPr>
        <w:t>油烟治理提升工作，按照</w:t>
      </w:r>
      <w:r>
        <w:rPr>
          <w:rFonts w:hint="eastAsia" w:ascii="仿宋_GB2312" w:hAnsi="Times New Roman" w:eastAsia="仿宋_GB2312" w:cs="Times New Roman"/>
          <w:kern w:val="2"/>
          <w:sz w:val="32"/>
          <w:szCs w:val="32"/>
          <w:highlight w:val="none"/>
          <w:lang w:val="en-US" w:eastAsia="zh-CN" w:bidi="ar-SA"/>
        </w:rPr>
        <w:t>每1000m³/h</w:t>
      </w:r>
      <w:r>
        <w:rPr>
          <w:rFonts w:hint="eastAsia" w:ascii="仿宋_GB2312" w:eastAsia="仿宋_GB2312" w:cs="Times New Roman"/>
          <w:kern w:val="2"/>
          <w:sz w:val="32"/>
          <w:szCs w:val="32"/>
          <w:highlight w:val="none"/>
          <w:lang w:val="en-US" w:eastAsia="zh-CN" w:bidi="ar-SA"/>
        </w:rPr>
        <w:t>风量奖励</w:t>
      </w:r>
      <w:r>
        <w:rPr>
          <w:rFonts w:hint="eastAsia" w:ascii="仿宋_GB2312" w:hAnsi="Times New Roman" w:eastAsia="仿宋_GB2312" w:cs="Times New Roman"/>
          <w:kern w:val="2"/>
          <w:sz w:val="32"/>
          <w:szCs w:val="32"/>
          <w:highlight w:val="none"/>
          <w:lang w:val="en-US" w:eastAsia="zh-CN" w:bidi="ar-SA"/>
        </w:rPr>
        <w:t>300元</w:t>
      </w:r>
      <w:r>
        <w:rPr>
          <w:rFonts w:hint="eastAsia" w:ascii="仿宋_GB2312" w:eastAsia="仿宋_GB2312"/>
          <w:sz w:val="32"/>
          <w:szCs w:val="32"/>
          <w:highlight w:val="none"/>
          <w:u w:val="none"/>
          <w:lang w:val="en-US" w:eastAsia="zh-CN"/>
        </w:rPr>
        <w:t>发放奖励资金。</w:t>
      </w:r>
    </w:p>
    <w:p w14:paraId="12FB2027">
      <w:pPr>
        <w:widowControl/>
        <w:spacing w:line="560" w:lineRule="exact"/>
        <w:ind w:firstLine="643" w:firstLineChars="200"/>
        <w:jc w:val="left"/>
        <w:rPr>
          <w:rFonts w:hint="default" w:ascii="仿宋_GB2312" w:hAnsi="黑体" w:eastAsia="仿宋_GB2312" w:cs="仿宋_GB2312"/>
          <w:b/>
          <w:sz w:val="32"/>
          <w:szCs w:val="32"/>
          <w:lang w:val="en-US" w:eastAsia="zh-CN"/>
        </w:rPr>
      </w:pPr>
      <w:r>
        <w:rPr>
          <w:rFonts w:hint="eastAsia" w:ascii="仿宋_GB2312" w:hAnsi="黑体" w:cs="仿宋_GB2312"/>
          <w:b/>
          <w:sz w:val="32"/>
          <w:szCs w:val="32"/>
        </w:rPr>
        <w:t>第</w:t>
      </w:r>
      <w:r>
        <w:rPr>
          <w:rFonts w:hint="eastAsia" w:ascii="仿宋_GB2312" w:hAnsi="黑体" w:cs="仿宋_GB2312"/>
          <w:b/>
          <w:sz w:val="32"/>
          <w:szCs w:val="32"/>
          <w:lang w:eastAsia="zh-CN"/>
        </w:rPr>
        <w:t>四</w:t>
      </w:r>
      <w:r>
        <w:rPr>
          <w:rFonts w:hint="eastAsia" w:ascii="仿宋_GB2312" w:hAnsi="黑体" w:cs="仿宋_GB2312"/>
          <w:b/>
          <w:sz w:val="32"/>
          <w:szCs w:val="32"/>
          <w:lang w:val="en-US" w:eastAsia="zh-CN"/>
        </w:rPr>
        <w:t>章 奖励资金的申请与发放</w:t>
      </w:r>
    </w:p>
    <w:p w14:paraId="1F23C2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eastAsia="仿宋_GB2312"/>
          <w:sz w:val="32"/>
          <w:szCs w:val="32"/>
          <w:lang w:val="en-US" w:eastAsia="zh-CN"/>
        </w:rPr>
      </w:pPr>
      <w:r>
        <w:rPr>
          <w:rFonts w:hint="eastAsia" w:ascii="仿宋_GB2312" w:hAnsi="仿宋_GB2312" w:eastAsia="仿宋_GB2312" w:cs="仿宋_GB2312"/>
          <w:sz w:val="32"/>
          <w:szCs w:val="32"/>
          <w:u w:val="none"/>
          <w:lang w:val="en-US" w:eastAsia="zh-CN"/>
        </w:rPr>
        <w:t>餐饮单位或投资主体</w:t>
      </w:r>
      <w:r>
        <w:rPr>
          <w:rFonts w:hint="eastAsia" w:eastAsia="仿宋_GB2312"/>
          <w:sz w:val="32"/>
          <w:szCs w:val="32"/>
          <w:lang w:eastAsia="zh-CN"/>
        </w:rPr>
        <w:t>完成油烟治理提升工作后，</w:t>
      </w:r>
      <w:r>
        <w:rPr>
          <w:rFonts w:hint="eastAsia" w:eastAsia="仿宋_GB2312"/>
          <w:sz w:val="32"/>
          <w:szCs w:val="32"/>
          <w:highlight w:val="none"/>
          <w:u w:val="none"/>
          <w:lang w:val="en-US" w:eastAsia="zh-CN"/>
        </w:rPr>
        <w:t>可以申请领取以奖代补资金。</w:t>
      </w:r>
      <w:r>
        <w:rPr>
          <w:rFonts w:hint="eastAsia" w:ascii="仿宋_GB2312" w:hAnsi="仿宋_GB2312" w:eastAsia="仿宋_GB2312" w:cs="仿宋_GB2312"/>
          <w:color w:val="auto"/>
          <w:sz w:val="32"/>
          <w:szCs w:val="32"/>
          <w:u w:val="none"/>
          <w:lang w:val="en-US" w:eastAsia="zh-CN"/>
        </w:rPr>
        <w:t>申请时需</w:t>
      </w:r>
      <w:r>
        <w:rPr>
          <w:rFonts w:hint="eastAsia" w:eastAsia="仿宋_GB2312"/>
          <w:sz w:val="32"/>
          <w:szCs w:val="32"/>
          <w:u w:val="none"/>
          <w:lang w:eastAsia="zh-CN"/>
        </w:rPr>
        <w:t>提供</w:t>
      </w:r>
      <w:r>
        <w:rPr>
          <w:rFonts w:hint="eastAsia" w:eastAsia="仿宋_GB2312"/>
          <w:sz w:val="32"/>
          <w:szCs w:val="32"/>
          <w:lang w:val="en-US" w:eastAsia="zh-CN"/>
        </w:rPr>
        <w:t>加盖公章的营业执照复印件、合法有效的食品经营许可证或北京市小规模食品生产经营许可证复印件、</w:t>
      </w:r>
      <w:r>
        <w:rPr>
          <w:rFonts w:hint="eastAsia" w:eastAsia="仿宋_GB2312"/>
          <w:sz w:val="32"/>
          <w:szCs w:val="32"/>
          <w:lang w:eastAsia="zh-CN"/>
        </w:rPr>
        <w:t>油烟治理提升前后对比照片</w:t>
      </w:r>
      <w:r>
        <w:rPr>
          <w:rFonts w:hint="eastAsia" w:eastAsia="仿宋_GB2312"/>
          <w:sz w:val="32"/>
          <w:szCs w:val="32"/>
          <w:lang w:val="en-US" w:eastAsia="zh-CN"/>
        </w:rPr>
        <w:t>及安装阶段照片</w:t>
      </w:r>
      <w:r>
        <w:rPr>
          <w:rFonts w:hint="eastAsia" w:eastAsia="仿宋_GB2312"/>
          <w:sz w:val="32"/>
          <w:szCs w:val="32"/>
          <w:lang w:eastAsia="zh-CN"/>
        </w:rPr>
        <w:t>、油烟净化设施更换或购买</w:t>
      </w:r>
      <w:r>
        <w:rPr>
          <w:rFonts w:hint="eastAsia" w:eastAsia="仿宋_GB2312"/>
          <w:sz w:val="32"/>
          <w:szCs w:val="32"/>
          <w:lang w:val="en-US" w:eastAsia="zh-CN"/>
        </w:rPr>
        <w:t>合同及</w:t>
      </w:r>
      <w:r>
        <w:rPr>
          <w:rFonts w:hint="eastAsia" w:eastAsia="仿宋_GB2312"/>
          <w:sz w:val="32"/>
          <w:szCs w:val="32"/>
          <w:lang w:eastAsia="zh-CN"/>
        </w:rPr>
        <w:t>发票</w:t>
      </w:r>
      <w:r>
        <w:rPr>
          <w:rFonts w:hint="eastAsia" w:eastAsia="仿宋_GB2312"/>
          <w:sz w:val="32"/>
          <w:szCs w:val="32"/>
          <w:lang w:val="en-US" w:eastAsia="zh-CN"/>
        </w:rPr>
        <w:t>复印件、</w:t>
      </w:r>
      <w:r>
        <w:rPr>
          <w:rFonts w:hint="eastAsia" w:eastAsia="仿宋_GB2312"/>
          <w:sz w:val="32"/>
          <w:szCs w:val="32"/>
          <w:lang w:eastAsia="zh-CN"/>
        </w:rPr>
        <w:t>油烟治理提升后的废气检测报告</w:t>
      </w:r>
      <w:r>
        <w:rPr>
          <w:rFonts w:hint="eastAsia" w:ascii="仿宋_GB2312" w:hAnsi="仿宋_GB2312" w:eastAsia="仿宋_GB2312" w:cs="仿宋_GB2312"/>
          <w:color w:val="auto"/>
          <w:sz w:val="32"/>
          <w:szCs w:val="32"/>
          <w:u w:val="none"/>
          <w:lang w:val="en-US" w:eastAsia="zh-CN"/>
        </w:rPr>
        <w:t>原件或复印件（合同中注明处理设施治理效率的可不提供）和加盖公章的</w:t>
      </w:r>
      <w:r>
        <w:rPr>
          <w:rFonts w:hint="eastAsia" w:eastAsia="仿宋_GB2312"/>
          <w:sz w:val="32"/>
          <w:szCs w:val="32"/>
          <w:highlight w:val="none"/>
          <w:u w:val="none"/>
          <w:lang w:val="en-US" w:eastAsia="zh-CN"/>
        </w:rPr>
        <w:t>奖励资金</w:t>
      </w:r>
      <w:r>
        <w:rPr>
          <w:rFonts w:hint="eastAsia" w:eastAsia="仿宋_GB2312"/>
          <w:sz w:val="32"/>
          <w:szCs w:val="32"/>
          <w:u w:val="none"/>
          <w:lang w:val="en-US" w:eastAsia="zh-CN"/>
        </w:rPr>
        <w:t>申请表原件。</w:t>
      </w:r>
    </w:p>
    <w:p w14:paraId="597D0F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黑体" w:hAnsi="黑体" w:eastAsia="黑体"/>
          <w:sz w:val="32"/>
          <w:szCs w:val="32"/>
        </w:rPr>
      </w:pPr>
      <w:r>
        <w:rPr>
          <w:rFonts w:hint="eastAsia" w:ascii="仿宋_GB2312" w:hAnsi="仿宋_GB2312" w:eastAsia="仿宋_GB2312" w:cs="仿宋_GB2312"/>
          <w:sz w:val="32"/>
          <w:szCs w:val="32"/>
          <w:u w:val="none"/>
          <w:lang w:val="en-US" w:eastAsia="zh-CN"/>
        </w:rPr>
        <w:t>餐饮单位或投资主体</w:t>
      </w:r>
      <w:r>
        <w:rPr>
          <w:rFonts w:eastAsia="仿宋_GB2312"/>
          <w:sz w:val="32"/>
          <w:szCs w:val="32"/>
        </w:rPr>
        <w:t>提出验收申请</w:t>
      </w:r>
      <w:r>
        <w:rPr>
          <w:rFonts w:hint="eastAsia" w:eastAsia="仿宋_GB2312"/>
          <w:sz w:val="32"/>
          <w:szCs w:val="32"/>
          <w:lang w:val="en-US" w:eastAsia="zh-CN"/>
        </w:rPr>
        <w:t>后</w:t>
      </w:r>
      <w:r>
        <w:rPr>
          <w:rFonts w:eastAsia="仿宋_GB2312"/>
          <w:sz w:val="32"/>
          <w:szCs w:val="32"/>
        </w:rPr>
        <w:t>，</w:t>
      </w:r>
      <w:r>
        <w:rPr>
          <w:rFonts w:hint="eastAsia" w:eastAsia="仿宋_GB2312"/>
          <w:sz w:val="32"/>
          <w:szCs w:val="32"/>
          <w:lang w:val="en-US" w:eastAsia="zh-CN"/>
        </w:rPr>
        <w:t>由丰台</w:t>
      </w:r>
      <w:r>
        <w:rPr>
          <w:rFonts w:eastAsia="仿宋_GB2312"/>
          <w:sz w:val="32"/>
          <w:szCs w:val="32"/>
        </w:rPr>
        <w:t>区</w:t>
      </w:r>
      <w:r>
        <w:rPr>
          <w:rFonts w:hint="eastAsia" w:eastAsia="仿宋_GB2312"/>
          <w:sz w:val="32"/>
          <w:szCs w:val="32"/>
          <w:lang w:eastAsia="zh-CN"/>
        </w:rPr>
        <w:t>生态环境局</w:t>
      </w:r>
      <w:r>
        <w:rPr>
          <w:rFonts w:eastAsia="仿宋_GB2312"/>
          <w:sz w:val="32"/>
          <w:szCs w:val="32"/>
        </w:rPr>
        <w:t>组织</w:t>
      </w:r>
      <w:r>
        <w:rPr>
          <w:rFonts w:hint="eastAsia" w:eastAsia="仿宋_GB2312"/>
          <w:sz w:val="32"/>
          <w:szCs w:val="32"/>
          <w:lang w:val="en-US" w:eastAsia="zh-CN"/>
        </w:rPr>
        <w:t>现场踏勘。</w:t>
      </w:r>
      <w:r>
        <w:rPr>
          <w:rFonts w:hint="eastAsia" w:ascii="仿宋_GB2312" w:hAnsi="仿宋_GB2312" w:eastAsia="仿宋_GB2312" w:cs="仿宋_GB2312"/>
          <w:sz w:val="32"/>
          <w:szCs w:val="32"/>
          <w:u w:val="none"/>
        </w:rPr>
        <w:t>经现场踏勘及审核</w:t>
      </w:r>
      <w:r>
        <w:rPr>
          <w:rFonts w:hint="eastAsia" w:ascii="仿宋_GB2312" w:hAnsi="仿宋_GB2312" w:eastAsia="仿宋_GB2312" w:cs="仿宋_GB2312"/>
          <w:sz w:val="32"/>
          <w:szCs w:val="32"/>
          <w:u w:val="none"/>
          <w:lang w:eastAsia="zh-CN"/>
        </w:rPr>
        <w:t>上述材料</w:t>
      </w:r>
      <w:r>
        <w:rPr>
          <w:rFonts w:hint="eastAsia" w:ascii="仿宋_GB2312" w:hAnsi="仿宋_GB2312" w:eastAsia="仿宋_GB2312" w:cs="仿宋_GB2312"/>
          <w:sz w:val="32"/>
          <w:szCs w:val="32"/>
          <w:u w:val="none"/>
        </w:rPr>
        <w:t>后，丰台区生态环境局出具</w:t>
      </w:r>
      <w:r>
        <w:rPr>
          <w:rFonts w:hint="eastAsia" w:ascii="仿宋_GB2312" w:hAnsi="仿宋_GB2312" w:eastAsia="仿宋_GB2312" w:cs="仿宋_GB2312"/>
          <w:sz w:val="32"/>
          <w:szCs w:val="32"/>
          <w:u w:val="none"/>
          <w:lang w:val="en-US" w:eastAsia="zh-CN"/>
        </w:rPr>
        <w:t>审查</w:t>
      </w:r>
      <w:r>
        <w:rPr>
          <w:rFonts w:hint="eastAsia" w:ascii="仿宋_GB2312" w:hAnsi="仿宋_GB2312" w:eastAsia="仿宋_GB2312" w:cs="仿宋_GB2312"/>
          <w:sz w:val="32"/>
          <w:szCs w:val="32"/>
          <w:u w:val="none"/>
        </w:rPr>
        <w:t>意见。未通过</w:t>
      </w:r>
      <w:r>
        <w:rPr>
          <w:rFonts w:hint="eastAsia" w:ascii="仿宋_GB2312" w:hAnsi="仿宋_GB2312" w:eastAsia="仿宋_GB2312" w:cs="仿宋_GB2312"/>
          <w:sz w:val="32"/>
          <w:szCs w:val="32"/>
          <w:u w:val="none"/>
          <w:lang w:val="en-US" w:eastAsia="zh-CN"/>
        </w:rPr>
        <w:t>审查</w:t>
      </w:r>
      <w:r>
        <w:rPr>
          <w:rFonts w:hint="eastAsia" w:ascii="仿宋_GB2312" w:hAnsi="仿宋_GB2312" w:eastAsia="仿宋_GB2312" w:cs="仿宋_GB2312"/>
          <w:sz w:val="32"/>
          <w:szCs w:val="32"/>
          <w:u w:val="none"/>
        </w:rPr>
        <w:t>的不能</w:t>
      </w:r>
      <w:r>
        <w:rPr>
          <w:rFonts w:hint="eastAsia" w:ascii="仿宋_GB2312" w:hAnsi="仿宋_GB2312" w:eastAsia="仿宋_GB2312" w:cs="仿宋_GB2312"/>
          <w:sz w:val="32"/>
          <w:szCs w:val="32"/>
          <w:u w:val="none"/>
          <w:lang w:eastAsia="zh-CN"/>
        </w:rPr>
        <w:t>申领</w:t>
      </w:r>
      <w:r>
        <w:rPr>
          <w:rFonts w:hint="eastAsia" w:ascii="仿宋_GB2312" w:hAnsi="仿宋_GB2312" w:eastAsia="仿宋_GB2312" w:cs="仿宋_GB2312"/>
          <w:sz w:val="32"/>
          <w:szCs w:val="32"/>
          <w:u w:val="none"/>
          <w:lang w:val="en-US" w:eastAsia="zh-CN"/>
        </w:rPr>
        <w:t>奖励</w:t>
      </w:r>
      <w:r>
        <w:rPr>
          <w:rFonts w:hint="eastAsia" w:ascii="仿宋_GB2312" w:hAnsi="Times New Roman" w:eastAsia="仿宋_GB2312" w:cs="Times New Roman"/>
          <w:kern w:val="2"/>
          <w:sz w:val="32"/>
          <w:szCs w:val="32"/>
          <w:highlight w:val="none"/>
          <w:u w:val="none"/>
          <w:lang w:val="en-US" w:eastAsia="zh-CN" w:bidi="ar-SA"/>
        </w:rPr>
        <w:t>资金</w:t>
      </w:r>
      <w:r>
        <w:rPr>
          <w:rFonts w:hint="eastAsia" w:ascii="仿宋_GB2312" w:hAnsi="仿宋_GB2312" w:eastAsia="仿宋_GB2312" w:cs="仿宋_GB2312"/>
          <w:sz w:val="32"/>
          <w:szCs w:val="32"/>
          <w:u w:val="none"/>
        </w:rPr>
        <w:t>。</w:t>
      </w:r>
    </w:p>
    <w:p w14:paraId="5CD4105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仿宋_GB2312"/>
          <w:sz w:val="32"/>
          <w:szCs w:val="32"/>
        </w:rPr>
      </w:pPr>
      <w:r>
        <w:rPr>
          <w:rFonts w:hint="eastAsia" w:eastAsia="仿宋_GB2312"/>
          <w:sz w:val="32"/>
          <w:szCs w:val="32"/>
        </w:rPr>
        <w:t>奖励资金由丰台区生态环境局根据</w:t>
      </w:r>
      <w:r>
        <w:rPr>
          <w:rFonts w:hint="eastAsia" w:eastAsia="仿宋_GB2312"/>
          <w:sz w:val="32"/>
          <w:szCs w:val="32"/>
          <w:lang w:eastAsia="zh-CN"/>
        </w:rPr>
        <w:t>餐饮油烟治理提升工作开展</w:t>
      </w:r>
      <w:r>
        <w:rPr>
          <w:rFonts w:hint="eastAsia" w:eastAsia="仿宋_GB2312"/>
          <w:sz w:val="32"/>
          <w:szCs w:val="32"/>
        </w:rPr>
        <w:t>情况，向丰台区财政局申请预算资金，丰台区财政局按照预算管理程序安排用于奖励的预算资金。</w:t>
      </w:r>
    </w:p>
    <w:p w14:paraId="79044C83">
      <w:pPr>
        <w:keepNext w:val="0"/>
        <w:keepLines w:val="0"/>
        <w:pageBreakBefore w:val="0"/>
        <w:numPr>
          <w:ilvl w:val="-1"/>
          <w:numId w:val="0"/>
        </w:numPr>
        <w:kinsoku/>
        <w:wordWrap/>
        <w:overflowPunct/>
        <w:topLinePunct w:val="0"/>
        <w:autoSpaceDE/>
        <w:autoSpaceDN/>
        <w:bidi w:val="0"/>
        <w:snapToGrid/>
        <w:spacing w:line="560" w:lineRule="exact"/>
        <w:ind w:left="0" w:leftChars="0" w:right="0" w:rightChars="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申请奖励资金的</w:t>
      </w:r>
      <w:r>
        <w:rPr>
          <w:rFonts w:hint="eastAsia" w:ascii="仿宋_GB2312" w:hAnsi="仿宋_GB2312" w:eastAsia="仿宋_GB2312" w:cs="仿宋_GB2312"/>
          <w:sz w:val="32"/>
          <w:szCs w:val="32"/>
          <w:u w:val="none"/>
          <w:lang w:val="en-US" w:eastAsia="zh-CN"/>
        </w:rPr>
        <w:t>餐饮单位或投资主体</w:t>
      </w:r>
      <w:r>
        <w:rPr>
          <w:rFonts w:hint="eastAsia" w:eastAsia="仿宋_GB2312"/>
          <w:sz w:val="32"/>
          <w:szCs w:val="32"/>
          <w:lang w:val="en-US" w:eastAsia="zh-CN"/>
        </w:rPr>
        <w:t>，如有涉及生态环境类立案审查程序的，暂停奖励资金发放，待立案审查程序结束后，如未涉及行政处罚，</w:t>
      </w:r>
      <w:r>
        <w:rPr>
          <w:rFonts w:hint="eastAsia" w:eastAsia="仿宋_GB2312"/>
          <w:sz w:val="32"/>
          <w:szCs w:val="32"/>
          <w:u w:val="none"/>
          <w:lang w:val="en-US" w:eastAsia="zh-CN"/>
        </w:rPr>
        <w:t>由丰台区生态环境局</w:t>
      </w:r>
      <w:r>
        <w:rPr>
          <w:rFonts w:hint="default" w:eastAsia="仿宋_GB2312"/>
          <w:sz w:val="32"/>
          <w:szCs w:val="32"/>
          <w:u w:val="none"/>
          <w:lang w:val="en-US" w:eastAsia="zh-CN"/>
        </w:rPr>
        <w:t>重新</w:t>
      </w:r>
      <w:r>
        <w:rPr>
          <w:rFonts w:hint="eastAsia" w:eastAsia="仿宋_GB2312"/>
          <w:sz w:val="32"/>
          <w:szCs w:val="32"/>
          <w:u w:val="none"/>
          <w:lang w:val="en-US" w:eastAsia="zh-CN"/>
        </w:rPr>
        <w:t>进行材料及现场审查；如涉及行政处罚的，不能申领奖励资金</w:t>
      </w:r>
      <w:r>
        <w:rPr>
          <w:rFonts w:hint="default" w:eastAsia="仿宋_GB2312"/>
          <w:sz w:val="32"/>
          <w:szCs w:val="32"/>
          <w:u w:val="none"/>
          <w:lang w:val="en-US" w:eastAsia="zh-CN"/>
        </w:rPr>
        <w:t>。</w:t>
      </w:r>
    </w:p>
    <w:p w14:paraId="4E3DDC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黑体" w:hAnsi="黑体" w:eastAsia="黑体"/>
          <w:sz w:val="32"/>
          <w:szCs w:val="32"/>
          <w:lang w:val="en-US" w:eastAsia="zh-CN"/>
        </w:rPr>
      </w:pPr>
      <w:r>
        <w:rPr>
          <w:rFonts w:hint="eastAsia" w:eastAsia="仿宋_GB2312"/>
          <w:sz w:val="32"/>
          <w:szCs w:val="32"/>
          <w:u w:val="none"/>
          <w:lang w:val="en-US" w:eastAsia="zh-CN"/>
        </w:rPr>
        <w:t>如发现</w:t>
      </w:r>
      <w:r>
        <w:rPr>
          <w:rFonts w:hint="eastAsia" w:ascii="仿宋_GB2312" w:hAnsi="仿宋_GB2312" w:eastAsia="仿宋_GB2312" w:cs="仿宋_GB2312"/>
          <w:sz w:val="32"/>
          <w:szCs w:val="32"/>
          <w:u w:val="none"/>
          <w:lang w:val="en-US" w:eastAsia="zh-CN"/>
        </w:rPr>
        <w:t>餐饮单位或投资主体</w:t>
      </w:r>
      <w:r>
        <w:rPr>
          <w:rFonts w:hint="eastAsia" w:eastAsia="仿宋_GB2312"/>
          <w:sz w:val="32"/>
          <w:szCs w:val="32"/>
          <w:u w:val="none"/>
          <w:lang w:val="en-US" w:eastAsia="zh-CN"/>
        </w:rPr>
        <w:t>在奖励资金申请过程中，存在弄虚作假行为的，及时将线索移交行业管理部门依法进行查处。对已领取奖励资金的</w:t>
      </w:r>
      <w:r>
        <w:rPr>
          <w:rFonts w:hint="eastAsia" w:eastAsia="仿宋_GB2312"/>
          <w:sz w:val="32"/>
          <w:szCs w:val="32"/>
          <w:lang w:val="en-US" w:eastAsia="zh-CN"/>
        </w:rPr>
        <w:t>餐饮单位</w:t>
      </w:r>
      <w:r>
        <w:rPr>
          <w:rFonts w:hint="eastAsia" w:eastAsia="仿宋_GB2312"/>
          <w:sz w:val="32"/>
          <w:szCs w:val="32"/>
          <w:u w:val="none"/>
          <w:lang w:val="en-US" w:eastAsia="zh-CN"/>
        </w:rPr>
        <w:t>依法追回奖励</w:t>
      </w:r>
      <w:r>
        <w:rPr>
          <w:rFonts w:hint="eastAsia" w:ascii="仿宋_GB2312" w:hAnsi="Times New Roman" w:eastAsia="仿宋_GB2312" w:cs="Times New Roman"/>
          <w:kern w:val="2"/>
          <w:sz w:val="32"/>
          <w:szCs w:val="32"/>
          <w:highlight w:val="none"/>
          <w:u w:val="none"/>
          <w:lang w:val="en-US" w:eastAsia="zh-CN" w:bidi="ar-SA"/>
        </w:rPr>
        <w:t>资金</w:t>
      </w:r>
      <w:r>
        <w:rPr>
          <w:rFonts w:hint="eastAsia" w:eastAsia="仿宋_GB2312"/>
          <w:sz w:val="32"/>
          <w:szCs w:val="32"/>
          <w:u w:val="none"/>
          <w:lang w:val="en-US" w:eastAsia="zh-CN"/>
        </w:rPr>
        <w:t>。情节严重触犯法律的，依法追究相关个人和餐饮单位的法律责任。</w:t>
      </w:r>
    </w:p>
    <w:p w14:paraId="45267E19">
      <w:pPr>
        <w:widowControl/>
        <w:spacing w:line="560" w:lineRule="exact"/>
        <w:ind w:firstLine="643" w:firstLineChars="200"/>
        <w:jc w:val="left"/>
        <w:rPr>
          <w:rFonts w:hint="default" w:ascii="仿宋_GB2312" w:hAnsi="黑体" w:eastAsia="仿宋_GB2312" w:cs="仿宋_GB2312"/>
          <w:b/>
          <w:sz w:val="32"/>
          <w:szCs w:val="32"/>
          <w:lang w:val="en-US" w:eastAsia="zh-CN"/>
        </w:rPr>
      </w:pPr>
      <w:r>
        <w:rPr>
          <w:rFonts w:hint="eastAsia" w:ascii="仿宋_GB2312" w:hAnsi="黑体" w:cs="仿宋_GB2312"/>
          <w:b/>
          <w:sz w:val="32"/>
          <w:szCs w:val="32"/>
        </w:rPr>
        <w:t>第</w:t>
      </w:r>
      <w:r>
        <w:rPr>
          <w:rFonts w:hint="eastAsia" w:ascii="仿宋_GB2312" w:hAnsi="黑体" w:cs="仿宋_GB2312"/>
          <w:b/>
          <w:sz w:val="32"/>
          <w:szCs w:val="32"/>
          <w:lang w:val="en-US" w:eastAsia="zh-CN"/>
        </w:rPr>
        <w:t>五章 监督管理</w:t>
      </w:r>
    </w:p>
    <w:p w14:paraId="625DB043">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eastAsia="仿宋_GB2312"/>
          <w:sz w:val="32"/>
          <w:szCs w:val="32"/>
        </w:rPr>
      </w:pPr>
      <w:r>
        <w:rPr>
          <w:rFonts w:eastAsia="仿宋_GB2312"/>
          <w:sz w:val="32"/>
          <w:szCs w:val="32"/>
        </w:rPr>
        <w:t>各</w:t>
      </w:r>
      <w:r>
        <w:rPr>
          <w:rFonts w:hint="eastAsia" w:eastAsia="仿宋_GB2312"/>
          <w:sz w:val="32"/>
          <w:szCs w:val="32"/>
          <w:lang w:eastAsia="zh-CN"/>
        </w:rPr>
        <w:t>餐饮</w:t>
      </w:r>
      <w:r>
        <w:rPr>
          <w:rFonts w:eastAsia="仿宋_GB2312"/>
          <w:sz w:val="32"/>
          <w:szCs w:val="32"/>
        </w:rPr>
        <w:t>单位</w:t>
      </w:r>
      <w:r>
        <w:rPr>
          <w:rFonts w:hint="eastAsia" w:ascii="仿宋_GB2312" w:hAnsi="仿宋_GB2312" w:eastAsia="仿宋_GB2312" w:cs="仿宋_GB2312"/>
          <w:sz w:val="32"/>
          <w:szCs w:val="32"/>
          <w:u w:val="none"/>
          <w:lang w:val="en-US" w:eastAsia="zh-CN"/>
        </w:rPr>
        <w:t>或投资主体</w:t>
      </w:r>
      <w:r>
        <w:rPr>
          <w:rFonts w:eastAsia="仿宋_GB2312"/>
          <w:sz w:val="32"/>
          <w:szCs w:val="32"/>
        </w:rPr>
        <w:t>是实施</w:t>
      </w:r>
      <w:r>
        <w:rPr>
          <w:rFonts w:hint="eastAsia" w:eastAsia="仿宋_GB2312"/>
          <w:sz w:val="32"/>
          <w:szCs w:val="32"/>
          <w:lang w:eastAsia="zh-CN"/>
        </w:rPr>
        <w:t>油烟治理提升工作</w:t>
      </w:r>
      <w:r>
        <w:rPr>
          <w:rFonts w:eastAsia="仿宋_GB2312"/>
          <w:sz w:val="32"/>
          <w:szCs w:val="32"/>
        </w:rPr>
        <w:t>的责任主体，应自主选择</w:t>
      </w:r>
      <w:r>
        <w:rPr>
          <w:rFonts w:hint="eastAsia" w:eastAsia="仿宋_GB2312"/>
          <w:sz w:val="32"/>
          <w:szCs w:val="32"/>
          <w:lang w:eastAsia="zh-CN"/>
        </w:rPr>
        <w:t>治理</w:t>
      </w:r>
      <w:r>
        <w:rPr>
          <w:rFonts w:eastAsia="仿宋_GB2312"/>
          <w:sz w:val="32"/>
          <w:szCs w:val="32"/>
        </w:rPr>
        <w:t>技术和设备，承担改造项目的安全、环保、节能责任。</w:t>
      </w:r>
    </w:p>
    <w:p w14:paraId="63A60C02">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hint="eastAsia" w:eastAsia="仿宋_GB2312"/>
          <w:sz w:val="32"/>
          <w:szCs w:val="32"/>
          <w:lang w:eastAsia="zh-CN"/>
        </w:rPr>
      </w:pPr>
      <w:r>
        <w:rPr>
          <w:rFonts w:hint="eastAsia" w:eastAsia="仿宋_GB2312"/>
          <w:sz w:val="32"/>
          <w:szCs w:val="32"/>
          <w:lang w:eastAsia="zh-CN"/>
        </w:rPr>
        <w:t>丰台区商务局作为行业管理部门，</w:t>
      </w:r>
      <w:r>
        <w:rPr>
          <w:rFonts w:hint="eastAsia" w:eastAsia="仿宋_GB2312"/>
          <w:sz w:val="32"/>
          <w:szCs w:val="32"/>
          <w:lang w:val="en-US" w:eastAsia="zh-CN"/>
        </w:rPr>
        <w:t>按照“三管三必须”要求，</w:t>
      </w:r>
      <w:r>
        <w:rPr>
          <w:rFonts w:eastAsia="仿宋_GB2312"/>
          <w:sz w:val="32"/>
          <w:szCs w:val="32"/>
        </w:rPr>
        <w:t>依法</w:t>
      </w:r>
      <w:r>
        <w:rPr>
          <w:rFonts w:hint="eastAsia" w:eastAsia="仿宋_GB2312"/>
          <w:sz w:val="32"/>
          <w:szCs w:val="32"/>
          <w:lang w:eastAsia="zh-CN"/>
        </w:rPr>
        <w:t>做好餐饮单位</w:t>
      </w:r>
      <w:r>
        <w:rPr>
          <w:rFonts w:eastAsia="仿宋_GB2312"/>
          <w:sz w:val="32"/>
          <w:szCs w:val="32"/>
        </w:rPr>
        <w:t>安全</w:t>
      </w:r>
      <w:r>
        <w:rPr>
          <w:rFonts w:hint="eastAsia" w:eastAsia="仿宋_GB2312"/>
          <w:sz w:val="32"/>
          <w:szCs w:val="32"/>
          <w:lang w:val="en-US" w:eastAsia="zh-CN"/>
        </w:rPr>
        <w:t>检查工作。</w:t>
      </w:r>
    </w:p>
    <w:p w14:paraId="788837DC">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eastAsia="仿宋_GB2312"/>
          <w:sz w:val="32"/>
          <w:szCs w:val="32"/>
        </w:rPr>
      </w:pPr>
      <w:r>
        <w:rPr>
          <w:rFonts w:hint="eastAsia" w:eastAsia="仿宋_GB2312"/>
          <w:sz w:val="32"/>
          <w:szCs w:val="32"/>
          <w:lang w:val="en-US" w:eastAsia="zh-CN"/>
        </w:rPr>
        <w:t>丰台</w:t>
      </w:r>
      <w:r>
        <w:rPr>
          <w:rFonts w:eastAsia="仿宋_GB2312"/>
          <w:sz w:val="32"/>
          <w:szCs w:val="32"/>
        </w:rPr>
        <w:t>区</w:t>
      </w:r>
      <w:r>
        <w:rPr>
          <w:rFonts w:hint="eastAsia" w:eastAsia="仿宋_GB2312"/>
          <w:sz w:val="32"/>
          <w:szCs w:val="32"/>
          <w:lang w:eastAsia="zh-CN"/>
        </w:rPr>
        <w:t>生态环境</w:t>
      </w:r>
      <w:r>
        <w:rPr>
          <w:rFonts w:eastAsia="仿宋_GB2312"/>
          <w:sz w:val="32"/>
          <w:szCs w:val="32"/>
        </w:rPr>
        <w:t>局要加大监督执法及资金投入力度，做好宣传动员、建立台账、编制资金预算、跟踪</w:t>
      </w:r>
      <w:r>
        <w:rPr>
          <w:rFonts w:hint="eastAsia" w:eastAsia="仿宋_GB2312"/>
          <w:sz w:val="32"/>
          <w:szCs w:val="32"/>
          <w:lang w:eastAsia="zh-CN"/>
        </w:rPr>
        <w:t>治理提升</w:t>
      </w:r>
      <w:r>
        <w:rPr>
          <w:rFonts w:eastAsia="仿宋_GB2312"/>
          <w:sz w:val="32"/>
          <w:szCs w:val="32"/>
        </w:rPr>
        <w:t>过程</w:t>
      </w:r>
      <w:r>
        <w:rPr>
          <w:rFonts w:hint="eastAsia" w:eastAsia="仿宋_GB2312"/>
          <w:sz w:val="32"/>
          <w:szCs w:val="32"/>
          <w:lang w:eastAsia="zh-CN"/>
        </w:rPr>
        <w:t>，</w:t>
      </w:r>
      <w:r>
        <w:rPr>
          <w:rFonts w:eastAsia="仿宋_GB2312"/>
          <w:sz w:val="32"/>
          <w:szCs w:val="32"/>
        </w:rPr>
        <w:t>建立</w:t>
      </w:r>
      <w:r>
        <w:rPr>
          <w:rFonts w:hint="eastAsia" w:eastAsia="仿宋_GB2312"/>
          <w:sz w:val="32"/>
          <w:szCs w:val="32"/>
          <w:lang w:eastAsia="zh-CN"/>
        </w:rPr>
        <w:t>奖励资金</w:t>
      </w:r>
      <w:r>
        <w:rPr>
          <w:rFonts w:eastAsia="仿宋_GB2312"/>
          <w:sz w:val="32"/>
          <w:szCs w:val="32"/>
        </w:rPr>
        <w:t>“一户一档”。</w:t>
      </w:r>
    </w:p>
    <w:p w14:paraId="61F9A1F8">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eastAsia="仿宋_GB2312"/>
          <w:sz w:val="32"/>
          <w:szCs w:val="32"/>
        </w:rPr>
      </w:pPr>
      <w:r>
        <w:rPr>
          <w:rFonts w:hint="eastAsia" w:eastAsia="仿宋_GB2312"/>
          <w:sz w:val="32"/>
          <w:szCs w:val="32"/>
          <w:lang w:val="en-US" w:eastAsia="zh-CN"/>
        </w:rPr>
        <w:t>丰台</w:t>
      </w:r>
      <w:r>
        <w:rPr>
          <w:rFonts w:eastAsia="仿宋_GB2312"/>
          <w:sz w:val="32"/>
          <w:szCs w:val="32"/>
        </w:rPr>
        <w:t>区财政局负责安排以奖代补资金，加强资金使用管理的监督。</w:t>
      </w:r>
    </w:p>
    <w:p w14:paraId="63ADC931">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eastAsia="仿宋_GB2312"/>
          <w:sz w:val="32"/>
          <w:szCs w:val="32"/>
        </w:rPr>
      </w:pPr>
      <w:r>
        <w:rPr>
          <w:rFonts w:hint="eastAsia" w:eastAsia="仿宋_GB2312"/>
          <w:sz w:val="32"/>
          <w:szCs w:val="32"/>
        </w:rPr>
        <w:t>奖励资金必须专款专用，任何单位</w:t>
      </w:r>
      <w:r>
        <w:rPr>
          <w:rFonts w:hint="eastAsia" w:eastAsia="仿宋_GB2312"/>
          <w:sz w:val="32"/>
          <w:szCs w:val="32"/>
          <w:lang w:eastAsia="zh-CN"/>
        </w:rPr>
        <w:t>及个人</w:t>
      </w:r>
      <w:r>
        <w:rPr>
          <w:rFonts w:hint="eastAsia" w:eastAsia="仿宋_GB2312"/>
          <w:sz w:val="32"/>
          <w:szCs w:val="32"/>
        </w:rPr>
        <w:t>不得以任何理由虚报、骗取、截留、挪用奖励资金。对违反规定的，将按照《财政违法行为处罚处分条例》（国务院令第427号）等有关规定，依法追究有关单位和人员责任。</w:t>
      </w:r>
    </w:p>
    <w:p w14:paraId="7674C3AC">
      <w:pPr>
        <w:widowControl/>
        <w:spacing w:line="560" w:lineRule="exact"/>
        <w:ind w:firstLine="643" w:firstLineChars="200"/>
        <w:jc w:val="left"/>
        <w:rPr>
          <w:rFonts w:hint="default" w:ascii="仿宋_GB2312" w:hAnsi="黑体" w:eastAsia="仿宋_GB2312" w:cs="仿宋_GB2312"/>
          <w:b/>
          <w:sz w:val="32"/>
          <w:szCs w:val="32"/>
          <w:lang w:val="en-US" w:eastAsia="zh-CN"/>
        </w:rPr>
      </w:pPr>
      <w:r>
        <w:rPr>
          <w:rFonts w:hint="eastAsia" w:ascii="仿宋_GB2312" w:hAnsi="黑体" w:cs="仿宋_GB2312"/>
          <w:b/>
          <w:sz w:val="32"/>
          <w:szCs w:val="32"/>
        </w:rPr>
        <w:t>第</w:t>
      </w:r>
      <w:r>
        <w:rPr>
          <w:rFonts w:hint="eastAsia" w:ascii="仿宋_GB2312" w:hAnsi="黑体" w:cs="仿宋_GB2312"/>
          <w:b/>
          <w:sz w:val="32"/>
          <w:szCs w:val="32"/>
          <w:lang w:val="en-US" w:eastAsia="zh-CN"/>
        </w:rPr>
        <w:t>六章 附则</w:t>
      </w:r>
    </w:p>
    <w:p w14:paraId="2279305A">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hint="default" w:eastAsia="仿宋_GB2312"/>
          <w:sz w:val="32"/>
          <w:szCs w:val="32"/>
          <w:lang w:val="en-US" w:eastAsia="zh-CN"/>
        </w:rPr>
      </w:pPr>
      <w:r>
        <w:rPr>
          <w:rFonts w:eastAsia="仿宋_GB2312"/>
          <w:sz w:val="32"/>
          <w:szCs w:val="32"/>
        </w:rPr>
        <w:t>本办法自发布之日起施行。</w:t>
      </w:r>
      <w:r>
        <w:rPr>
          <w:rFonts w:hint="eastAsia" w:eastAsia="仿宋_GB2312"/>
          <w:sz w:val="32"/>
          <w:szCs w:val="32"/>
          <w:lang w:val="en-US" w:eastAsia="zh-CN"/>
        </w:rPr>
        <w:t>2024年开展餐饮行业油烟升级改造的餐饮单位，按照《丰台区生态环境局2024年餐饮行业油烟升级改造以奖代补工作办法》实施。</w:t>
      </w:r>
    </w:p>
    <w:p w14:paraId="464E9599">
      <w:pPr>
        <w:keepNext w:val="0"/>
        <w:keepLines w:val="0"/>
        <w:pageBreakBefore w:val="0"/>
        <w:kinsoku/>
        <w:wordWrap/>
        <w:overflowPunct/>
        <w:topLinePunct w:val="0"/>
        <w:autoSpaceDE/>
        <w:autoSpaceDN/>
        <w:bidi w:val="0"/>
        <w:snapToGrid/>
        <w:spacing w:line="560" w:lineRule="exact"/>
        <w:ind w:left="0" w:leftChars="0" w:right="0" w:rightChars="0" w:firstLine="640" w:firstLineChars="200"/>
        <w:jc w:val="both"/>
        <w:textAlignment w:val="auto"/>
        <w:rPr>
          <w:rFonts w:eastAsia="仿宋_GB2312"/>
          <w:sz w:val="32"/>
          <w:szCs w:val="32"/>
        </w:rPr>
      </w:pPr>
      <w:r>
        <w:rPr>
          <w:rFonts w:eastAsia="仿宋_GB2312"/>
          <w:sz w:val="32"/>
          <w:szCs w:val="32"/>
        </w:rPr>
        <w:t>本办法由</w:t>
      </w:r>
      <w:r>
        <w:rPr>
          <w:rFonts w:hint="eastAsia" w:eastAsia="仿宋_GB2312"/>
          <w:sz w:val="32"/>
          <w:szCs w:val="32"/>
          <w:lang w:val="en-US" w:eastAsia="zh-CN"/>
        </w:rPr>
        <w:t>丰台</w:t>
      </w:r>
      <w:r>
        <w:rPr>
          <w:rFonts w:eastAsia="仿宋_GB2312"/>
          <w:sz w:val="32"/>
          <w:szCs w:val="32"/>
        </w:rPr>
        <w:t>区</w:t>
      </w:r>
      <w:r>
        <w:rPr>
          <w:rFonts w:hint="eastAsia" w:eastAsia="仿宋_GB2312"/>
          <w:sz w:val="32"/>
          <w:szCs w:val="32"/>
          <w:lang w:eastAsia="zh-CN"/>
        </w:rPr>
        <w:t>生态环境</w:t>
      </w:r>
      <w:r>
        <w:rPr>
          <w:rFonts w:eastAsia="仿宋_GB2312"/>
          <w:sz w:val="32"/>
          <w:szCs w:val="32"/>
        </w:rPr>
        <w:t>局负责解释。</w:t>
      </w:r>
    </w:p>
    <w:p w14:paraId="737958FC">
      <w:pPr>
        <w:pStyle w:val="2"/>
        <w:rPr>
          <w:b/>
          <w:bCs/>
        </w:rPr>
      </w:pPr>
      <w:bookmarkStart w:id="0" w:name="_GoBack"/>
      <w:bookmarkEnd w:id="0"/>
    </w:p>
    <w:p w14:paraId="7A6B57A8">
      <w:pPr>
        <w:widowControl/>
        <w:spacing w:line="560" w:lineRule="exact"/>
        <w:ind w:firstLine="482"/>
        <w:jc w:val="left"/>
        <w:rPr>
          <w:rFonts w:hint="eastAsia" w:ascii="仿宋_GB2312" w:hAnsi="黑体" w:cs="仿宋_GB2312"/>
          <w:sz w:val="32"/>
          <w:szCs w:val="32"/>
        </w:rPr>
      </w:pPr>
    </w:p>
    <w:p w14:paraId="33D8F63F">
      <w:pPr>
        <w:spacing w:line="560" w:lineRule="exact"/>
        <w:ind w:firstLine="640" w:firstLineChars="200"/>
        <w:jc w:val="left"/>
        <w:rPr>
          <w:rFonts w:ascii="仿宋_GB2312"/>
          <w:sz w:val="32"/>
          <w:szCs w:val="32"/>
        </w:rPr>
      </w:pP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4ED8B"/>
    <w:multiLevelType w:val="singleLevel"/>
    <w:tmpl w:val="2F54ED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MjQ3M2RmZGQ3YWNhN2NjYmMxYTBhNDZkMmY4YWQifQ=="/>
  </w:docVars>
  <w:rsids>
    <w:rsidRoot w:val="00742D89"/>
    <w:rsid w:val="00037067"/>
    <w:rsid w:val="00116DA5"/>
    <w:rsid w:val="001407EE"/>
    <w:rsid w:val="00153FBB"/>
    <w:rsid w:val="00157E1A"/>
    <w:rsid w:val="0016090B"/>
    <w:rsid w:val="001E4518"/>
    <w:rsid w:val="0036653F"/>
    <w:rsid w:val="00464B1B"/>
    <w:rsid w:val="00473ED7"/>
    <w:rsid w:val="004B63CD"/>
    <w:rsid w:val="005B511E"/>
    <w:rsid w:val="005E1ABE"/>
    <w:rsid w:val="005E5245"/>
    <w:rsid w:val="005F025D"/>
    <w:rsid w:val="00742D89"/>
    <w:rsid w:val="007D23A7"/>
    <w:rsid w:val="00801B5D"/>
    <w:rsid w:val="00870009"/>
    <w:rsid w:val="00940066"/>
    <w:rsid w:val="0096769C"/>
    <w:rsid w:val="009C43D6"/>
    <w:rsid w:val="00A63A2E"/>
    <w:rsid w:val="00C22A1F"/>
    <w:rsid w:val="00D66920"/>
    <w:rsid w:val="00D75BEF"/>
    <w:rsid w:val="00DF762F"/>
    <w:rsid w:val="00E347E0"/>
    <w:rsid w:val="00EE1BFE"/>
    <w:rsid w:val="068941A4"/>
    <w:rsid w:val="1F9ED3F2"/>
    <w:rsid w:val="1FFBB7E5"/>
    <w:rsid w:val="261E6C78"/>
    <w:rsid w:val="26B411FC"/>
    <w:rsid w:val="2FBF7DE5"/>
    <w:rsid w:val="3CBF6139"/>
    <w:rsid w:val="3E7C1CEF"/>
    <w:rsid w:val="544A5E07"/>
    <w:rsid w:val="546567E8"/>
    <w:rsid w:val="58920E5F"/>
    <w:rsid w:val="5A2A09BE"/>
    <w:rsid w:val="6D895948"/>
    <w:rsid w:val="7BADA9B3"/>
    <w:rsid w:val="7F5EB5F4"/>
    <w:rsid w:val="9D9F1222"/>
    <w:rsid w:val="BD7FE504"/>
    <w:rsid w:val="BFB7A3EB"/>
    <w:rsid w:val="F6D5B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character" w:customStyle="1" w:styleId="8">
    <w:name w:val="页眉 Char"/>
    <w:basedOn w:val="7"/>
    <w:link w:val="4"/>
    <w:qFormat/>
    <w:uiPriority w:val="99"/>
    <w:rPr>
      <w:rFonts w:ascii="Times New Roman" w:hAnsi="Times New Roman" w:eastAsia="仿宋_GB2312" w:cs="Times New Roman"/>
      <w:sz w:val="18"/>
      <w:szCs w:val="18"/>
    </w:rPr>
  </w:style>
  <w:style w:type="character" w:customStyle="1" w:styleId="9">
    <w:name w:val="页脚 Char"/>
    <w:basedOn w:val="7"/>
    <w:link w:val="3"/>
    <w:qFormat/>
    <w:uiPriority w:val="99"/>
    <w:rPr>
      <w:rFonts w:ascii="Times New Roman" w:hAnsi="Times New Roman" w:eastAsia="仿宋_GB2312"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2149</Words>
  <Characters>2184</Characters>
  <Lines>6</Lines>
  <Paragraphs>1</Paragraphs>
  <TotalTime>0</TotalTime>
  <ScaleCrop>false</ScaleCrop>
  <LinksUpToDate>false</LinksUpToDate>
  <CharactersWithSpaces>2192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2023-06-02T08:00:00Z</dcterms:created>
  <dc:creator>杨 永强</dc:creator>
  <cp:lastModifiedBy>.</cp:lastModifiedBy>
  <dcterms:modified xsi:type="dcterms:W3CDTF">2025-05-16T02:21:25Z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15A7B2A389534770BD55DC5570AC64AF_13</vt:lpwstr>
  </property>
  <property fmtid="{D5CDD505-2E9C-101B-9397-08002B2CF9AE}" pid="4" name="KSOTemplateDocerSaveRecord">
    <vt:lpwstr>eyJoZGlkIjoiZjUwZTdkN2E0ZmJhNzVlOTRkMTg1ZTA5NTUzYWQyNTQiLCJ1c2VySWQiOiIzMTMwODA3OTAifQ==</vt:lpwstr>
  </property>
</Properties>
</file>