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ind w:left="0" w:leftChars="0"/>
        <w:jc w:val="center"/>
        <w:outlineLvl w:val="0"/>
        <w:rPr>
          <w:rFonts w:hint="eastAsia" w:ascii="方正小标宋简体" w:hAnsi="方正小标宋简体" w:eastAsia="方正小标宋简体" w:cs="方正小标宋简体"/>
          <w:color w:val="auto"/>
          <w:sz w:val="44"/>
          <w:szCs w:val="44"/>
          <w:shd w:val="clear" w:color="auto" w:fill="FFFFFF"/>
          <w:lang w:eastAsia="zh-CN"/>
        </w:rPr>
      </w:pPr>
      <w:bookmarkStart w:id="0" w:name="_GoBack"/>
      <w:r>
        <w:rPr>
          <w:rFonts w:hint="eastAsia" w:ascii="方正小标宋简体" w:hAnsi="方正小标宋简体" w:eastAsia="方正小标宋简体" w:cs="方正小标宋简体"/>
          <w:color w:val="auto"/>
          <w:sz w:val="44"/>
          <w:szCs w:val="44"/>
          <w:shd w:val="clear" w:color="auto" w:fill="FFFFFF"/>
          <w:lang w:val="en-US" w:eastAsia="zh-CN"/>
        </w:rPr>
        <w:t>关于</w:t>
      </w:r>
      <w:r>
        <w:rPr>
          <w:rFonts w:hint="eastAsia" w:ascii="方正小标宋简体" w:hAnsi="方正小标宋简体" w:eastAsia="方正小标宋简体" w:cs="方正小标宋简体"/>
          <w:color w:val="auto"/>
          <w:sz w:val="44"/>
          <w:szCs w:val="44"/>
          <w:shd w:val="clear" w:color="auto" w:fill="FFFFFF"/>
        </w:rPr>
        <w:t>北京市石景山区加快推进数据要素市场高质量发展的若干措施</w:t>
      </w:r>
      <w:r>
        <w:rPr>
          <w:rFonts w:hint="eastAsia" w:ascii="方正小标宋简体" w:hAnsi="方正小标宋简体" w:eastAsia="方正小标宋简体" w:cs="方正小标宋简体"/>
          <w:color w:val="auto"/>
          <w:sz w:val="44"/>
          <w:szCs w:val="44"/>
          <w:shd w:val="clear" w:color="auto" w:fill="FFFFFF"/>
          <w:lang w:eastAsia="zh-CN"/>
        </w:rPr>
        <w:t>（</w:t>
      </w:r>
      <w:r>
        <w:rPr>
          <w:rFonts w:hint="eastAsia" w:ascii="方正小标宋简体" w:hAnsi="方正小标宋简体" w:eastAsia="方正小标宋简体" w:cs="方正小标宋简体"/>
          <w:color w:val="auto"/>
          <w:sz w:val="44"/>
          <w:szCs w:val="44"/>
          <w:shd w:val="clear" w:color="auto" w:fill="FFFFFF"/>
          <w:lang w:val="en-US" w:eastAsia="zh-CN"/>
        </w:rPr>
        <w:t>征求意见稿</w:t>
      </w:r>
      <w:r>
        <w:rPr>
          <w:rFonts w:hint="eastAsia" w:ascii="方正小标宋简体" w:hAnsi="方正小标宋简体" w:eastAsia="方正小标宋简体" w:cs="方正小标宋简体"/>
          <w:color w:val="auto"/>
          <w:sz w:val="44"/>
          <w:szCs w:val="44"/>
          <w:shd w:val="clear" w:color="auto" w:fill="FFFFFF"/>
          <w:lang w:eastAsia="zh-CN"/>
        </w:rPr>
        <w:t>）的</w:t>
      </w:r>
    </w:p>
    <w:p>
      <w:pPr>
        <w:pageBreakBefore w:val="0"/>
        <w:kinsoku/>
        <w:wordWrap/>
        <w:overflowPunct/>
        <w:topLinePunct w:val="0"/>
        <w:autoSpaceDE/>
        <w:autoSpaceDN/>
        <w:bidi w:val="0"/>
        <w:spacing w:line="560" w:lineRule="exact"/>
        <w:ind w:left="0" w:leftChars="0"/>
        <w:jc w:val="center"/>
        <w:outlineLvl w:val="0"/>
        <w:rPr>
          <w:rFonts w:hint="default" w:ascii="方正小标宋简体" w:hAnsi="方正小标宋简体" w:eastAsia="方正小标宋简体" w:cs="方正小标宋简体"/>
          <w:color w:val="auto"/>
          <w:sz w:val="44"/>
          <w:szCs w:val="44"/>
          <w:shd w:val="clear" w:color="auto" w:fill="FFFFFF"/>
          <w:lang w:val="en-US" w:eastAsia="zh-CN"/>
        </w:rPr>
      </w:pPr>
      <w:r>
        <w:rPr>
          <w:rFonts w:hint="eastAsia" w:ascii="方正小标宋简体" w:hAnsi="方正小标宋简体" w:eastAsia="方正小标宋简体" w:cs="方正小标宋简体"/>
          <w:color w:val="auto"/>
          <w:sz w:val="44"/>
          <w:szCs w:val="44"/>
          <w:shd w:val="clear" w:color="auto" w:fill="FFFFFF"/>
          <w:lang w:val="en-US" w:eastAsia="zh-CN"/>
        </w:rPr>
        <w:t>起草说明</w:t>
      </w:r>
    </w:p>
    <w:bookmarkEnd w:id="0"/>
    <w:p>
      <w:pPr>
        <w:pStyle w:val="4"/>
        <w:keepNext/>
        <w:keepLines/>
        <w:pageBreakBefore w:val="0"/>
        <w:widowControl/>
        <w:kinsoku/>
        <w:wordWrap/>
        <w:overflowPunct/>
        <w:topLinePunct w:val="0"/>
        <w:autoSpaceDE/>
        <w:autoSpaceDN/>
        <w:bidi w:val="0"/>
        <w:adjustRightInd/>
        <w:snapToGrid/>
        <w:spacing w:before="0" w:beforeLines="0" w:line="560" w:lineRule="exact"/>
        <w:ind w:left="0" w:leftChars="0" w:firstLine="640" w:firstLineChars="200"/>
        <w:textAlignment w:val="auto"/>
        <w:rPr>
          <w:rFonts w:hint="eastAsia"/>
          <w:b w:val="0"/>
          <w:bCs w:val="0"/>
          <w:color w:val="auto"/>
          <w:sz w:val="32"/>
          <w:szCs w:val="32"/>
        </w:rPr>
      </w:pPr>
      <w:r>
        <w:rPr>
          <w:rFonts w:hint="eastAsia"/>
          <w:b w:val="0"/>
          <w:bCs w:val="0"/>
          <w:color w:val="auto"/>
          <w:sz w:val="32"/>
          <w:szCs w:val="32"/>
          <w:lang w:eastAsia="zh-CN"/>
        </w:rPr>
        <w:t>制定背景</w:t>
      </w:r>
    </w:p>
    <w:p>
      <w:pPr>
        <w:pStyle w:val="2"/>
        <w:pageBreakBefore w:val="0"/>
        <w:kinsoku/>
        <w:wordWrap/>
        <w:overflowPunct/>
        <w:topLinePunct w:val="0"/>
        <w:autoSpaceDE/>
        <w:autoSpaceDN/>
        <w:bidi w:val="0"/>
        <w:spacing w:before="0" w:after="0" w:afterLines="0" w:line="560" w:lineRule="exact"/>
        <w:ind w:left="0" w:leftChars="0"/>
        <w:rPr>
          <w:rFonts w:hint="eastAsia"/>
          <w:color w:val="auto"/>
          <w:sz w:val="32"/>
          <w:szCs w:val="32"/>
        </w:rPr>
      </w:pPr>
      <w:r>
        <w:rPr>
          <w:rFonts w:hint="eastAsia" w:ascii="仿宋_GB2312" w:hAnsi="仿宋" w:eastAsia="仿宋_GB2312"/>
          <w:color w:val="auto"/>
          <w:sz w:val="32"/>
          <w:szCs w:val="32"/>
          <w:highlight w:val="none"/>
          <w:lang w:val="en-US" w:eastAsia="zh-CN"/>
        </w:rPr>
        <w:t>以《中共中央 国务院关于构建数据基础制度更好发挥数据要素作用的意见》《中共北京市委贯彻〈中共中央关于进一步全面深化改革、推进中国式现代化的决定〉的实施意见》《中共北京市委 北京市人民政府印发&lt;关于更好发挥数据要素作用进一步加快发展数字经济的实施意见&gt;的通知》等系列文件为指导，围绕国家、北京市推动数据要素市场化配置改革这一工作主线，为</w:t>
      </w:r>
      <w:r>
        <w:rPr>
          <w:rFonts w:hint="eastAsia" w:ascii="仿宋_GB2312" w:hAnsi="仿宋" w:eastAsia="仿宋_GB2312"/>
          <w:color w:val="auto"/>
          <w:sz w:val="32"/>
          <w:szCs w:val="32"/>
          <w:highlight w:val="none"/>
        </w:rPr>
        <w:t>推进《石景山区数据要素赋能高质量发展三年行动计划（2025—2027年）》实施</w:t>
      </w:r>
      <w:r>
        <w:rPr>
          <w:rFonts w:hint="eastAsia" w:ascii="仿宋_GB2312" w:hAnsi="仿宋" w:eastAsia="仿宋_GB2312"/>
          <w:color w:val="auto"/>
          <w:sz w:val="32"/>
          <w:szCs w:val="32"/>
          <w:highlight w:val="none"/>
          <w:lang w:val="en-US" w:eastAsia="zh-CN"/>
        </w:rPr>
        <w:t>，区政务和数据局起草编制了《北京市石景山区支持数据要素市场高质量发展的若干措施》（以下简称《措施》）。</w:t>
      </w:r>
    </w:p>
    <w:p>
      <w:pPr>
        <w:pStyle w:val="4"/>
        <w:keepNext/>
        <w:keepLines/>
        <w:pageBreakBefore w:val="0"/>
        <w:widowControl/>
        <w:kinsoku/>
        <w:wordWrap/>
        <w:overflowPunct/>
        <w:topLinePunct w:val="0"/>
        <w:autoSpaceDE/>
        <w:autoSpaceDN/>
        <w:bidi w:val="0"/>
        <w:adjustRightInd/>
        <w:snapToGrid/>
        <w:spacing w:before="0" w:beforeLines="0" w:line="560" w:lineRule="exact"/>
        <w:ind w:left="0" w:leftChars="0" w:firstLine="640" w:firstLineChars="200"/>
        <w:textAlignment w:val="auto"/>
        <w:rPr>
          <w:rFonts w:hint="eastAsia"/>
          <w:b w:val="0"/>
          <w:bCs w:val="0"/>
          <w:color w:val="auto"/>
          <w:sz w:val="32"/>
          <w:szCs w:val="32"/>
          <w:lang w:eastAsia="zh-CN"/>
        </w:rPr>
      </w:pPr>
      <w:r>
        <w:rPr>
          <w:rFonts w:hint="eastAsia"/>
          <w:b w:val="0"/>
          <w:bCs w:val="0"/>
          <w:color w:val="auto"/>
          <w:sz w:val="32"/>
          <w:szCs w:val="32"/>
          <w:lang w:val="en-US" w:eastAsia="zh-CN"/>
        </w:rPr>
        <w:t>主要内容</w:t>
      </w:r>
    </w:p>
    <w:p>
      <w:pPr>
        <w:pStyle w:val="2"/>
        <w:pageBreakBefore w:val="0"/>
        <w:kinsoku/>
        <w:wordWrap/>
        <w:overflowPunct/>
        <w:topLinePunct w:val="0"/>
        <w:autoSpaceDE/>
        <w:autoSpaceDN/>
        <w:bidi w:val="0"/>
        <w:spacing w:before="0" w:after="0" w:afterLines="0" w:line="560" w:lineRule="exact"/>
        <w:ind w:left="0" w:leftChars="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基于石景山区数据资源调查结果，结合企业对数据要素相关政策需求，对标先行区域已出台相关政策，针对我区存在的数据应用场景建设不足、数据流通交易不活跃等问题，为充分释放数据作为新型生产要素的价值，推进数据流通交易，促进企业数字化转型，推动数字经济高质量发展，起草编制</w:t>
      </w:r>
      <w:r>
        <w:rPr>
          <w:rFonts w:hint="eastAsia" w:ascii="仿宋_GB2312" w:hAnsi="仿宋" w:eastAsia="仿宋_GB2312" w:cs="Times New Roman"/>
          <w:color w:val="auto"/>
          <w:sz w:val="32"/>
          <w:szCs w:val="32"/>
          <w:highlight w:val="none"/>
          <w:lang w:eastAsia="zh-CN"/>
        </w:rPr>
        <w:t>《措施》</w:t>
      </w:r>
      <w:r>
        <w:rPr>
          <w:rFonts w:hint="eastAsia" w:ascii="仿宋_GB2312" w:hAnsi="仿宋" w:eastAsia="仿宋_GB2312" w:cs="Times New Roman"/>
          <w:color w:val="auto"/>
          <w:sz w:val="32"/>
          <w:szCs w:val="32"/>
          <w:highlight w:val="none"/>
          <w:lang w:val="en-US" w:eastAsia="zh-CN"/>
        </w:rPr>
        <w:t>。</w:t>
      </w:r>
    </w:p>
    <w:p>
      <w:pPr>
        <w:pStyle w:val="2"/>
        <w:pageBreakBefore w:val="0"/>
        <w:kinsoku/>
        <w:wordWrap/>
        <w:overflowPunct/>
        <w:topLinePunct w:val="0"/>
        <w:autoSpaceDE/>
        <w:autoSpaceDN/>
        <w:bidi w:val="0"/>
        <w:spacing w:before="0" w:after="0" w:afterLines="0" w:line="560" w:lineRule="exact"/>
        <w:ind w:left="0" w:leftChars="0"/>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《措施》适用的申报对象主要为符合国家、北京市、石景山区产业发展方向的，在北京市石景山区行政区域内依法注册登记并实际经营的企事业单位、社会组织、高等院校、科研院所以及科技服务机构等主体。（</w:t>
      </w:r>
      <w:r>
        <w:rPr>
          <w:rFonts w:hint="eastAsia" w:ascii="仿宋_GB2312" w:hAnsi="仿宋" w:eastAsia="仿宋_GB2312" w:cs="Times New Roman"/>
          <w:color w:val="auto"/>
          <w:sz w:val="32"/>
          <w:szCs w:val="32"/>
          <w:highlight w:val="none"/>
        </w:rPr>
        <w:t>实际经营指的是企业按照其注册的经营范围，开展了具体的业务活动，有实际的收入与支出，并依法进行了税务申报和缴纳。</w:t>
      </w:r>
      <w:r>
        <w:rPr>
          <w:rFonts w:hint="eastAsia" w:ascii="仿宋_GB2312" w:hAnsi="仿宋" w:eastAsia="仿宋_GB2312" w:cs="Times New Roman"/>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0" w:after="0" w:afterLines="0" w:line="560" w:lineRule="exact"/>
        <w:ind w:left="0" w:leftChars="0"/>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eastAsia="zh-CN"/>
        </w:rPr>
        <w:t>《措施》</w:t>
      </w:r>
      <w:r>
        <w:rPr>
          <w:rFonts w:hint="eastAsia" w:ascii="仿宋_GB2312" w:hAnsi="仿宋" w:eastAsia="仿宋_GB2312" w:cs="Times New Roman"/>
          <w:color w:val="auto"/>
          <w:sz w:val="32"/>
          <w:szCs w:val="32"/>
          <w:highlight w:val="none"/>
          <w:lang w:val="en-US" w:eastAsia="zh-CN"/>
        </w:rPr>
        <w:t>覆盖七个方向共十二条。</w:t>
      </w:r>
    </w:p>
    <w:p>
      <w:pPr>
        <w:pStyle w:val="2"/>
        <w:keepNext w:val="0"/>
        <w:keepLines w:val="0"/>
        <w:pageBreakBefore w:val="0"/>
        <w:widowControl w:val="0"/>
        <w:kinsoku/>
        <w:wordWrap/>
        <w:overflowPunct/>
        <w:topLinePunct w:val="0"/>
        <w:autoSpaceDE/>
        <w:autoSpaceDN/>
        <w:bidi w:val="0"/>
        <w:adjustRightInd/>
        <w:snapToGrid/>
        <w:spacing w:before="0" w:after="0" w:afterLines="0" w:line="560" w:lineRule="exact"/>
        <w:ind w:left="0" w:leftChars="0"/>
        <w:textAlignment w:val="auto"/>
        <w:rPr>
          <w:rFonts w:hint="default"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方向一：支持数据要素市场主体培养，包括支持建设数据创新平台、加大数据产业资金支持和拓宽企业融资渠道。</w:t>
      </w:r>
    </w:p>
    <w:p>
      <w:pPr>
        <w:pStyle w:val="2"/>
        <w:keepNext w:val="0"/>
        <w:keepLines w:val="0"/>
        <w:pageBreakBefore w:val="0"/>
        <w:widowControl w:val="0"/>
        <w:kinsoku/>
        <w:wordWrap/>
        <w:overflowPunct/>
        <w:topLinePunct w:val="0"/>
        <w:autoSpaceDE/>
        <w:autoSpaceDN/>
        <w:bidi w:val="0"/>
        <w:adjustRightInd/>
        <w:snapToGrid/>
        <w:spacing w:before="0" w:after="0" w:afterLines="0" w:line="560" w:lineRule="exact"/>
        <w:ind w:left="0" w:leftChars="0"/>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方向二：支持数据基础设施建设，包括支持跨区域跨省的数据基础设施建设。</w:t>
      </w:r>
    </w:p>
    <w:p>
      <w:pPr>
        <w:pStyle w:val="2"/>
        <w:keepNext w:val="0"/>
        <w:keepLines w:val="0"/>
        <w:pageBreakBefore w:val="0"/>
        <w:widowControl w:val="0"/>
        <w:kinsoku/>
        <w:wordWrap/>
        <w:overflowPunct/>
        <w:topLinePunct w:val="0"/>
        <w:autoSpaceDE/>
        <w:autoSpaceDN/>
        <w:bidi w:val="0"/>
        <w:adjustRightInd/>
        <w:snapToGrid/>
        <w:spacing w:before="0" w:after="0" w:afterLines="0" w:line="560" w:lineRule="exact"/>
        <w:ind w:left="0" w:leftChars="0"/>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方向三：支持数据治理与应用，包括支持提升企业数据管理能力和应用模式创新奖励。</w:t>
      </w:r>
    </w:p>
    <w:p>
      <w:pPr>
        <w:pStyle w:val="2"/>
        <w:keepNext w:val="0"/>
        <w:keepLines w:val="0"/>
        <w:pageBreakBefore w:val="0"/>
        <w:widowControl w:val="0"/>
        <w:kinsoku/>
        <w:wordWrap/>
        <w:overflowPunct/>
        <w:topLinePunct w:val="0"/>
        <w:autoSpaceDE/>
        <w:autoSpaceDN/>
        <w:bidi w:val="0"/>
        <w:adjustRightInd/>
        <w:snapToGrid/>
        <w:spacing w:before="0" w:after="0" w:afterLines="0" w:line="560" w:lineRule="exact"/>
        <w:ind w:left="0" w:leftChars="0"/>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方向四：鼓励数据产品流通交易，包括支持建设高质量数据集和激励数据产品流通交易。</w:t>
      </w:r>
    </w:p>
    <w:p>
      <w:pPr>
        <w:pStyle w:val="2"/>
        <w:keepNext w:val="0"/>
        <w:keepLines w:val="0"/>
        <w:pageBreakBefore w:val="0"/>
        <w:widowControl w:val="0"/>
        <w:kinsoku/>
        <w:wordWrap/>
        <w:overflowPunct/>
        <w:topLinePunct w:val="0"/>
        <w:autoSpaceDE/>
        <w:autoSpaceDN/>
        <w:bidi w:val="0"/>
        <w:adjustRightInd/>
        <w:snapToGrid/>
        <w:spacing w:before="0" w:after="0" w:afterLines="0" w:line="560" w:lineRule="exact"/>
        <w:ind w:left="0" w:leftChars="0"/>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方向五：支持关键技术创新与应用，包括支持关键技术创新与科技成果转化。</w:t>
      </w:r>
    </w:p>
    <w:p>
      <w:pPr>
        <w:pStyle w:val="2"/>
        <w:keepNext w:val="0"/>
        <w:keepLines w:val="0"/>
        <w:pageBreakBefore w:val="0"/>
        <w:widowControl w:val="0"/>
        <w:kinsoku/>
        <w:wordWrap/>
        <w:overflowPunct/>
        <w:topLinePunct w:val="0"/>
        <w:autoSpaceDE/>
        <w:autoSpaceDN/>
        <w:bidi w:val="0"/>
        <w:adjustRightInd/>
        <w:snapToGrid/>
        <w:spacing w:before="0" w:after="0" w:afterLines="0" w:line="560" w:lineRule="exact"/>
        <w:ind w:left="0" w:leftChars="0"/>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方向六：支持建设数据产业集聚区，包括支撑建设产业承载空间。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方向七：支持创新发展生态建设，包括优化政务服务环境和人才培养与引进。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附则</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包括有效期</w:t>
      </w:r>
      <w:r>
        <w:rPr>
          <w:rFonts w:hint="eastAsia" w:ascii="仿宋_GB2312" w:hAnsi="仿宋_GB2312" w:eastAsia="仿宋_GB2312" w:cs="仿宋_GB2312"/>
          <w:color w:val="auto"/>
          <w:sz w:val="32"/>
          <w:szCs w:val="32"/>
          <w:lang w:val="en-US" w:eastAsia="zh-CN"/>
        </w:rPr>
        <w:t>，适应性及</w:t>
      </w:r>
      <w:r>
        <w:rPr>
          <w:rFonts w:hint="default" w:ascii="仿宋_GB2312" w:hAnsi="仿宋_GB2312" w:eastAsia="仿宋_GB2312" w:cs="仿宋_GB2312"/>
          <w:color w:val="auto"/>
          <w:sz w:val="32"/>
          <w:szCs w:val="32"/>
          <w:lang w:val="en-US" w:eastAsia="zh-CN"/>
        </w:rPr>
        <w:t>解释兑现单位等。</w:t>
      </w:r>
    </w:p>
    <w:p/>
    <w:sectPr>
      <w:footerReference r:id="rId3" w:type="default"/>
      <w:pgSz w:w="11906" w:h="16838"/>
      <w:pgMar w:top="2098" w:right="1474" w:bottom="1984" w:left="1474" w:header="850" w:footer="850"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楷体">
    <w:altName w:val="汉仪楷体KW"/>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-271145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1.35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G4jbLbVAAAACAEAAA8AAAAA&#10;AAAAAQAgAAAAOAAAAGRycy9kb3ducmV2LnhtbFBLAQIUABQAAAAIAIdO4kDkov7PyAEAAJkDAAAO&#10;AAAAAAAAAAEAIAAAADoBAABkcnMvZTJvRG9jLnhtbFBLBQYAAAAABgAGAFkBAAB0BQAAAAA=&#10;">
              <v:path/>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1A58FB"/>
    <w:multiLevelType w:val="multilevel"/>
    <w:tmpl w:val="261A58FB"/>
    <w:lvl w:ilvl="0" w:tentative="0">
      <w:start w:val="1"/>
      <w:numFmt w:val="chineseCounting"/>
      <w:pStyle w:val="4"/>
      <w:suff w:val="nothing"/>
      <w:lvlText w:val="%1、"/>
      <w:lvlJc w:val="left"/>
      <w:pPr>
        <w:tabs>
          <w:tab w:val="left" w:pos="0"/>
        </w:tabs>
        <w:ind w:left="0" w:firstLine="0"/>
      </w:pPr>
      <w:rPr>
        <w:rFonts w:hint="eastAsia" w:ascii="黑体" w:hAnsi="黑体" w:eastAsia="黑体"/>
      </w:rPr>
    </w:lvl>
    <w:lvl w:ilvl="1" w:tentative="0">
      <w:start w:val="1"/>
      <w:numFmt w:val="chineseCounting"/>
      <w:suff w:val="nothing"/>
      <w:lvlText w:val="（%2）"/>
      <w:lvlJc w:val="left"/>
      <w:pPr>
        <w:tabs>
          <w:tab w:val="left" w:pos="0"/>
        </w:tabs>
        <w:ind w:left="0" w:firstLine="0"/>
      </w:pPr>
      <w:rPr>
        <w:rFonts w:hint="eastAsia" w:ascii="楷体" w:hAnsi="楷体" w:eastAsia="楷体" w:cs="楷体"/>
        <w:sz w:val="32"/>
        <w:szCs w:val="32"/>
      </w:rPr>
    </w:lvl>
    <w:lvl w:ilvl="2" w:tentative="0">
      <w:start w:val="1"/>
      <w:numFmt w:val="decimal"/>
      <w:suff w:val="nothing"/>
      <w:lvlText w:val="%3．"/>
      <w:lvlJc w:val="left"/>
      <w:pPr>
        <w:tabs>
          <w:tab w:val="left" w:pos="0"/>
        </w:tabs>
        <w:ind w:left="0" w:firstLine="400"/>
      </w:pPr>
      <w:rPr>
        <w:rFonts w:hint="default" w:ascii="仿宋_GB2312" w:hAnsi="仿宋_GB2312" w:eastAsia="仿宋_GB2312" w:cs="仿宋_GB2312"/>
        <w:sz w:val="32"/>
        <w:szCs w:val="32"/>
      </w:rPr>
    </w:lvl>
    <w:lvl w:ilvl="3" w:tentative="0">
      <w:start w:val="1"/>
      <w:numFmt w:val="decimal"/>
      <w:suff w:val="nothing"/>
      <w:lvlText w:val="（%4）"/>
      <w:lvlJc w:val="left"/>
      <w:pPr>
        <w:tabs>
          <w:tab w:val="left" w:pos="0"/>
        </w:tabs>
        <w:ind w:left="0" w:firstLine="402"/>
      </w:pPr>
      <w:rPr>
        <w:rFonts w:hint="eastAsia" w:ascii="黑体" w:hAnsi="黑体" w:eastAsia="黑体"/>
      </w:rPr>
    </w:lvl>
    <w:lvl w:ilvl="4" w:tentative="0">
      <w:start w:val="1"/>
      <w:numFmt w:val="decimalEnclosedCircleChinese"/>
      <w:suff w:val="nothing"/>
      <w:lvlText w:val="%5"/>
      <w:lvlJc w:val="left"/>
      <w:pPr>
        <w:tabs>
          <w:tab w:val="left" w:pos="0"/>
        </w:tabs>
        <w:ind w:left="0" w:firstLine="402"/>
      </w:pPr>
      <w:rPr>
        <w:rFonts w:hint="eastAsia" w:ascii="黑体" w:hAnsi="黑体" w:eastAsia="黑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AD69C"/>
    <w:rsid w:val="FFDAD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黑体" w:hAnsi="黑体" w:eastAsia="黑体" w:cs="Times New Roman"/>
      <w:kern w:val="2"/>
      <w:sz w:val="21"/>
      <w:szCs w:val="24"/>
      <w:lang w:val="en-US" w:eastAsia="zh-CN" w:bidi="ar-SA"/>
    </w:rPr>
  </w:style>
  <w:style w:type="paragraph" w:styleId="4">
    <w:name w:val="heading 1"/>
    <w:next w:val="2"/>
    <w:qFormat/>
    <w:uiPriority w:val="9"/>
    <w:pPr>
      <w:keepNext/>
      <w:keepLines/>
      <w:numPr>
        <w:ilvl w:val="0"/>
        <w:numId w:val="1"/>
      </w:numPr>
      <w:spacing w:before="50" w:beforeLines="50" w:line="288" w:lineRule="auto"/>
      <w:outlineLvl w:val="0"/>
    </w:pPr>
    <w:rPr>
      <w:rFonts w:ascii="宋体" w:hAnsi="宋体" w:eastAsia="黑体" w:cs="Times New Roman"/>
      <w:b/>
      <w:bCs/>
      <w:kern w:val="44"/>
      <w:sz w:val="40"/>
      <w:szCs w:val="18"/>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before="100" w:after="100" w:afterLines="0" w:afterAutospacing="0" w:line="300" w:lineRule="auto"/>
      <w:ind w:firstLine="1124" w:firstLineChars="200"/>
    </w:pPr>
    <w:rPr>
      <w:rFonts w:ascii="Times New Roman" w:hAnsi="Times New Roman"/>
    </w:rPr>
  </w:style>
  <w:style w:type="paragraph" w:customStyle="1" w:styleId="3">
    <w:name w:val="目录 11"/>
    <w:basedOn w:val="1"/>
    <w:next w:val="1"/>
    <w:qFormat/>
    <w:uiPriority w:val="99"/>
    <w:pPr>
      <w:widowControl/>
      <w:wordWrap w:val="0"/>
    </w:pPr>
    <w:rPr>
      <w:rFonts w:ascii="Calibri" w:hAnsi="Calibri" w:eastAsia="宋体" w:cs="Times New Roman"/>
      <w:kern w:val="0"/>
      <w:sz w:val="21"/>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2025-05-09T15:47:00Z</dcterms:created>
  <dc:creator>Jing</dc:creator>
  <cp:lastModifiedBy>Jing</cp:lastModifiedBy>
  <dcterms:modified xsi:type="dcterms:W3CDTF">2025-05-09T15:47:30Z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BAF6F6FB3B9AFE46FCB21D68C5786C9C_41</vt:lpwstr>
  </property>
</Properties>
</file>