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bCs/>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华文中宋" w:eastAsia="方正小标宋简体"/>
          <w:bCs/>
          <w:sz w:val="44"/>
          <w:szCs w:val="44"/>
        </w:rPr>
        <w:t>202</w:t>
      </w:r>
      <w:r>
        <w:rPr>
          <w:rFonts w:hint="eastAsia" w:ascii="方正小标宋简体" w:hAnsi="华文中宋" w:eastAsia="方正小标宋简体"/>
          <w:bCs/>
          <w:sz w:val="44"/>
          <w:szCs w:val="44"/>
          <w:lang w:val="en-US" w:eastAsia="zh-CN"/>
        </w:rPr>
        <w:t>5</w:t>
      </w:r>
      <w:r>
        <w:rPr>
          <w:rFonts w:hint="eastAsia" w:ascii="方正小标宋简体" w:hAnsi="华文中宋" w:eastAsia="方正小标宋简体"/>
          <w:bCs/>
          <w:sz w:val="44"/>
          <w:szCs w:val="44"/>
        </w:rPr>
        <w:t>年延庆区农村地区村庄</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华文中宋" w:eastAsia="方正小标宋简体"/>
          <w:bCs/>
          <w:sz w:val="44"/>
          <w:szCs w:val="44"/>
        </w:rPr>
        <w:t>冬季清洁取暖工作实施方案</w:t>
      </w:r>
      <w:r>
        <w:rPr>
          <w:rFonts w:hint="eastAsia" w:ascii="方正小标宋简体" w:hAnsi="方正小标宋简体" w:eastAsia="方正小标宋简体" w:cs="方正小标宋简体"/>
          <w:color w:val="000000"/>
          <w:sz w:val="44"/>
          <w:szCs w:val="44"/>
          <w:highlight w:val="none"/>
          <w:u w:val="none"/>
          <w:lang w:eastAsia="zh-CN"/>
        </w:rPr>
        <w:t>（征求意见稿）</w:t>
      </w:r>
      <w:r>
        <w:rPr>
          <w:rFonts w:hint="eastAsia" w:ascii="方正小标宋简体" w:hAnsi="方正小标宋简体" w:eastAsia="方正小标宋简体" w:cs="方正小标宋简体"/>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一、工作背景</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根据北京市农业农村局、北京市城市管理委员会《关于做好</w:t>
      </w:r>
      <w:r>
        <w:rPr>
          <w:rFonts w:ascii="仿宋_GB2312" w:hAnsi="华文仿宋" w:eastAsia="仿宋_GB2312"/>
          <w:sz w:val="32"/>
          <w:szCs w:val="32"/>
        </w:rPr>
        <w:t>202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年度农村地区冬季清洁取暖工作</w:t>
      </w:r>
      <w:bookmarkStart w:id="0" w:name="_GoBack"/>
      <w:bookmarkEnd w:id="0"/>
      <w:r>
        <w:rPr>
          <w:rFonts w:hint="eastAsia" w:ascii="仿宋_GB2312" w:hAnsi="华文仿宋" w:eastAsia="仿宋_GB2312"/>
          <w:sz w:val="32"/>
          <w:szCs w:val="32"/>
        </w:rPr>
        <w:t>的通知》文件精神，为进一步推进我区冬季清洁取暖工作，促进减污降碳，改善生态环境质量，结合延庆区供电公司关于东部山区电网改造三年计划，区农业农村局起草制定了《202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年延庆区农村地区村庄冬季清洁取暖工作实施方案</w:t>
      </w:r>
      <w:r>
        <w:rPr>
          <w:rFonts w:hint="eastAsia" w:ascii="仿宋_GB2312" w:hAnsi="华文仿宋" w:eastAsia="仿宋_GB2312"/>
          <w:sz w:val="32"/>
          <w:szCs w:val="32"/>
          <w:lang w:eastAsia="zh-CN"/>
        </w:rPr>
        <w:t>（征求意见稿）</w:t>
      </w:r>
      <w:r>
        <w:rPr>
          <w:rFonts w:hint="eastAsia" w:ascii="仿宋_GB2312" w:hAnsi="华文仿宋" w:eastAsia="仿宋_GB2312"/>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二、目标任务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年启动到202</w:t>
      </w:r>
      <w:r>
        <w:rPr>
          <w:rFonts w:hint="eastAsia" w:ascii="仿宋_GB2312" w:eastAsia="仿宋_GB2312"/>
          <w:sz w:val="32"/>
          <w:szCs w:val="32"/>
          <w:lang w:val="en-US" w:eastAsia="zh-CN"/>
        </w:rPr>
        <w:t>6</w:t>
      </w:r>
      <w:r>
        <w:rPr>
          <w:rFonts w:hint="eastAsia" w:ascii="仿宋_GB2312" w:eastAsia="仿宋_GB2312"/>
          <w:sz w:val="32"/>
          <w:szCs w:val="32"/>
        </w:rPr>
        <w:t>年底完成</w:t>
      </w:r>
      <w:r>
        <w:rPr>
          <w:rFonts w:ascii="仿宋_GB2312" w:eastAsia="仿宋_GB2312"/>
          <w:sz w:val="32"/>
          <w:szCs w:val="32"/>
        </w:rPr>
        <w:t>2</w:t>
      </w:r>
      <w:r>
        <w:rPr>
          <w:rFonts w:hint="eastAsia" w:ascii="仿宋_GB2312" w:eastAsia="仿宋_GB2312"/>
          <w:sz w:val="32"/>
          <w:szCs w:val="32"/>
        </w:rPr>
        <w:t>个乡镇</w:t>
      </w:r>
      <w:r>
        <w:rPr>
          <w:rFonts w:hint="eastAsia" w:ascii="仿宋_GB2312" w:eastAsia="仿宋_GB2312"/>
          <w:sz w:val="32"/>
          <w:szCs w:val="32"/>
          <w:lang w:val="en-US" w:eastAsia="zh-CN"/>
        </w:rPr>
        <w:t>8</w:t>
      </w:r>
      <w:r>
        <w:rPr>
          <w:rFonts w:hint="eastAsia" w:ascii="仿宋_GB2312" w:eastAsia="仿宋_GB2312"/>
          <w:sz w:val="32"/>
          <w:szCs w:val="32"/>
        </w:rPr>
        <w:t>个村庄</w:t>
      </w:r>
      <w:r>
        <w:rPr>
          <w:rFonts w:hint="eastAsia" w:ascii="仿宋_GB2312" w:eastAsia="仿宋_GB2312"/>
          <w:sz w:val="32"/>
          <w:szCs w:val="32"/>
          <w:lang w:val="en-US" w:eastAsia="zh-CN"/>
        </w:rPr>
        <w:t>1317</w:t>
      </w:r>
      <w:r>
        <w:rPr>
          <w:rFonts w:hint="eastAsia" w:ascii="仿宋_GB2312" w:eastAsia="仿宋_GB2312"/>
          <w:sz w:val="32"/>
          <w:szCs w:val="32"/>
        </w:rPr>
        <w:t>余户农村地区村庄内住户及村委会、村民公共活动场所、籽种农业设施的煤改电改造工作任务。</w:t>
      </w:r>
    </w:p>
    <w:p>
      <w:pPr>
        <w:numPr>
          <w:ilvl w:val="0"/>
          <w:numId w:val="0"/>
        </w:numPr>
        <w:spacing w:line="56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lang w:val="en-US" w:eastAsia="zh-CN"/>
        </w:rPr>
        <w:t>（二）</w:t>
      </w:r>
      <w:r>
        <w:rPr>
          <w:rFonts w:hint="eastAsia" w:ascii="仿宋_GB2312" w:eastAsia="仿宋_GB2312"/>
          <w:spacing w:val="-6"/>
          <w:sz w:val="32"/>
          <w:szCs w:val="32"/>
        </w:rPr>
        <w:t>对未实施冬季清洁取暖且未纳入202</w:t>
      </w:r>
      <w:r>
        <w:rPr>
          <w:rFonts w:hint="eastAsia" w:ascii="仿宋_GB2312" w:eastAsia="仿宋_GB2312"/>
          <w:spacing w:val="-6"/>
          <w:sz w:val="32"/>
          <w:szCs w:val="32"/>
          <w:lang w:val="en-US" w:eastAsia="zh-CN"/>
        </w:rPr>
        <w:t>5</w:t>
      </w:r>
      <w:r>
        <w:rPr>
          <w:rFonts w:hint="eastAsia" w:ascii="仿宋_GB2312" w:eastAsia="仿宋_GB2312"/>
          <w:spacing w:val="-6"/>
          <w:sz w:val="32"/>
          <w:szCs w:val="32"/>
        </w:rPr>
        <w:t>年煤改清洁能源计划的村庄全部实施优质燃煤替代。</w:t>
      </w:r>
    </w:p>
    <w:p>
      <w:pPr>
        <w:pStyle w:val="2"/>
        <w:numPr>
          <w:ilvl w:val="0"/>
          <w:numId w:val="0"/>
        </w:numPr>
        <w:ind w:firstLine="640" w:firstLineChars="200"/>
        <w:rPr>
          <w:rFonts w:hint="eastAsia" w:ascii="仿宋_GB2312" w:hAnsi="华文仿宋" w:eastAsia="仿宋_GB2312"/>
          <w:b w:val="0"/>
          <w:bCs w:val="0"/>
          <w:sz w:val="32"/>
          <w:szCs w:val="32"/>
          <w:highlight w:val="none"/>
        </w:rPr>
      </w:pPr>
      <w:r>
        <w:rPr>
          <w:rFonts w:hint="eastAsia" w:ascii="仿宋_GB2312" w:hAnsi="华文仿宋" w:eastAsia="仿宋_GB2312"/>
          <w:b w:val="0"/>
          <w:bCs w:val="0"/>
          <w:sz w:val="32"/>
          <w:szCs w:val="32"/>
          <w:highlight w:val="none"/>
          <w:lang w:val="en-US" w:eastAsia="zh-CN"/>
        </w:rPr>
        <w:t>（三）</w:t>
      </w:r>
      <w:r>
        <w:rPr>
          <w:rFonts w:hint="eastAsia" w:ascii="仿宋_GB2312" w:hAnsi="华文仿宋" w:eastAsia="仿宋_GB2312"/>
          <w:b w:val="0"/>
          <w:bCs w:val="0"/>
          <w:sz w:val="32"/>
          <w:szCs w:val="32"/>
          <w:highlight w:val="none"/>
        </w:rPr>
        <w:t>对已实施</w:t>
      </w:r>
      <w:r>
        <w:rPr>
          <w:rFonts w:hint="eastAsia" w:ascii="仿宋_GB2312" w:hAnsi="华文仿宋" w:eastAsia="仿宋_GB2312"/>
          <w:b w:val="0"/>
          <w:bCs w:val="0"/>
          <w:sz w:val="32"/>
          <w:szCs w:val="32"/>
          <w:highlight w:val="none"/>
          <w:lang w:eastAsia="zh-CN"/>
        </w:rPr>
        <w:t>煤改清洁能源</w:t>
      </w:r>
      <w:r>
        <w:rPr>
          <w:rFonts w:hint="eastAsia" w:ascii="仿宋_GB2312" w:hAnsi="华文仿宋" w:eastAsia="仿宋_GB2312"/>
          <w:b w:val="0"/>
          <w:bCs w:val="0"/>
          <w:sz w:val="32"/>
          <w:szCs w:val="32"/>
          <w:highlight w:val="none"/>
        </w:rPr>
        <w:t>改造工作的村庄，建立保障有力的长效管护机制。</w:t>
      </w:r>
    </w:p>
    <w:p>
      <w:pPr>
        <w:spacing w:line="560" w:lineRule="exact"/>
        <w:ind w:firstLine="640" w:firstLineChars="200"/>
        <w:rPr>
          <w:rFonts w:hint="default" w:eastAsia="仿宋_GB2312"/>
          <w:lang w:val="en-US" w:eastAsia="zh-CN"/>
        </w:rPr>
      </w:pPr>
      <w:r>
        <w:rPr>
          <w:rFonts w:hint="eastAsia" w:ascii="仿宋_GB2312" w:hAnsi="华文仿宋" w:eastAsia="仿宋_GB2312"/>
          <w:b w:val="0"/>
          <w:bCs w:val="0"/>
          <w:sz w:val="32"/>
          <w:szCs w:val="32"/>
          <w:highlight w:val="none"/>
          <w:lang w:val="en-US" w:eastAsia="zh-CN"/>
        </w:rPr>
        <w:t>（四）</w:t>
      </w:r>
      <w:r>
        <w:rPr>
          <w:rFonts w:hint="eastAsia" w:ascii="仿宋_GB2312" w:hAnsi="华文仿宋" w:eastAsia="仿宋_GB2312"/>
          <w:b w:val="0"/>
          <w:bCs w:val="0"/>
          <w:sz w:val="32"/>
          <w:szCs w:val="32"/>
          <w:highlight w:val="none"/>
        </w:rPr>
        <w:t>对202</w:t>
      </w:r>
      <w:r>
        <w:rPr>
          <w:rFonts w:hint="eastAsia" w:ascii="仿宋_GB2312" w:hAnsi="华文仿宋" w:eastAsia="仿宋_GB2312"/>
          <w:b w:val="0"/>
          <w:bCs w:val="0"/>
          <w:sz w:val="32"/>
          <w:szCs w:val="32"/>
          <w:highlight w:val="none"/>
          <w:lang w:val="en-US" w:eastAsia="zh-CN"/>
        </w:rPr>
        <w:t>3</w:t>
      </w:r>
      <w:r>
        <w:rPr>
          <w:rFonts w:hint="eastAsia" w:ascii="仿宋_GB2312" w:hAnsi="华文仿宋" w:eastAsia="仿宋_GB2312"/>
          <w:b w:val="0"/>
          <w:bCs w:val="0"/>
          <w:sz w:val="32"/>
          <w:szCs w:val="32"/>
          <w:highlight w:val="none"/>
        </w:rPr>
        <w:t>年</w:t>
      </w:r>
      <w:r>
        <w:rPr>
          <w:rFonts w:hint="eastAsia" w:ascii="仿宋_GB2312" w:hAnsi="华文仿宋" w:eastAsia="仿宋_GB2312"/>
          <w:b w:val="0"/>
          <w:bCs w:val="0"/>
          <w:sz w:val="32"/>
          <w:szCs w:val="32"/>
          <w:highlight w:val="none"/>
          <w:lang w:eastAsia="zh-CN"/>
        </w:rPr>
        <w:t>及</w:t>
      </w:r>
      <w:r>
        <w:rPr>
          <w:rFonts w:hint="eastAsia" w:ascii="仿宋_GB2312" w:hAnsi="华文仿宋" w:eastAsia="仿宋_GB2312"/>
          <w:b w:val="0"/>
          <w:bCs w:val="0"/>
          <w:sz w:val="32"/>
          <w:szCs w:val="32"/>
          <w:highlight w:val="none"/>
        </w:rPr>
        <w:t>以前实施</w:t>
      </w:r>
      <w:r>
        <w:rPr>
          <w:rFonts w:hint="eastAsia" w:ascii="仿宋_GB2312" w:hAnsi="华文仿宋" w:eastAsia="仿宋_GB2312"/>
          <w:b w:val="0"/>
          <w:bCs w:val="0"/>
          <w:sz w:val="32"/>
          <w:szCs w:val="32"/>
          <w:highlight w:val="none"/>
          <w:lang w:eastAsia="zh-CN"/>
        </w:rPr>
        <w:t>“煤改电”“煤改气”</w:t>
      </w:r>
      <w:r>
        <w:rPr>
          <w:rFonts w:hint="eastAsia" w:ascii="仿宋_GB2312" w:hAnsi="华文仿宋" w:eastAsia="仿宋_GB2312"/>
          <w:b w:val="0"/>
          <w:bCs w:val="0"/>
          <w:sz w:val="32"/>
          <w:szCs w:val="32"/>
          <w:highlight w:val="none"/>
        </w:rPr>
        <w:t>村庄，存在的</w:t>
      </w:r>
      <w:r>
        <w:rPr>
          <w:rFonts w:hint="eastAsia" w:ascii="仿宋_GB2312" w:hAnsi="华文仿宋" w:eastAsia="仿宋_GB2312"/>
          <w:b w:val="0"/>
          <w:bCs w:val="0"/>
          <w:sz w:val="32"/>
          <w:szCs w:val="32"/>
          <w:highlight w:val="none"/>
          <w:lang w:eastAsia="zh-CN"/>
        </w:rPr>
        <w:t>新增户及</w:t>
      </w:r>
      <w:r>
        <w:rPr>
          <w:rFonts w:hint="eastAsia" w:ascii="仿宋_GB2312" w:eastAsia="仿宋_GB2312"/>
          <w:b w:val="0"/>
          <w:bCs w:val="0"/>
          <w:sz w:val="32"/>
          <w:szCs w:val="32"/>
          <w:highlight w:val="none"/>
          <w:lang w:val="en-US" w:eastAsia="zh-CN"/>
        </w:rPr>
        <w:t>经认定具备</w:t>
      </w:r>
      <w:r>
        <w:rPr>
          <w:rFonts w:hint="eastAsia" w:ascii="仿宋_GB2312" w:eastAsia="仿宋_GB2312"/>
          <w:b w:val="0"/>
          <w:bCs w:val="0"/>
          <w:sz w:val="32"/>
          <w:szCs w:val="32"/>
          <w:highlight w:val="none"/>
        </w:rPr>
        <w:t>报废标准的</w:t>
      </w:r>
      <w:r>
        <w:rPr>
          <w:rFonts w:hint="eastAsia" w:ascii="仿宋_GB2312" w:eastAsia="仿宋_GB2312"/>
          <w:b w:val="0"/>
          <w:bCs w:val="0"/>
          <w:sz w:val="32"/>
          <w:szCs w:val="32"/>
          <w:highlight w:val="none"/>
          <w:lang w:eastAsia="zh-CN"/>
        </w:rPr>
        <w:t>清洁取暖设备</w:t>
      </w:r>
      <w:r>
        <w:rPr>
          <w:rFonts w:hint="eastAsia" w:ascii="仿宋_GB2312" w:eastAsia="仿宋_GB2312"/>
          <w:b w:val="0"/>
          <w:bCs w:val="0"/>
          <w:sz w:val="32"/>
          <w:szCs w:val="32"/>
          <w:highlight w:val="none"/>
        </w:rPr>
        <w:t>，参照家电下乡补贴的方式</w:t>
      </w:r>
      <w:r>
        <w:rPr>
          <w:rFonts w:hint="eastAsia" w:ascii="仿宋_GB2312" w:eastAsia="仿宋_GB2312"/>
          <w:b w:val="0"/>
          <w:bCs w:val="0"/>
          <w:sz w:val="32"/>
          <w:szCs w:val="32"/>
          <w:highlight w:val="none"/>
          <w:lang w:eastAsia="zh-CN"/>
        </w:rPr>
        <w:t>进行补贴。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eastAsia="黑体"/>
          <w:sz w:val="32"/>
          <w:szCs w:val="32"/>
        </w:rPr>
        <w:t>主要内容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“煤改电”工作支持政策。概括为五条：一是外电网改造政策。对“煤改电”项目外电网改造中的10千伏外电源电力走廊内所占用的集体土地地上物和农村住户的地上物及土地进行评估补偿</w:t>
      </w:r>
      <w:r>
        <w:rPr>
          <w:rFonts w:hint="eastAsia" w:ascii="仿宋_GB2312" w:eastAsia="仿宋_GB2312" w:cs="宋体"/>
          <w:sz w:val="32"/>
          <w:szCs w:val="32"/>
        </w:rPr>
        <w:t>；</w:t>
      </w:r>
      <w:r>
        <w:rPr>
          <w:rFonts w:hint="eastAsia" w:ascii="仿宋_GB2312" w:eastAsia="仿宋_GB2312"/>
          <w:sz w:val="32"/>
          <w:szCs w:val="32"/>
        </w:rPr>
        <w:t>二是电取暖设备政策。含</w:t>
      </w:r>
      <w:r>
        <w:rPr>
          <w:rFonts w:hint="eastAsia" w:ascii="仿宋_GB2312" w:hAnsi="仿宋_GB2312" w:eastAsia="仿宋_GB2312" w:cs="仿宋_GB2312"/>
          <w:sz w:val="32"/>
          <w:szCs w:val="32"/>
        </w:rPr>
        <w:t>新增农村地区村庄冬季清洁取暖项目和202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年以前煤改电、煤改气村庄遗留户扫尾项目；</w:t>
      </w:r>
      <w:r>
        <w:rPr>
          <w:rFonts w:hint="eastAsia" w:ascii="仿宋_GB2312" w:eastAsia="仿宋_GB2312"/>
          <w:sz w:val="32"/>
          <w:szCs w:val="32"/>
        </w:rPr>
        <w:t>三是籽种农业设施政策。对育种、育秧、育苗等籽种农业设施实施“煤改电”改造的给予补贴；四是电价优惠及补贴政策。完成“煤改电”改造任务的村庄，住户每年采暖季享受电价优惠；五是终端设备政策。对政策补贴范围内安装空气源热泵的用户，取暖终端使用新型散热器、地盘管或风机盘管的提供补贴。</w:t>
      </w:r>
    </w:p>
    <w:p>
      <w:pPr>
        <w:snapToGrid w:val="0"/>
        <w:spacing w:line="560" w:lineRule="exact"/>
        <w:ind w:firstLine="640" w:firstLineChars="200"/>
        <w:contextualSpacing/>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实施“煤改清洁能源”集中供暖项目的支持政策。农村地区村庄住户、村委会、村民公共活动场所和籽种农业设施采用清洁能源实施集中供暖的项目，其配套建设的水蓄热设施投资计入热源投资，按一定比例给予支持。农村“煤改气”集中供暖采用市政管道天然气的，执行居民气价的非居民用户气价标准。</w:t>
      </w:r>
    </w:p>
    <w:p>
      <w:pPr>
        <w:snapToGrid w:val="0"/>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优质燃煤替代工作支持政策。未实施“煤改清洁能源”村庄用煤对象需使用政府招标确定的优质燃煤供应企业提供的符合北京市地方标准的优质燃煤，财政按照标准予以补贴。</w:t>
      </w:r>
    </w:p>
    <w:p>
      <w:pPr>
        <w:spacing w:line="560" w:lineRule="exact"/>
        <w:ind w:firstLine="640"/>
        <w:rPr>
          <w:rFonts w:hint="eastAsia" w:ascii="黑体" w:hAnsi="Times New Roman" w:eastAsia="黑体"/>
          <w:b w:val="0"/>
          <w:bCs w:val="0"/>
          <w:sz w:val="32"/>
          <w:szCs w:val="32"/>
          <w:highlight w:val="none"/>
          <w:lang w:eastAsia="zh-CN"/>
        </w:rPr>
      </w:pPr>
      <w:r>
        <w:rPr>
          <w:rFonts w:hint="eastAsia" w:ascii="黑体" w:hAnsi="Times New Roman" w:eastAsia="黑体"/>
          <w:b w:val="0"/>
          <w:bCs w:val="0"/>
          <w:sz w:val="32"/>
          <w:szCs w:val="32"/>
          <w:highlight w:val="none"/>
          <w:lang w:eastAsia="zh-CN"/>
        </w:rPr>
        <w:t>四、政策依据</w:t>
      </w:r>
    </w:p>
    <w:p>
      <w:pPr>
        <w:spacing w:line="560" w:lineRule="exact"/>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w:t>
      </w:r>
      <w:r>
        <w:rPr>
          <w:rFonts w:hint="eastAsia" w:ascii="仿宋_GB2312" w:hAnsi="仿宋_GB2312" w:eastAsia="仿宋_GB2312" w:cs="仿宋_GB2312"/>
          <w:b w:val="0"/>
          <w:bCs w:val="0"/>
          <w:sz w:val="32"/>
          <w:szCs w:val="32"/>
          <w:highlight w:val="none"/>
        </w:rPr>
        <w:t>北京市农业农村局</w:t>
      </w:r>
      <w:r>
        <w:rPr>
          <w:rFonts w:hint="eastAsia" w:ascii="仿宋_GB2312" w:hAnsi="仿宋_GB2312" w:eastAsia="仿宋_GB2312" w:cs="仿宋_GB2312"/>
          <w:b w:val="0"/>
          <w:bCs w:val="0"/>
          <w:sz w:val="32"/>
          <w:szCs w:val="32"/>
          <w:highlight w:val="none"/>
          <w:lang w:val="en-US" w:eastAsia="zh-CN"/>
        </w:rPr>
        <w:t xml:space="preserve"> 北京市城市管理委员会</w:t>
      </w:r>
      <w:r>
        <w:rPr>
          <w:rFonts w:hint="eastAsia" w:ascii="仿宋_GB2312" w:hAnsi="仿宋_GB2312" w:eastAsia="仿宋_GB2312" w:cs="仿宋_GB2312"/>
          <w:b w:val="0"/>
          <w:bCs w:val="0"/>
          <w:sz w:val="32"/>
          <w:szCs w:val="32"/>
          <w:highlight w:val="none"/>
          <w:lang w:eastAsia="zh-CN"/>
        </w:rPr>
        <w:t>《关于做好</w:t>
      </w:r>
      <w:r>
        <w:rPr>
          <w:rFonts w:hint="eastAsia" w:ascii="仿宋_GB2312" w:hAnsi="仿宋_GB2312" w:eastAsia="仿宋_GB2312" w:cs="仿宋_GB2312"/>
          <w:b w:val="0"/>
          <w:bCs w:val="0"/>
          <w:sz w:val="32"/>
          <w:szCs w:val="32"/>
          <w:highlight w:val="none"/>
          <w:lang w:val="en-US" w:eastAsia="zh-CN"/>
        </w:rPr>
        <w:t>2025年度农村地区冬季清洁取暖工作的通知</w:t>
      </w:r>
      <w:r>
        <w:rPr>
          <w:rFonts w:hint="eastAsia" w:ascii="仿宋_GB2312" w:hAnsi="仿宋_GB2312" w:eastAsia="仿宋_GB2312" w:cs="仿宋_GB2312"/>
          <w:b w:val="0"/>
          <w:bCs w:val="0"/>
          <w:sz w:val="32"/>
          <w:szCs w:val="32"/>
          <w:highlight w:val="none"/>
          <w:lang w:eastAsia="zh-CN"/>
        </w:rPr>
        <w:t>》</w:t>
      </w:r>
    </w:p>
    <w:p>
      <w:pPr>
        <w:spacing w:line="560" w:lineRule="exact"/>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（二）</w:t>
      </w:r>
      <w:r>
        <w:rPr>
          <w:rFonts w:hint="eastAsia" w:ascii="仿宋_GB2312" w:hAnsi="仿宋_GB2312" w:eastAsia="仿宋_GB2312" w:cs="仿宋_GB2312"/>
          <w:b w:val="0"/>
          <w:bCs w:val="0"/>
          <w:sz w:val="32"/>
          <w:szCs w:val="32"/>
          <w:highlight w:val="none"/>
        </w:rPr>
        <w:t>北京市农业农村局</w:t>
      </w:r>
      <w:r>
        <w:rPr>
          <w:rFonts w:hint="eastAsia" w:ascii="仿宋_GB2312" w:hAnsi="仿宋_GB2312" w:eastAsia="仿宋_GB2312" w:cs="仿宋_GB2312"/>
          <w:b w:val="0"/>
          <w:bCs w:val="0"/>
          <w:sz w:val="32"/>
          <w:szCs w:val="32"/>
          <w:highlight w:val="none"/>
          <w:lang w:val="en-US" w:eastAsia="zh-CN"/>
        </w:rPr>
        <w:t xml:space="preserve"> 北京市财政局</w:t>
      </w:r>
      <w:r>
        <w:rPr>
          <w:rFonts w:hint="eastAsia" w:ascii="仿宋_GB2312" w:hAnsi="仿宋_GB2312" w:eastAsia="仿宋_GB2312" w:cs="仿宋_GB2312"/>
          <w:b w:val="0"/>
          <w:bCs w:val="0"/>
          <w:sz w:val="32"/>
          <w:szCs w:val="32"/>
          <w:highlight w:val="none"/>
          <w:lang w:eastAsia="zh-CN"/>
        </w:rPr>
        <w:t>《关于进一步健全农村地区冬季清洁取暖长效管护工作机制的通知》（</w:t>
      </w: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115号</w:t>
      </w:r>
      <w:r>
        <w:rPr>
          <w:rFonts w:hint="eastAsia" w:ascii="仿宋_GB2312" w:hAnsi="仿宋_GB2312" w:eastAsia="仿宋_GB2312" w:cs="仿宋_GB2312"/>
          <w:b w:val="0"/>
          <w:bCs w:val="0"/>
          <w:sz w:val="32"/>
          <w:szCs w:val="32"/>
          <w:highlight w:val="none"/>
          <w:lang w:eastAsia="zh-CN"/>
        </w:rPr>
        <w:t>）</w:t>
      </w:r>
    </w:p>
    <w:p>
      <w:pPr>
        <w:spacing w:line="560" w:lineRule="exact"/>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（三）北京市农业农村局</w:t>
      </w:r>
      <w:r>
        <w:rPr>
          <w:rFonts w:hint="eastAsia" w:ascii="仿宋_GB2312" w:hAnsi="仿宋_GB2312" w:eastAsia="仿宋_GB2312" w:cs="仿宋_GB2312"/>
          <w:b w:val="0"/>
          <w:bCs w:val="0"/>
          <w:sz w:val="32"/>
          <w:szCs w:val="32"/>
          <w:highlight w:val="none"/>
          <w:lang w:val="en-US" w:eastAsia="zh-CN"/>
        </w:rPr>
        <w:t xml:space="preserve"> 北京市财政局 北京市地方金融监督管理局</w:t>
      </w:r>
      <w:r>
        <w:rPr>
          <w:rFonts w:hint="eastAsia" w:ascii="仿宋_GB2312" w:hAnsi="仿宋_GB2312" w:eastAsia="仿宋_GB2312" w:cs="仿宋_GB2312"/>
          <w:b w:val="0"/>
          <w:bCs w:val="0"/>
          <w:sz w:val="32"/>
          <w:szCs w:val="32"/>
          <w:highlight w:val="none"/>
          <w:lang w:eastAsia="zh-CN"/>
        </w:rPr>
        <w:t>《关于印发北京市农村地区清洁取暖设备更新工作指导意见的通知》（</w:t>
      </w: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49号</w:t>
      </w:r>
      <w:r>
        <w:rPr>
          <w:rFonts w:hint="eastAsia" w:ascii="仿宋_GB2312" w:hAnsi="仿宋_GB2312" w:eastAsia="仿宋_GB2312" w:cs="仿宋_GB2312"/>
          <w:b w:val="0"/>
          <w:bCs w:val="0"/>
          <w:sz w:val="32"/>
          <w:szCs w:val="32"/>
          <w:highlight w:val="none"/>
          <w:lang w:eastAsia="zh-CN"/>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eastAsia="zh-CN"/>
        </w:rPr>
        <w:t>（四）北京市农业农村局</w:t>
      </w:r>
      <w:r>
        <w:rPr>
          <w:rFonts w:hint="eastAsia" w:ascii="仿宋_GB2312" w:hAnsi="仿宋_GB2312" w:eastAsia="仿宋_GB2312" w:cs="仿宋_GB2312"/>
          <w:b w:val="0"/>
          <w:bCs w:val="0"/>
          <w:sz w:val="32"/>
          <w:szCs w:val="32"/>
          <w:highlight w:val="none"/>
          <w:lang w:val="en-US" w:eastAsia="zh-CN"/>
        </w:rPr>
        <w:t xml:space="preserve"> 北京市城市管理委</w:t>
      </w:r>
      <w:r>
        <w:rPr>
          <w:rFonts w:hint="eastAsia" w:ascii="仿宋_GB2312" w:hAnsi="仿宋_GB2312" w:eastAsia="仿宋_GB2312" w:cs="仿宋_GB2312"/>
          <w:b w:val="0"/>
          <w:bCs w:val="0"/>
          <w:sz w:val="32"/>
          <w:szCs w:val="32"/>
          <w:highlight w:val="none"/>
          <w:lang w:eastAsia="zh-CN"/>
        </w:rPr>
        <w:t>《关于做好农村地区清洁取暖设备更新有关工作的通知》</w:t>
      </w:r>
    </w:p>
    <w:sectPr>
      <w:headerReference r:id="rId3" w:type="default"/>
      <w:footerReference r:id="rId4" w:type="default"/>
      <w:pgSz w:w="11907" w:h="16840"/>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7"/>
      </w:tabs>
      <w:ind w:right="360" w:firstLine="360"/>
      <w:rPr>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tabs>
                              <w:tab w:val="clear" w:pos="8307"/>
                            </w:tabs>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pPr>
                      <w:pStyle w:val="13"/>
                      <w:tabs>
                        <w:tab w:val="clear" w:pos="8307"/>
                      </w:tabs>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r>
      <w:rPr>
        <w:rFonts w:hint="eastAsia"/>
        <w:sz w:val="28"/>
        <w:szCs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MjljZGE1ZjEyZjIyMDZiOWI5MzA1ODJkYTM3MGEifQ=="/>
  </w:docVars>
  <w:rsids>
    <w:rsidRoot w:val="007C0672"/>
    <w:rsid w:val="00022626"/>
    <w:rsid w:val="0002266E"/>
    <w:rsid w:val="000333C6"/>
    <w:rsid w:val="00040381"/>
    <w:rsid w:val="00047818"/>
    <w:rsid w:val="0007067C"/>
    <w:rsid w:val="000E7F52"/>
    <w:rsid w:val="002E5B21"/>
    <w:rsid w:val="002E5C4A"/>
    <w:rsid w:val="002E61DC"/>
    <w:rsid w:val="00323200"/>
    <w:rsid w:val="004D5C3E"/>
    <w:rsid w:val="004F3E84"/>
    <w:rsid w:val="0055528C"/>
    <w:rsid w:val="00566718"/>
    <w:rsid w:val="005B5AFA"/>
    <w:rsid w:val="005D1D1E"/>
    <w:rsid w:val="00655F95"/>
    <w:rsid w:val="00670F17"/>
    <w:rsid w:val="0069794B"/>
    <w:rsid w:val="006C0CB2"/>
    <w:rsid w:val="007C0672"/>
    <w:rsid w:val="00826DAB"/>
    <w:rsid w:val="0090505E"/>
    <w:rsid w:val="00905ADB"/>
    <w:rsid w:val="009977EF"/>
    <w:rsid w:val="009C5BB1"/>
    <w:rsid w:val="00A0718A"/>
    <w:rsid w:val="00A14573"/>
    <w:rsid w:val="00A31059"/>
    <w:rsid w:val="00AB0393"/>
    <w:rsid w:val="00AF483B"/>
    <w:rsid w:val="00AF6A16"/>
    <w:rsid w:val="00BD44B4"/>
    <w:rsid w:val="00C75A40"/>
    <w:rsid w:val="00DD1FDC"/>
    <w:rsid w:val="00E83A21"/>
    <w:rsid w:val="00EF6362"/>
    <w:rsid w:val="00F03F94"/>
    <w:rsid w:val="00F318C6"/>
    <w:rsid w:val="00F4646D"/>
    <w:rsid w:val="00F72699"/>
    <w:rsid w:val="00FC3EA5"/>
    <w:rsid w:val="00FE324E"/>
    <w:rsid w:val="00FF15B4"/>
    <w:rsid w:val="031546FC"/>
    <w:rsid w:val="0A047AB2"/>
    <w:rsid w:val="1B2F0A0E"/>
    <w:rsid w:val="27CDC7D7"/>
    <w:rsid w:val="29963B8A"/>
    <w:rsid w:val="4BDF32BC"/>
    <w:rsid w:val="5CC907D0"/>
    <w:rsid w:val="62AE66F6"/>
    <w:rsid w:val="7A065468"/>
    <w:rsid w:val="7FFB0129"/>
    <w:rsid w:val="F7363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rPr>
  </w:style>
  <w:style w:type="paragraph" w:styleId="5">
    <w:name w:val="heading 2"/>
    <w:basedOn w:val="1"/>
    <w:next w:val="1"/>
    <w:link w:val="29"/>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27"/>
    <w:qFormat/>
    <w:uiPriority w:val="0"/>
    <w:pPr>
      <w:spacing w:line="600" w:lineRule="exact"/>
      <w:ind w:firstLine="200" w:firstLineChars="200"/>
      <w:outlineLvl w:val="0"/>
    </w:pPr>
    <w:rPr>
      <w:rFonts w:ascii="Calibri Light" w:hAnsi="Calibri Light" w:eastAsia="楷体"/>
      <w:bCs/>
      <w:sz w:val="32"/>
      <w:szCs w:val="32"/>
    </w:rPr>
  </w:style>
  <w:style w:type="paragraph" w:styleId="3">
    <w:name w:val="Body Text"/>
    <w:basedOn w:val="1"/>
    <w:next w:val="1"/>
    <w:link w:val="28"/>
    <w:qFormat/>
    <w:uiPriority w:val="0"/>
    <w:pPr>
      <w:spacing w:after="120"/>
    </w:pPr>
    <w:rPr>
      <w:rFonts w:ascii="Calibri" w:hAnsi="Calibri"/>
      <w:szCs w:val="22"/>
    </w:rPr>
  </w:style>
  <w:style w:type="paragraph" w:styleId="7">
    <w:name w:val="Normal Indent"/>
    <w:basedOn w:val="1"/>
    <w:qFormat/>
    <w:uiPriority w:val="99"/>
    <w:pPr>
      <w:ind w:firstLine="420" w:firstLineChars="200"/>
    </w:pPr>
  </w:style>
  <w:style w:type="paragraph" w:styleId="8">
    <w:name w:val="index 5"/>
    <w:basedOn w:val="1"/>
    <w:next w:val="1"/>
    <w:qFormat/>
    <w:uiPriority w:val="0"/>
    <w:pPr>
      <w:suppressAutoHyphens/>
      <w:ind w:left="1680"/>
    </w:pPr>
    <w:rPr>
      <w:szCs w:val="24"/>
    </w:rPr>
  </w:style>
  <w:style w:type="paragraph" w:styleId="9">
    <w:name w:val="annotation text"/>
    <w:basedOn w:val="1"/>
    <w:link w:val="25"/>
    <w:qFormat/>
    <w:uiPriority w:val="0"/>
    <w:pPr>
      <w:jc w:val="left"/>
    </w:pPr>
  </w:style>
  <w:style w:type="paragraph" w:styleId="10">
    <w:name w:val="Block Text"/>
    <w:basedOn w:val="1"/>
    <w:next w:val="11"/>
    <w:qFormat/>
    <w:uiPriority w:val="99"/>
    <w:pPr>
      <w:spacing w:after="120"/>
      <w:ind w:left="1440" w:leftChars="700" w:right="1440" w:rightChars="700"/>
    </w:pPr>
  </w:style>
  <w:style w:type="paragraph" w:styleId="11">
    <w:name w:val="header"/>
    <w:basedOn w:val="1"/>
    <w:next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Balloon Text"/>
    <w:basedOn w:val="1"/>
    <w:link w:val="26"/>
    <w:qFormat/>
    <w:uiPriority w:val="0"/>
    <w:rPr>
      <w:sz w:val="18"/>
      <w:szCs w:val="18"/>
    </w:rPr>
  </w:style>
  <w:style w:type="paragraph" w:styleId="13">
    <w:name w:val="footer"/>
    <w:basedOn w:val="1"/>
    <w:next w:val="1"/>
    <w:qFormat/>
    <w:uiPriority w:val="0"/>
    <w:pPr>
      <w:tabs>
        <w:tab w:val="center" w:pos="4153"/>
        <w:tab w:val="right" w:pos="8307"/>
      </w:tabs>
      <w:snapToGrid w:val="0"/>
      <w:jc w:val="left"/>
    </w:pPr>
    <w:rPr>
      <w:sz w:val="18"/>
    </w:rPr>
  </w:style>
  <w:style w:type="paragraph" w:styleId="14">
    <w:name w:val="Normal (Web)"/>
    <w:basedOn w:val="1"/>
    <w:qFormat/>
    <w:uiPriority w:val="0"/>
    <w:pPr>
      <w:jc w:val="left"/>
    </w:pPr>
    <w:rPr>
      <w:rFonts w:ascii="微软雅黑" w:hAnsi="微软雅黑" w:eastAsia="微软雅黑" w:cs="微软雅黑"/>
      <w:kern w:val="0"/>
      <w:sz w:val="24"/>
    </w:rPr>
  </w:style>
  <w:style w:type="character" w:styleId="17">
    <w:name w:val="Strong"/>
    <w:basedOn w:val="16"/>
    <w:qFormat/>
    <w:uiPriority w:val="0"/>
    <w:rPr>
      <w:rFonts w:hint="eastAsia" w:ascii="微软雅黑" w:hAnsi="微软雅黑" w:eastAsia="微软雅黑" w:cs="微软雅黑"/>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33333"/>
      <w:u w:val="none"/>
    </w:rPr>
  </w:style>
  <w:style w:type="character" w:styleId="20">
    <w:name w:val="Emphasis"/>
    <w:basedOn w:val="16"/>
    <w:qFormat/>
    <w:uiPriority w:val="0"/>
    <w:rPr>
      <w:rFonts w:hint="eastAsia" w:ascii="微软雅黑" w:hAnsi="微软雅黑" w:eastAsia="微软雅黑" w:cs="微软雅黑"/>
      <w:i/>
    </w:rPr>
  </w:style>
  <w:style w:type="character" w:styleId="21">
    <w:name w:val="Hyperlink"/>
    <w:qFormat/>
    <w:uiPriority w:val="0"/>
    <w:rPr>
      <w:color w:val="0000FF"/>
      <w:u w:val="single"/>
    </w:rPr>
  </w:style>
  <w:style w:type="character" w:styleId="22">
    <w:name w:val="annotation reference"/>
    <w:basedOn w:val="16"/>
    <w:qFormat/>
    <w:uiPriority w:val="0"/>
    <w:rPr>
      <w:sz w:val="21"/>
      <w:szCs w:val="21"/>
    </w:rPr>
  </w:style>
  <w:style w:type="paragraph" w:customStyle="1" w:styleId="23">
    <w:name w:val="A正文"/>
    <w:basedOn w:val="1"/>
    <w:qFormat/>
    <w:uiPriority w:val="0"/>
    <w:pPr>
      <w:ind w:firstLine="200"/>
    </w:pPr>
  </w:style>
  <w:style w:type="character" w:customStyle="1" w:styleId="24">
    <w:name w:val="hover"/>
    <w:basedOn w:val="16"/>
    <w:qFormat/>
    <w:uiPriority w:val="0"/>
    <w:rPr>
      <w:shd w:val="clear" w:color="auto" w:fill="333333"/>
    </w:rPr>
  </w:style>
  <w:style w:type="character" w:customStyle="1" w:styleId="25">
    <w:name w:val="批注文字 Char"/>
    <w:basedOn w:val="16"/>
    <w:link w:val="9"/>
    <w:qFormat/>
    <w:uiPriority w:val="0"/>
    <w:rPr>
      <w:kern w:val="2"/>
      <w:sz w:val="21"/>
    </w:rPr>
  </w:style>
  <w:style w:type="character" w:customStyle="1" w:styleId="26">
    <w:name w:val="批注框文本 Char"/>
    <w:basedOn w:val="16"/>
    <w:link w:val="12"/>
    <w:qFormat/>
    <w:uiPriority w:val="0"/>
    <w:rPr>
      <w:kern w:val="2"/>
      <w:sz w:val="18"/>
      <w:szCs w:val="18"/>
    </w:rPr>
  </w:style>
  <w:style w:type="character" w:customStyle="1" w:styleId="27">
    <w:name w:val="标题 Char"/>
    <w:link w:val="2"/>
    <w:qFormat/>
    <w:uiPriority w:val="0"/>
    <w:rPr>
      <w:rFonts w:ascii="Calibri Light" w:hAnsi="Calibri Light" w:eastAsia="楷体"/>
      <w:bCs/>
      <w:kern w:val="2"/>
      <w:sz w:val="32"/>
      <w:szCs w:val="32"/>
    </w:rPr>
  </w:style>
  <w:style w:type="character" w:customStyle="1" w:styleId="28">
    <w:name w:val="正文文本 Char"/>
    <w:link w:val="3"/>
    <w:qFormat/>
    <w:uiPriority w:val="0"/>
    <w:rPr>
      <w:rFonts w:ascii="Calibri" w:hAnsi="Calibri"/>
      <w:kern w:val="2"/>
      <w:sz w:val="21"/>
      <w:szCs w:val="22"/>
    </w:rPr>
  </w:style>
  <w:style w:type="character" w:customStyle="1" w:styleId="29">
    <w:name w:val="标题 2 Char"/>
    <w:link w:val="5"/>
    <w:qFormat/>
    <w:uiPriority w:val="0"/>
    <w:rPr>
      <w:rFonts w:ascii="Arial" w:hAnsi="Arial" w:eastAsia="黑体"/>
      <w:b/>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D563D-C24E-455F-91E6-89429001D9E9}">
  <ds:schemaRefs/>
</ds:datastoreItem>
</file>

<file path=docProps/app.xml><?xml version="1.0" encoding="utf-8"?>
<Properties xmlns="http://schemas.openxmlformats.org/officeDocument/2006/extended-properties" xmlns:vt="http://schemas.openxmlformats.org/officeDocument/2006/docPropsVTypes">
  <Template>Normal</Template>
  <Company>1</Company>
  <Pages>3</Pages>
  <Words>19821</Words>
  <Characters>20906</Characters>
  <Lines>154</Lines>
  <Paragraphs>43</Paragraphs>
  <TotalTime>1</TotalTime>
  <ScaleCrop>false</ScaleCrop>
  <LinksUpToDate>false</LinksUpToDate>
  <CharactersWithSpaces>20985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2024-05-20T01:54:00Z</dcterms:created>
  <dc:creator>DELL</dc:creator>
  <cp:lastModifiedBy>Administrator</cp:lastModifiedBy>
  <cp:lastPrinted>2021-10-31T00:11:00Z</cp:lastPrinted>
  <dcterms:modified xsi:type="dcterms:W3CDTF">2025-04-23T06:59:44Z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87A388F75F2F433E963C0AA7FDADF47E_13</vt:lpwstr>
  </property>
</Properties>
</file>