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spacing w:val="-2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pacing w:val="-20"/>
          <w:sz w:val="44"/>
          <w:szCs w:val="44"/>
          <w:lang w:val="en-US" w:eastAsia="zh-CN"/>
        </w:rPr>
        <w:t>2025年东城区</w:t>
      </w:r>
      <w:r>
        <w:rPr>
          <w:rFonts w:hint="default" w:ascii="Times New Roman" w:hAnsi="Times New Roman" w:eastAsia="方正小标宋简体" w:cs="Times New Roman"/>
          <w:bCs/>
          <w:spacing w:val="-20"/>
          <w:sz w:val="44"/>
          <w:szCs w:val="44"/>
          <w:lang w:eastAsia="zh-CN"/>
        </w:rPr>
        <w:t>全面优化营商环境</w:t>
      </w:r>
      <w:r>
        <w:rPr>
          <w:rFonts w:hint="default" w:ascii="Times New Roman" w:hAnsi="Times New Roman" w:eastAsia="方正小标宋简体" w:cs="Times New Roman"/>
          <w:bCs/>
          <w:spacing w:val="-20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spacing w:val="-2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pacing w:val="-20"/>
          <w:sz w:val="44"/>
          <w:szCs w:val="44"/>
          <w:lang w:eastAsia="zh-CN"/>
        </w:rPr>
        <w:t>打造</w:t>
      </w:r>
      <w:r>
        <w:rPr>
          <w:rFonts w:hint="eastAsia" w:ascii="Times New Roman" w:hAnsi="Times New Roman" w:eastAsia="仿宋_GB2312" w:cs="Times New Roman"/>
          <w:bCs/>
          <w:spacing w:val="-2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bCs/>
          <w:spacing w:val="-20"/>
          <w:sz w:val="44"/>
          <w:szCs w:val="44"/>
          <w:lang w:eastAsia="zh-CN"/>
        </w:rPr>
        <w:t>北京服务</w:t>
      </w:r>
      <w:r>
        <w:rPr>
          <w:rFonts w:hint="eastAsia" w:ascii="Times New Roman" w:hAnsi="Times New Roman" w:eastAsia="仿宋_GB2312" w:cs="Times New Roman"/>
          <w:bCs/>
          <w:spacing w:val="-2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bCs/>
          <w:spacing w:val="-20"/>
          <w:sz w:val="44"/>
          <w:szCs w:val="44"/>
          <w:lang w:eastAsia="zh-CN"/>
        </w:rPr>
        <w:t>东城样板</w:t>
      </w:r>
      <w:r>
        <w:rPr>
          <w:rFonts w:hint="default" w:ascii="Times New Roman" w:hAnsi="Times New Roman" w:eastAsia="方正小标宋简体" w:cs="Times New Roman"/>
          <w:bCs/>
          <w:spacing w:val="-20"/>
          <w:sz w:val="44"/>
          <w:szCs w:val="44"/>
          <w:lang w:val="en-US" w:eastAsia="zh-CN"/>
        </w:rPr>
        <w:t>工作方案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cs="仿宋_GB2312"/>
          <w:color w:val="auto"/>
          <w:lang w:val="en-US" w:eastAsia="zh-CN"/>
        </w:rPr>
      </w:pPr>
      <w:r>
        <w:rPr>
          <w:rFonts w:hint="eastAsia" w:ascii="仿宋_GB2312" w:hAnsi="仿宋_GB2312" w:cs="仿宋_GB2312"/>
          <w:color w:val="auto"/>
          <w:lang w:val="en-US" w:eastAsia="zh-CN"/>
        </w:rPr>
        <w:t>为全面贯彻党中央、国务院持续优化营商环境决策部署，以及市委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、市政府打造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北京服务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”</w:t>
      </w:r>
      <w:r>
        <w:rPr>
          <w:rFonts w:hint="eastAsia" w:ascii="仿宋_GB2312" w:hAnsi="仿宋_GB2312" w:cs="仿宋_GB2312"/>
          <w:color w:val="auto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工作要求，东城区在近几年持续改革优化营商环境的基础上，进一步创新提升，将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紫金服务十大行动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全面纳入营商环境范畴，全面打造具有首都功能核心区特色的营商环境样板，助力东城区经济社会高质量</w:t>
      </w:r>
      <w:r>
        <w:rPr>
          <w:rFonts w:hint="eastAsia" w:ascii="仿宋_GB2312" w:hAnsi="仿宋_GB2312" w:cs="仿宋_GB2312"/>
          <w:color w:val="auto"/>
          <w:lang w:val="en-US" w:eastAsia="zh-CN"/>
        </w:rPr>
        <w:t>发展。特制定本方案。</w:t>
      </w:r>
    </w:p>
    <w:p>
      <w:pPr>
        <w:pStyle w:val="3"/>
        <w:bidi w:val="0"/>
        <w:jc w:val="both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一、总体要求</w:t>
      </w:r>
    </w:p>
    <w:p>
      <w:pPr>
        <w:bidi w:val="0"/>
        <w:jc w:val="both"/>
        <w:rPr>
          <w:rFonts w:hint="eastAsia" w:ascii="仿宋_GB2312" w:hAnsi="仿宋_GB2312" w:cs="仿宋_GB2312"/>
          <w:color w:val="auto"/>
          <w:lang w:val="en-US" w:eastAsia="zh-CN"/>
        </w:rPr>
      </w:pPr>
      <w:r>
        <w:rPr>
          <w:rFonts w:hint="eastAsia" w:ascii="仿宋_GB2312" w:hAnsi="仿宋_GB2312" w:cs="仿宋_GB2312"/>
          <w:color w:val="auto"/>
          <w:lang w:val="en-US" w:eastAsia="zh-CN"/>
        </w:rPr>
        <w:t>以习近平新时代中国特色社会主义思想为指导，深入贯彻党的二十大精神，完整、准确、全面贯彻新发展理念，坚持以人民为中心，牢牢把握首都城市战略定位，全面承接北京市营商环境改革任务规定动作，鼓励各部门主动作为、勇于创新。以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“</w:t>
      </w:r>
      <w:r>
        <w:rPr>
          <w:rFonts w:hint="eastAsia" w:ascii="仿宋_GB2312" w:hAnsi="仿宋_GB2312" w:cs="仿宋_GB2312"/>
          <w:color w:val="auto"/>
          <w:lang w:val="en-US" w:eastAsia="zh-CN"/>
        </w:rPr>
        <w:t>北京服务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”</w:t>
      </w:r>
      <w:r>
        <w:rPr>
          <w:rFonts w:hint="eastAsia" w:ascii="仿宋_GB2312" w:hAnsi="仿宋_GB2312" w:cs="仿宋_GB2312"/>
          <w:color w:val="auto"/>
          <w:lang w:val="en-US" w:eastAsia="zh-CN"/>
        </w:rPr>
        <w:t>为目标，围绕市场环境、法治环境、投资贸易环境、政务环境、数字和人文环境、京津冀营商环境等体制机制改革，全力推动重点领域和关键环节改革落地见效，促进各类经营主体更好更快发展，切实提高企业群众的获得感、幸福感。</w:t>
      </w:r>
    </w:p>
    <w:p>
      <w:pPr>
        <w:pStyle w:val="3"/>
        <w:numPr>
          <w:ilvl w:val="0"/>
          <w:numId w:val="0"/>
        </w:numPr>
        <w:bidi w:val="0"/>
        <w:ind w:firstLine="640" w:firstLineChars="200"/>
        <w:jc w:val="both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kern w:val="44"/>
          <w:sz w:val="32"/>
          <w:szCs w:val="48"/>
          <w:lang w:val="en-US" w:eastAsia="zh-CN" w:bidi="ar"/>
        </w:rPr>
        <w:t>二、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以首善标准高质量</w:t>
      </w:r>
      <w:r>
        <w:rPr>
          <w:rFonts w:hint="eastAsia" w:ascii="仿宋_GB2312" w:hAnsi="仿宋_GB2312" w:cs="仿宋_GB2312"/>
          <w:color w:val="auto"/>
          <w:lang w:val="en-US" w:eastAsia="zh-CN"/>
        </w:rPr>
        <w:t>打造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市场化法治化国际化一流营商环境，到2025年底，东城区</w:t>
      </w:r>
      <w:r>
        <w:rPr>
          <w:rFonts w:hint="eastAsia" w:ascii="仿宋_GB2312" w:hAnsi="仿宋_GB2312" w:cs="仿宋_GB2312"/>
          <w:color w:val="auto"/>
          <w:lang w:val="en-US" w:eastAsia="zh-CN"/>
        </w:rPr>
        <w:t>营商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环境新优势不断显现，服务企业全生命周期便利度、投资吸引力、创新</w:t>
      </w:r>
      <w:r>
        <w:rPr>
          <w:rFonts w:hint="eastAsia" w:ascii="仿宋_GB2312" w:hAnsi="仿宋_GB2312" w:cs="仿宋_GB2312"/>
          <w:color w:val="auto"/>
          <w:lang w:val="en-US" w:eastAsia="zh-CN"/>
        </w:rPr>
        <w:t>创业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活跃度、政府监管和服务能力、法治保障水平、外资外贸开放程度大幅提升，市场主体活力更加强劲、发展内生动力更加充沛，形成一批可复制推广的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“</w:t>
      </w:r>
      <w:r>
        <w:rPr>
          <w:rFonts w:hint="eastAsia" w:ascii="仿宋_GB2312" w:hAnsi="仿宋_GB2312" w:cs="仿宋_GB2312"/>
          <w:color w:val="auto"/>
          <w:lang w:val="en-US" w:eastAsia="zh-CN"/>
        </w:rPr>
        <w:t>东城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经验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，为首都</w:t>
      </w:r>
      <w:r>
        <w:rPr>
          <w:rFonts w:hint="eastAsia" w:ascii="仿宋_GB2312" w:hAnsi="仿宋_GB2312" w:cs="仿宋_GB2312"/>
          <w:color w:val="auto"/>
          <w:lang w:val="en-US" w:eastAsia="zh-CN"/>
        </w:rPr>
        <w:t>经济社会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高质量发展提供</w:t>
      </w:r>
      <w:r>
        <w:rPr>
          <w:rFonts w:hint="eastAsia" w:ascii="仿宋_GB2312" w:hAnsi="仿宋_GB2312" w:cs="仿宋_GB2312"/>
          <w:color w:val="auto"/>
          <w:lang w:val="en-US" w:eastAsia="zh-CN"/>
        </w:rPr>
        <w:t>强有力支撑。</w:t>
      </w:r>
    </w:p>
    <w:p>
      <w:pPr>
        <w:pStyle w:val="3"/>
        <w:numPr>
          <w:ilvl w:val="0"/>
          <w:numId w:val="0"/>
        </w:numPr>
        <w:bidi w:val="0"/>
        <w:ind w:firstLine="640" w:firstLineChars="200"/>
        <w:jc w:val="both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kern w:val="44"/>
          <w:sz w:val="32"/>
          <w:szCs w:val="48"/>
          <w:lang w:val="en-US" w:eastAsia="zh-CN" w:bidi="ar"/>
        </w:rPr>
        <w:t>三、</w:t>
      </w:r>
      <w:r>
        <w:rPr>
          <w:rFonts w:hint="default" w:ascii="Times New Roman" w:hAnsi="Times New Roman" w:cs="Times New Roman"/>
          <w:color w:val="auto"/>
          <w:lang w:val="en-US" w:eastAsia="zh-CN"/>
        </w:rPr>
        <w:t>主要工作</w:t>
      </w:r>
    </w:p>
    <w:p>
      <w:pPr>
        <w:pStyle w:val="4"/>
        <w:numPr>
          <w:ilvl w:val="0"/>
          <w:numId w:val="0"/>
        </w:numPr>
        <w:bidi w:val="0"/>
        <w:ind w:firstLine="640" w:firstLineChars="200"/>
        <w:jc w:val="both"/>
        <w:rPr>
          <w:rFonts w:hint="default" w:ascii="Times New Roman" w:hAnsi="Times New Roman" w:cs="Times New Roman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/>
          <w:kern w:val="2"/>
          <w:sz w:val="32"/>
          <w:szCs w:val="24"/>
          <w:lang w:val="en-US" w:eastAsia="zh-CN" w:bidi="ar-SA"/>
        </w:rPr>
        <w:t>（一）大力营造京津冀一流营商环境</w:t>
      </w:r>
    </w:p>
    <w:p>
      <w:pPr>
        <w:rPr>
          <w:rFonts w:hint="default" w:ascii="Times New Roman" w:hAnsi="Times New Roman" w:eastAsia="楷体_GB2312" w:cs="Times New Roman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kern w:val="2"/>
          <w:sz w:val="32"/>
          <w:szCs w:val="24"/>
          <w:lang w:val="en-US" w:eastAsia="zh-CN" w:bidi="ar-SA"/>
        </w:rPr>
        <w:t>1.京津冀</w:t>
      </w:r>
      <w:r>
        <w:rPr>
          <w:rFonts w:hint="default" w:ascii="Times New Roman" w:hAnsi="Times New Roman" w:eastAsia="楷体_GB2312" w:cs="Times New Roman"/>
          <w:lang w:val="en-US" w:eastAsia="zh-CN"/>
        </w:rPr>
        <w:t>重点领域协同改革</w:t>
      </w:r>
    </w:p>
    <w:p>
      <w:pPr>
        <w:rPr>
          <w:rFonts w:hint="eastAsia" w:ascii="仿宋_GB2312" w:hAnsi="仿宋_GB2312" w:cs="仿宋_GB2312"/>
          <w:color w:val="auto"/>
          <w:lang w:val="en-US" w:eastAsia="zh-CN"/>
        </w:rPr>
      </w:pPr>
      <w:r>
        <w:rPr>
          <w:rFonts w:hint="default" w:ascii="Times New Roman" w:hAnsi="Times New Roman" w:eastAsia="楷体_GB2312" w:cs="Times New Roman"/>
          <w:lang w:val="en-US" w:eastAsia="zh-CN"/>
        </w:rPr>
        <w:t>（1）加强</w:t>
      </w:r>
      <w:r>
        <w:rPr>
          <w:rFonts w:hint="eastAsia" w:ascii="Times New Roman" w:hAnsi="Times New Roman" w:eastAsia="楷体_GB2312" w:cs="Times New Roman"/>
          <w:lang w:val="en-US" w:eastAsia="zh-CN"/>
        </w:rPr>
        <w:t>市场准入</w:t>
      </w:r>
      <w:r>
        <w:rPr>
          <w:rFonts w:hint="default" w:ascii="Times New Roman" w:hAnsi="Times New Roman" w:eastAsia="楷体_GB2312" w:cs="Times New Roman"/>
          <w:lang w:val="en-US" w:eastAsia="zh-CN"/>
        </w:rPr>
        <w:t>协同改革。</w:t>
      </w:r>
      <w:r>
        <w:rPr>
          <w:rFonts w:hint="eastAsia" w:ascii="仿宋_GB2312" w:hAnsi="仿宋_GB2312" w:cs="仿宋_GB2312"/>
          <w:color w:val="auto"/>
          <w:lang w:val="en-US" w:eastAsia="zh-CN"/>
        </w:rPr>
        <w:t>依托市局京津冀一体化企业登记服务平台建设，推进京津冀企业登记注册“全程网办、一网通办、跨省通办”，提升京津冀企业准入服务速度和效率。</w:t>
      </w:r>
    </w:p>
    <w:p>
      <w:pPr>
        <w:pStyle w:val="2"/>
        <w:rPr>
          <w:rFonts w:hint="eastAsia" w:ascii="仿宋_GB2312" w:hAnsi="仿宋_GB2312" w:cs="仿宋_GB2312"/>
          <w:color w:val="auto"/>
          <w:lang w:val="en-US" w:eastAsia="zh-CN"/>
        </w:rPr>
      </w:pPr>
      <w:r>
        <w:rPr>
          <w:rFonts w:hint="default" w:ascii="Times New Roman" w:hAnsi="Times New Roman" w:eastAsia="楷体_GB2312" w:cs="Times New Roman"/>
          <w:lang w:val="en-US" w:eastAsia="zh-CN"/>
        </w:rPr>
        <w:t>（2）强化重点领域协同监管。</w:t>
      </w:r>
      <w:r>
        <w:rPr>
          <w:rFonts w:hint="eastAsia" w:ascii="仿宋_GB2312" w:hAnsi="仿宋_GB2312" w:cs="仿宋_GB2312"/>
          <w:color w:val="auto"/>
          <w:lang w:val="en-US" w:eastAsia="zh-CN"/>
        </w:rPr>
        <w:t>强化自动售货销售商跨省市监管，通过协查系统等平台实现监管数据共享，织密监管网。</w:t>
      </w:r>
    </w:p>
    <w:p>
      <w:pPr>
        <w:pStyle w:val="2"/>
        <w:rPr>
          <w:rFonts w:hint="eastAsia" w:ascii="仿宋_GB2312" w:hAnsi="仿宋_GB2312" w:cs="仿宋_GB2312"/>
          <w:color w:val="auto"/>
          <w:lang w:val="en-US" w:eastAsia="zh-CN"/>
        </w:rPr>
      </w:pPr>
      <w:r>
        <w:rPr>
          <w:rFonts w:hint="default" w:ascii="Times New Roman" w:hAnsi="Times New Roman" w:eastAsia="楷体_GB2312" w:cs="Times New Roman"/>
          <w:lang w:val="en-US" w:eastAsia="zh-CN"/>
        </w:rPr>
        <w:t>（3）推动职业资格互认互通。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加强与国家公共就业服务区域中心（北京）的协同，推动区域就业协同工作进一步深化。</w:t>
      </w:r>
      <w:r>
        <w:rPr>
          <w:rFonts w:hint="eastAsia" w:ascii="仿宋_GB2312" w:hAnsi="仿宋_GB2312" w:cs="仿宋_GB2312"/>
          <w:color w:val="auto"/>
          <w:lang w:val="en-US" w:eastAsia="zh-CN"/>
        </w:rPr>
        <w:t>探索在更多领域、更大范围实现境内外职业资格、职业认证的互认互通。</w:t>
      </w:r>
    </w:p>
    <w:p>
      <w:pPr>
        <w:pStyle w:val="4"/>
        <w:numPr>
          <w:ilvl w:val="0"/>
          <w:numId w:val="0"/>
        </w:numPr>
        <w:bidi w:val="0"/>
        <w:ind w:firstLine="640" w:firstLineChars="200"/>
        <w:jc w:val="both"/>
        <w:rPr>
          <w:rFonts w:hint="default" w:ascii="Times New Roman" w:hAnsi="Times New Roman" w:cs="Times New Roman"/>
          <w:b w:val="0"/>
          <w:bCs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lang w:val="en-US" w:eastAsia="zh-CN"/>
        </w:rPr>
        <w:t>（二）重点打造经营主体活力迸发的市场环境</w:t>
      </w:r>
    </w:p>
    <w:p>
      <w:pPr>
        <w:pStyle w:val="5"/>
        <w:bidi w:val="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>.持续优化市场准入制度</w:t>
      </w:r>
    </w:p>
    <w:p>
      <w:pPr>
        <w:bidi w:val="0"/>
        <w:jc w:val="both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（4）发挥审批服务协调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“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专事专议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”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制度作用</w:t>
      </w: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挖掘适合纳入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专事专议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制度推进的新业态审批服务项目，加强项目实施全程跟踪督促，推进更多项目落地见效。落实北京市食品经营许可审查细则，优化食品经营许可审批流程</w:t>
      </w:r>
      <w:r>
        <w:rPr>
          <w:rFonts w:hint="eastAsia" w:ascii="仿宋_GB2312" w:hAnsi="仿宋_GB2312" w:cs="仿宋_GB2312"/>
          <w:color w:val="auto"/>
          <w:lang w:val="en-US" w:eastAsia="zh-CN"/>
        </w:rPr>
        <w:t>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（5）推进否定事项报备制工作标准化建设</w:t>
      </w: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对企业设立、变更、注销等全生命周期的市场准入审批事项进行梳理，形成《准入服务审批操作手册》。在企业开办后及时推送准入准营相关政策信息等增值服务。</w:t>
      </w:r>
    </w:p>
    <w:p>
      <w:pPr>
        <w:pStyle w:val="5"/>
        <w:bidi w:val="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en-US" w:eastAsia="zh-CN"/>
        </w:rPr>
        <w:t>.维护市场公平竞争秩序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（6）加强公平竞争制度保障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-SA"/>
        </w:rPr>
        <w:t>加强对审查标准和审查程序的学习。建立“单位自查+财政核查”的检查机制，压紧压实采购人主体责任</w:t>
      </w:r>
      <w:r>
        <w:rPr>
          <w:rFonts w:hint="eastAsia" w:ascii="仿宋_GB2312" w:hAnsi="仿宋_GB2312" w:cs="仿宋_GB2312"/>
          <w:color w:val="auto"/>
          <w:kern w:val="2"/>
          <w:sz w:val="32"/>
          <w:szCs w:val="24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-SA"/>
        </w:rPr>
        <w:t>定期开展公平竞争审查抽查工作，及时通报违反公平竞争审查制度、妨碍统一市场和公平竞争的典型案例。持续推进民生领域反垄断执法专项行动。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（7）推动招标投标和政府采购更加规范高效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"/>
        </w:rPr>
        <w:t>建立采购信息公开、合同签订、资金支付等政府采购关键环节智能预警机制，</w:t>
      </w:r>
      <w:r>
        <w:rPr>
          <w:rFonts w:hint="eastAsia" w:ascii="仿宋_GB2312" w:hAnsi="仿宋_GB2312" w:cs="仿宋_GB2312"/>
          <w:color w:val="auto"/>
          <w:kern w:val="2"/>
          <w:sz w:val="32"/>
          <w:szCs w:val="24"/>
          <w:lang w:val="en-US" w:eastAsia="zh-CN" w:bidi="ar"/>
        </w:rPr>
        <w:t>开展政府采购合同履约智能化管理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"/>
        </w:rPr>
        <w:t>。积极推进政府采购项目全流程电子化实施，提高政府采购项目采购全流程电子化覆盖比率。落实北京市房屋建筑和市政基础设施工程“评定分离”试点工作，鼓励更多项目试点“评定分离”定标方式，由招标人自主确定中标人。</w:t>
      </w:r>
    </w:p>
    <w:p>
      <w:pPr>
        <w:pStyle w:val="5"/>
        <w:bidi w:val="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  <w:lang w:val="en-US" w:eastAsia="zh-CN"/>
        </w:rPr>
        <w:t>.健全社会信用体系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（8）推进诚信建设</w:t>
      </w:r>
      <w:r>
        <w:rPr>
          <w:rFonts w:hint="default" w:ascii="Times New Roman" w:hAnsi="Times New Roman" w:cs="Times New Roman"/>
          <w:color w:val="auto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"/>
        </w:rPr>
        <w:t>将合法性审查作为政府以招商引资备忘录、框架协议形式作出承诺的前置程序。加大政务失信监测力度，强化政务失信案件信息共享及挂牌督办机制。</w:t>
      </w:r>
    </w:p>
    <w:p>
      <w:pPr>
        <w:pStyle w:val="5"/>
        <w:bidi w:val="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  <w:lang w:val="en-US" w:eastAsia="zh-CN"/>
        </w:rPr>
        <w:t>.强化要素保障有力的创新环境</w:t>
      </w:r>
    </w:p>
    <w:p>
      <w:pPr>
        <w:pStyle w:val="2"/>
        <w:jc w:val="both"/>
        <w:rPr>
          <w:rFonts w:hint="eastAsia" w:ascii="仿宋_GB2312" w:hAnsi="仿宋_GB2312" w:cs="仿宋_GB2312"/>
          <w:color w:val="auto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（9）加强空间要素供给</w:t>
      </w:r>
      <w:r>
        <w:rPr>
          <w:rFonts w:hint="default" w:ascii="Times New Roman" w:hAnsi="Times New Roman" w:cs="Times New Roman"/>
          <w:color w:val="auto"/>
          <w:lang w:val="en-US" w:eastAsia="zh-CN"/>
        </w:rPr>
        <w:t>。</w:t>
      </w:r>
      <w:r>
        <w:rPr>
          <w:rFonts w:hint="eastAsia" w:ascii="仿宋_GB2312" w:hAnsi="仿宋_GB2312" w:cs="仿宋_GB2312"/>
          <w:color w:val="auto"/>
          <w:lang w:val="en-US" w:eastAsia="zh-CN"/>
        </w:rPr>
        <w:t>制定建设用地功能混合使用、用途合理转换等实施细则，优化项目审批流程，提高土地使用效率。推广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“</w:t>
      </w:r>
      <w:r>
        <w:rPr>
          <w:rFonts w:hint="eastAsia" w:ascii="仿宋_GB2312" w:hAnsi="仿宋_GB2312" w:cs="仿宋_GB2312"/>
          <w:color w:val="auto"/>
          <w:lang w:val="en-US" w:eastAsia="zh-CN"/>
        </w:rPr>
        <w:t>拿地即开工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”“</w:t>
      </w:r>
      <w:r>
        <w:rPr>
          <w:rFonts w:hint="eastAsia" w:ascii="仿宋_GB2312" w:hAnsi="仿宋_GB2312" w:cs="仿宋_GB2312"/>
          <w:color w:val="auto"/>
          <w:lang w:val="en-US" w:eastAsia="zh-CN"/>
        </w:rPr>
        <w:t>抵押即交证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”</w:t>
      </w:r>
      <w:r>
        <w:rPr>
          <w:rFonts w:hint="eastAsia" w:ascii="仿宋_GB2312" w:hAnsi="仿宋_GB2312" w:cs="仿宋_GB2312"/>
          <w:color w:val="auto"/>
          <w:lang w:val="en-US" w:eastAsia="zh-CN"/>
        </w:rPr>
        <w:t>等创新做法。紧抓城市更新契机，建设、盘活、整理出近400万平米优质产业空间。</w:t>
      </w:r>
    </w:p>
    <w:p>
      <w:pPr>
        <w:jc w:val="both"/>
        <w:rPr>
          <w:rFonts w:hint="eastAsia" w:ascii="仿宋_GB2312" w:hAnsi="仿宋_GB2312" w:cs="仿宋_GB2312"/>
          <w:color w:val="auto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（10）深化金融精准滴灌。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加大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北京畅融工程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对接力度，</w:t>
      </w:r>
      <w:r>
        <w:rPr>
          <w:rFonts w:hint="eastAsia" w:ascii="仿宋_GB2312" w:hAnsi="仿宋_GB2312" w:cs="仿宋_GB2312"/>
          <w:color w:val="auto"/>
          <w:lang w:val="en-US" w:eastAsia="zh-CN"/>
        </w:rPr>
        <w:t>推动金融机构与企业供需两端精准对接。提高普惠金融服务覆盖面，加大对小微企业的创业担保贷款支持，针对符合政策要求的小微企业，进一步优化创业担保贷款申请流程。</w:t>
      </w:r>
    </w:p>
    <w:p>
      <w:pPr>
        <w:pStyle w:val="2"/>
        <w:jc w:val="both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（11）强化创新人才支撑</w:t>
      </w:r>
      <w:r>
        <w:rPr>
          <w:rFonts w:hint="default" w:ascii="Times New Roman" w:hAnsi="Times New Roman" w:cs="Times New Roman"/>
          <w:color w:val="auto"/>
          <w:lang w:val="en-US" w:eastAsia="zh-CN"/>
        </w:rPr>
        <w:t>。</w:t>
      </w:r>
      <w:r>
        <w:rPr>
          <w:rFonts w:hint="eastAsia" w:ascii="仿宋_GB2312" w:hAnsi="仿宋_GB2312" w:cs="仿宋_GB2312"/>
          <w:color w:val="auto"/>
          <w:lang w:val="en-US" w:eastAsia="zh-CN"/>
        </w:rPr>
        <w:t>加大海外高层次人才和青年创业人才引进力度，提升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“</w:t>
      </w:r>
      <w:r>
        <w:rPr>
          <w:rFonts w:hint="eastAsia" w:ascii="仿宋_GB2312" w:hAnsi="仿宋_GB2312" w:cs="仿宋_GB2312"/>
          <w:color w:val="auto"/>
          <w:lang w:val="en-US" w:eastAsia="zh-CN"/>
        </w:rPr>
        <w:t>三综一专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”</w:t>
      </w:r>
      <w:r>
        <w:rPr>
          <w:rFonts w:hint="eastAsia" w:ascii="仿宋_GB2312" w:hAnsi="仿宋_GB2312" w:cs="仿宋_GB2312"/>
          <w:color w:val="auto"/>
          <w:lang w:val="en-US" w:eastAsia="zh-CN"/>
        </w:rPr>
        <w:t>服务效能，推行办理“网上办”“及时办”“容缺办”和“加急快审”服务，实现外籍人士社保业务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“</w:t>
      </w:r>
      <w:r>
        <w:rPr>
          <w:rFonts w:hint="eastAsia" w:ascii="仿宋_GB2312" w:hAnsi="仿宋_GB2312" w:cs="仿宋_GB2312"/>
          <w:color w:val="auto"/>
          <w:lang w:val="en-US" w:eastAsia="zh-CN"/>
        </w:rPr>
        <w:t>全程帮办、全程快办、全程督办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”</w:t>
      </w:r>
      <w:r>
        <w:rPr>
          <w:rFonts w:hint="eastAsia" w:ascii="仿宋_GB2312" w:hAnsi="仿宋_GB2312" w:cs="仿宋_GB2312"/>
          <w:color w:val="auto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</w:rPr>
        <w:t>建设紫金公寓服务系统，为中央单位、驻区企业精准配租，结合实际加大各类人才公寓、公租房、集租房等供给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</w:rPr>
        <w:t>推动职住平衡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  <w:t>实施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val="en-US" w:eastAsia="zh-CN"/>
        </w:rPr>
        <w:t>人才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  <w:t>“落地即支持”政策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  <w:t>，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val="en-US" w:eastAsia="zh-CN"/>
        </w:rPr>
        <w:t>为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  <w:t>外籍顶尖人才、高端人才、优秀留学生等定制出入境服务包。</w:t>
      </w:r>
    </w:p>
    <w:p>
      <w:pPr>
        <w:pStyle w:val="2"/>
        <w:jc w:val="both"/>
        <w:rPr>
          <w:rFonts w:hint="eastAsia" w:ascii="仿宋_GB2312" w:hAnsi="仿宋_GB2312" w:cs="仿宋_GB2312"/>
          <w:color w:val="auto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（12）提升科技成果转化服务</w:t>
      </w:r>
      <w:r>
        <w:rPr>
          <w:rFonts w:hint="default" w:ascii="Times New Roman" w:hAnsi="Times New Roman" w:cs="Times New Roman"/>
          <w:color w:val="auto"/>
          <w:lang w:val="en-US" w:eastAsia="zh-CN"/>
        </w:rPr>
        <w:t>。</w:t>
      </w:r>
      <w:r>
        <w:rPr>
          <w:rFonts w:hint="eastAsia" w:ascii="仿宋_GB2312" w:hAnsi="仿宋_GB2312" w:cs="仿宋_GB2312"/>
          <w:color w:val="auto"/>
          <w:lang w:val="en-US" w:eastAsia="zh-CN"/>
        </w:rPr>
        <w:t>实施硅巷高质量建设行动计划，促进产学研深度融合，推动前沿科技成果转化。提供覆盖知识产权全链条的特色化、差异化服务，提升知识产权公共服务效能。</w:t>
      </w:r>
      <w:r>
        <w:rPr>
          <w:rFonts w:hint="eastAsia" w:ascii="仿宋_GB2312" w:hAnsi="仿宋_GB2312" w:cs="仿宋_GB2312"/>
          <w:color w:val="auto"/>
          <w:kern w:val="2"/>
          <w:sz w:val="32"/>
          <w:szCs w:val="24"/>
          <w:lang w:val="en-US" w:eastAsia="zh-CN" w:bidi="ar-SA"/>
        </w:rPr>
        <w:t>加大对知名商业标识的保护力度，</w:t>
      </w:r>
      <w:r>
        <w:rPr>
          <w:rFonts w:hint="eastAsia" w:ascii="仿宋_GB2312" w:hAnsi="仿宋_GB2312" w:cs="仿宋_GB2312"/>
          <w:color w:val="auto"/>
          <w:lang w:val="en-US" w:eastAsia="zh-CN"/>
        </w:rPr>
        <w:t>加强海外知识产权纠纷应对指导。</w:t>
      </w:r>
    </w:p>
    <w:p>
      <w:pPr>
        <w:pStyle w:val="5"/>
        <w:bidi w:val="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  <w:lang w:val="en-US" w:eastAsia="zh-CN"/>
        </w:rPr>
        <w:t>.提升产业营商环境</w:t>
      </w:r>
    </w:p>
    <w:p>
      <w:pPr>
        <w:jc w:val="both"/>
        <w:rPr>
          <w:rFonts w:hint="eastAsia" w:ascii="仿宋_GB2312" w:hAnsi="仿宋_GB2312" w:cs="仿宋_GB2312"/>
          <w:color w:val="auto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（13）加大重点产业扶持力度</w:t>
      </w:r>
      <w:r>
        <w:rPr>
          <w:rFonts w:hint="default" w:ascii="Times New Roman" w:hAnsi="Times New Roman" w:cs="Times New Roman"/>
          <w:color w:val="auto"/>
          <w:lang w:val="en-US" w:eastAsia="zh-CN"/>
        </w:rPr>
        <w:t>。</w:t>
      </w:r>
      <w:r>
        <w:rPr>
          <w:rFonts w:hint="eastAsia" w:ascii="仿宋_GB2312" w:hAnsi="仿宋_GB2312" w:cs="仿宋_GB2312"/>
          <w:color w:val="auto"/>
          <w:lang w:val="en-US" w:eastAsia="zh-CN"/>
        </w:rPr>
        <w:t>开放一批典型应用场景，梳理覆盖政务服务、教育医疗、城市管理等重点领域的应用场景开放创新清单，为新技术、新产品、新模式提供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“</w:t>
      </w:r>
      <w:r>
        <w:rPr>
          <w:rFonts w:hint="eastAsia" w:ascii="仿宋_GB2312" w:hAnsi="仿宋_GB2312" w:cs="仿宋_GB2312"/>
          <w:color w:val="auto"/>
          <w:lang w:val="en-US" w:eastAsia="zh-CN"/>
        </w:rPr>
        <w:t>试验田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”</w:t>
      </w:r>
      <w:r>
        <w:rPr>
          <w:rFonts w:hint="eastAsia" w:ascii="仿宋_GB2312" w:hAnsi="仿宋_GB2312" w:cs="仿宋_GB2312"/>
          <w:color w:val="auto"/>
          <w:lang w:val="en-US" w:eastAsia="zh-CN"/>
        </w:rPr>
        <w:t>。完善产业政策织补，围绕重点产业，定制专业服务、要素保障、监管服务等产业营商环境专项政策。加大对本区科技创新企业的资本支持力度，打造一批未来产业育新基地。推动“三医”协同治理，进一步整合区内广告业资源。</w:t>
      </w:r>
    </w:p>
    <w:p>
      <w:pPr>
        <w:pStyle w:val="2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（14）促进产业项目落地</w:t>
      </w:r>
      <w:r>
        <w:rPr>
          <w:rFonts w:hint="default" w:ascii="Times New Roman" w:hAnsi="Times New Roman" w:cs="Times New Roman"/>
          <w:lang w:val="en-US" w:eastAsia="zh-CN"/>
        </w:rPr>
        <w:t>。</w:t>
      </w:r>
      <w:r>
        <w:rPr>
          <w:rFonts w:hint="eastAsia" w:ascii="仿宋_GB2312" w:hAnsi="仿宋_GB2312" w:cs="仿宋_GB2312"/>
          <w:color w:val="auto"/>
          <w:lang w:val="en-US" w:eastAsia="zh-CN"/>
        </w:rPr>
        <w:t>加强营商和产业投资促进协同联动，一链一策开展产业链延伸和协同配套。成立文化投资联盟，设立文化企业上市培育服务基地，支持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“</w:t>
      </w:r>
      <w:r>
        <w:rPr>
          <w:rFonts w:hint="eastAsia" w:ascii="仿宋_GB2312" w:hAnsi="仿宋_GB2312" w:cs="仿宋_GB2312"/>
          <w:color w:val="auto"/>
          <w:lang w:val="en-US" w:eastAsia="zh-CN"/>
        </w:rPr>
        <w:t>北京文创板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”</w:t>
      </w:r>
      <w:r>
        <w:rPr>
          <w:rFonts w:hint="eastAsia" w:ascii="仿宋_GB2312" w:hAnsi="仿宋_GB2312" w:cs="仿宋_GB2312"/>
          <w:color w:val="auto"/>
          <w:lang w:val="en-US" w:eastAsia="zh-CN"/>
        </w:rPr>
        <w:t>建设。</w:t>
      </w:r>
      <w:r>
        <w:rPr>
          <w:rFonts w:hint="eastAsia" w:ascii="仿宋_GB2312" w:hAnsi="仿宋_GB2312" w:cs="仿宋_GB2312"/>
          <w:color w:val="auto"/>
        </w:rPr>
        <w:t>推动设立文化金融专营机构，支持机构开展文化金融试点项目</w:t>
      </w:r>
      <w:r>
        <w:rPr>
          <w:rFonts w:hint="eastAsia" w:ascii="仿宋_GB2312" w:hAnsi="仿宋_GB2312" w:cs="仿宋_GB2312"/>
          <w:color w:val="auto"/>
          <w:lang w:eastAsia="zh-CN"/>
        </w:rPr>
        <w:t>，吸引一批优质央、国企基金落地东城</w:t>
      </w:r>
      <w:r>
        <w:rPr>
          <w:rFonts w:hint="eastAsia" w:ascii="仿宋_GB2312" w:hAnsi="仿宋_GB2312" w:cs="仿宋_GB2312"/>
          <w:color w:val="auto"/>
        </w:rPr>
        <w:t>。以辖内信托公司为重点试点单位，推动不动产信托财产登记案例在京落地。</w:t>
      </w:r>
    </w:p>
    <w:p>
      <w:pPr>
        <w:pStyle w:val="5"/>
        <w:bidi w:val="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  <w:lang w:val="en-US" w:eastAsia="zh-CN"/>
        </w:rPr>
        <w:t>.优化消费营商环境</w:t>
      </w:r>
    </w:p>
    <w:p>
      <w:pPr>
        <w:pStyle w:val="2"/>
        <w:jc w:val="both"/>
        <w:rPr>
          <w:rFonts w:hint="eastAsia" w:ascii="仿宋_GB2312" w:hAnsi="仿宋_GB2312" w:cs="仿宋_GB2312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（15）拓展场景激发消费活力。</w:t>
      </w:r>
      <w:r>
        <w:rPr>
          <w:rFonts w:hint="eastAsia" w:ascii="仿宋_GB2312" w:hAnsi="仿宋_GB2312" w:cs="仿宋_GB2312"/>
          <w:color w:val="auto"/>
          <w:lang w:val="en-US" w:eastAsia="zh-CN"/>
        </w:rPr>
        <w:t>积极发展首发经济，全年引进首店、旗舰店、创新概念店不少于100家。支持王府井工美大厦设立艺术非遗潮品集合店，推动自主品牌转化。打造更多消费新场景新热点，更好满足群众就近消费、多样化消费需求。</w:t>
      </w:r>
      <w:r>
        <w:rPr>
          <w:rFonts w:hint="eastAsia" w:ascii="仿宋_GB2312" w:hAnsi="仿宋_GB2312" w:cs="仿宋_GB2312"/>
          <w:color w:val="auto"/>
          <w:kern w:val="2"/>
          <w:sz w:val="32"/>
          <w:szCs w:val="24"/>
          <w:lang w:val="en-US" w:eastAsia="zh-CN" w:bidi="ar-SA"/>
        </w:rPr>
        <w:t>开展生活服务业预付式消费接诉即办“每月一题”专项治理。</w:t>
      </w:r>
    </w:p>
    <w:p>
      <w:pPr>
        <w:pStyle w:val="2"/>
        <w:jc w:val="both"/>
        <w:rPr>
          <w:rFonts w:hint="default" w:ascii="Times New Roman" w:hAnsi="Times New Roman" w:cs="Times New Roman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（16）提高消费支付便利度</w:t>
      </w:r>
      <w:r>
        <w:rPr>
          <w:rFonts w:hint="default" w:ascii="Times New Roman" w:hAnsi="Times New Roman" w:cs="Times New Roman"/>
          <w:color w:val="auto"/>
          <w:kern w:val="0"/>
          <w:sz w:val="31"/>
          <w:szCs w:val="31"/>
          <w:lang w:val="en-US" w:eastAsia="zh-CN" w:bidi="ar"/>
        </w:rPr>
        <w:t>。</w:t>
      </w:r>
      <w:r>
        <w:rPr>
          <w:rFonts w:hint="eastAsia" w:ascii="仿宋_GB2312" w:hAnsi="仿宋_GB2312" w:cs="仿宋_GB2312"/>
          <w:color w:val="auto"/>
          <w:kern w:val="2"/>
          <w:sz w:val="32"/>
          <w:szCs w:val="24"/>
          <w:lang w:val="en-US" w:eastAsia="zh-CN" w:bidi="ar-SA"/>
        </w:rPr>
        <w:t>全面优化我区重点区域、重点场景、重点商户移动支付、银行卡、现金等支付受理环境，积极推进不同场景无障碍支付服务，做好无障碍支付服务示范区建设。</w:t>
      </w:r>
    </w:p>
    <w:p>
      <w:pPr>
        <w:pStyle w:val="4"/>
        <w:numPr>
          <w:ilvl w:val="0"/>
          <w:numId w:val="0"/>
        </w:numPr>
        <w:bidi w:val="0"/>
        <w:ind w:firstLine="640" w:firstLineChars="200"/>
        <w:jc w:val="both"/>
        <w:rPr>
          <w:rFonts w:hint="default" w:ascii="Times New Roman" w:hAnsi="Times New Roman" w:cs="Times New Roman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/>
          <w:kern w:val="2"/>
          <w:sz w:val="32"/>
          <w:szCs w:val="24"/>
          <w:lang w:val="en-US" w:eastAsia="zh-CN" w:bidi="ar-SA"/>
        </w:rPr>
        <w:t>（</w:t>
      </w:r>
      <w:r>
        <w:rPr>
          <w:rFonts w:hint="eastAsia" w:ascii="Times New Roman" w:hAnsi="Times New Roman" w:cs="Times New Roman"/>
          <w:b w:val="0"/>
          <w:bCs/>
          <w:kern w:val="2"/>
          <w:sz w:val="32"/>
          <w:szCs w:val="24"/>
          <w:lang w:val="en-US" w:eastAsia="zh-CN" w:bidi="ar-SA"/>
        </w:rPr>
        <w:t>三</w:t>
      </w:r>
      <w:r>
        <w:rPr>
          <w:rFonts w:hint="default" w:ascii="Times New Roman" w:hAnsi="Times New Roman" w:cs="Times New Roman"/>
          <w:b w:val="0"/>
          <w:bCs/>
          <w:kern w:val="2"/>
          <w:sz w:val="32"/>
          <w:szCs w:val="24"/>
          <w:lang w:val="en-US" w:eastAsia="zh-CN" w:bidi="ar-SA"/>
        </w:rPr>
        <w:t>）切实夯实公平透明可预期的法治环境</w:t>
      </w:r>
    </w:p>
    <w:p>
      <w:pPr>
        <w:pStyle w:val="5"/>
        <w:bidi w:val="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  <w:lang w:val="en-US" w:eastAsia="zh-CN"/>
        </w:rPr>
        <w:t>.持续推进一体化综合监管</w:t>
      </w:r>
    </w:p>
    <w:p>
      <w:pPr>
        <w:pStyle w:val="2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（17）加快推广非现场监管。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-SA"/>
        </w:rPr>
        <w:t>拓展非现场监管实施范围，强化智慧监管、信息共享、书面核查等</w:t>
      </w:r>
      <w:r>
        <w:rPr>
          <w:rFonts w:hint="eastAsia" w:ascii="仿宋_GB2312" w:hAnsi="仿宋_GB2312" w:cs="仿宋_GB2312"/>
          <w:color w:val="auto"/>
          <w:kern w:val="2"/>
          <w:sz w:val="32"/>
          <w:szCs w:val="24"/>
          <w:lang w:val="en-US" w:eastAsia="zh-CN" w:bidi="ar-SA"/>
        </w:rPr>
        <w:t>方式在监管业务中的应用，最大限度减少入企检查频次。</w:t>
      </w:r>
    </w:p>
    <w:p>
      <w:pPr>
        <w:pStyle w:val="2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（18）严格规范现场检查。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-SA"/>
        </w:rPr>
        <w:t>加大对检查计划任务的统一规范管理，推动形成查前扫码、检查亮码、监督用码全链条工作机制。强化部门联合检查，推动跨部门、跨领域、跨层级联合检查</w:t>
      </w:r>
      <w:r>
        <w:rPr>
          <w:rFonts w:hint="eastAsia" w:ascii="仿宋_GB2312" w:hAnsi="仿宋_GB2312" w:cs="仿宋_GB2312"/>
          <w:color w:val="auto"/>
          <w:kern w:val="2"/>
          <w:sz w:val="32"/>
          <w:szCs w:val="24"/>
          <w:lang w:val="en-US" w:eastAsia="zh-CN" w:bidi="ar-SA"/>
        </w:rPr>
        <w:t>、“同标同查”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-SA"/>
        </w:rPr>
        <w:t>，推行“综合查一次”</w:t>
      </w:r>
      <w:r>
        <w:rPr>
          <w:rFonts w:hint="eastAsia" w:ascii="仿宋_GB2312" w:hAnsi="仿宋_GB2312" w:cs="仿宋_GB2312"/>
          <w:color w:val="auto"/>
          <w:kern w:val="2"/>
          <w:sz w:val="32"/>
          <w:szCs w:val="24"/>
          <w:lang w:val="en-US" w:eastAsia="zh-CN" w:bidi="ar-SA"/>
        </w:rPr>
        <w:t>。</w:t>
      </w:r>
    </w:p>
    <w:p>
      <w:pPr>
        <w:pStyle w:val="5"/>
        <w:bidi w:val="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  <w:lang w:val="en-US" w:eastAsia="zh-CN"/>
        </w:rPr>
        <w:t>.提升行政执法质量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cs="仿宋_GB2312"/>
          <w:color w:val="auto"/>
          <w:kern w:val="2"/>
          <w:sz w:val="32"/>
          <w:szCs w:val="24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（19）坚决规范行政执法。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"/>
        </w:rPr>
        <w:t>开展规范涉企执法专项行动，推动行政执法监督与12345热线信息共享，解决企业和人民群众反映强烈的突出问题。</w:t>
      </w:r>
      <w:r>
        <w:rPr>
          <w:rFonts w:hint="eastAsia" w:ascii="仿宋_GB2312" w:hAnsi="仿宋_GB2312" w:cs="仿宋_GB2312"/>
          <w:color w:val="auto"/>
          <w:kern w:val="2"/>
          <w:sz w:val="32"/>
          <w:szCs w:val="24"/>
          <w:lang w:val="en-US" w:eastAsia="zh-CN" w:bidi="ar"/>
        </w:rPr>
        <w:t>提升企业自行和解消费纠纷数量和效率。开展行政执法规范化监督检查，提升涉企执法办案质量和执法信息公示规范性。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（20）强化柔性执法。</w:t>
      </w:r>
      <w:r>
        <w:rPr>
          <w:rFonts w:hint="eastAsia" w:ascii="仿宋_GB2312" w:hAnsi="仿宋_GB2312" w:cs="仿宋_GB2312"/>
          <w:color w:val="auto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“</w:t>
      </w:r>
      <w:r>
        <w:rPr>
          <w:rFonts w:hint="eastAsia" w:ascii="仿宋_GB2312" w:hAnsi="仿宋_GB2312" w:cs="仿宋_GB2312"/>
          <w:color w:val="auto"/>
          <w:lang w:val="en-US" w:eastAsia="zh-CN"/>
        </w:rPr>
        <w:t>风险+信用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”</w:t>
      </w:r>
      <w:r>
        <w:rPr>
          <w:rFonts w:hint="eastAsia" w:ascii="仿宋_GB2312" w:hAnsi="仿宋_GB2312" w:cs="仿宋_GB2312"/>
          <w:color w:val="auto"/>
          <w:lang w:val="en-US" w:eastAsia="zh-CN"/>
        </w:rPr>
        <w:t>分级分类为基础，健全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“</w:t>
      </w:r>
      <w:r>
        <w:rPr>
          <w:rFonts w:hint="eastAsia" w:ascii="仿宋_GB2312" w:hAnsi="仿宋_GB2312" w:cs="仿宋_GB2312"/>
          <w:color w:val="auto"/>
          <w:lang w:val="en-US" w:eastAsia="zh-CN"/>
        </w:rPr>
        <w:t>无事不扰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”</w:t>
      </w:r>
      <w:r>
        <w:rPr>
          <w:rFonts w:hint="eastAsia" w:ascii="仿宋_GB2312" w:hAnsi="仿宋_GB2312" w:cs="仿宋_GB2312"/>
          <w:color w:val="auto"/>
          <w:lang w:val="en-US" w:eastAsia="zh-CN"/>
        </w:rPr>
        <w:t>企业清单动态调整机制，持续扩大企业清单范围。依法拓展轻微不罚、首违不罚事项范围，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推动各领域依法制定从轻、减轻行政处罚事项清单，避免小过重罚。</w:t>
      </w:r>
    </w:p>
    <w:p>
      <w:pPr>
        <w:pStyle w:val="5"/>
        <w:bidi w:val="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  <w:lang w:val="en-US" w:eastAsia="zh-CN"/>
        </w:rPr>
        <w:t>.强化司法保障能力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cs="仿宋_GB2312"/>
          <w:color w:val="auto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（21）提升多元解纷质效。</w:t>
      </w:r>
      <w:r>
        <w:rPr>
          <w:rFonts w:hint="eastAsia" w:ascii="仿宋_GB2312" w:hAnsi="仿宋_GB2312" w:cs="仿宋_GB2312"/>
          <w:color w:val="auto"/>
          <w:kern w:val="2"/>
          <w:sz w:val="32"/>
          <w:szCs w:val="24"/>
          <w:lang w:val="en-US" w:eastAsia="zh-CN" w:bidi="ar"/>
        </w:rPr>
        <w:t>加大恶意职业索赔治理，加强政企协同互动，指导经营者加强内部管理。强化行刑衔接和府院联动，严厉打击敲诈勒索等违法犯罪行为。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"/>
        </w:rPr>
        <w:t>支持法院建立企业涉诉信息澄清机制，避免金融机构因信息不对称影响中小企业正常贷款。进一步落实案件阅核制，运用好库网资源，加强案件评查工作</w:t>
      </w:r>
      <w:r>
        <w:rPr>
          <w:rFonts w:hint="eastAsia" w:ascii="仿宋_GB2312" w:hAnsi="仿宋_GB2312" w:cs="仿宋_GB2312"/>
          <w:color w:val="auto"/>
          <w:kern w:val="2"/>
          <w:sz w:val="32"/>
          <w:szCs w:val="24"/>
          <w:lang w:val="en-US" w:eastAsia="zh-CN" w:bidi="ar"/>
        </w:rPr>
        <w:t>。做好释法说理工作，提高服判息诉率。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（22）完善企业退出制度。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"/>
        </w:rPr>
        <w:t>建立市区协同的危困企业挽救服务机制，帮助企业更好更快依法进入破产重整程序。落实公司强制退出制度，形成全市首批公司强制注销案例。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（23）增强公共法律服务能力。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推动建设文化产业仲裁中心，提升园区配套法律服务能力。</w:t>
      </w:r>
      <w:r>
        <w:rPr>
          <w:rFonts w:hint="eastAsia" w:ascii="仿宋_GB2312" w:hAnsi="仿宋_GB2312" w:cs="仿宋_GB2312"/>
          <w:color w:val="auto"/>
          <w:lang w:val="en-US" w:eastAsia="zh-CN"/>
        </w:rPr>
        <w:t>完善劳动人事争议调处机制，推进仲裁、行政、工会、司法等职能资源整合、业务联合，实现一站受理、多元调处、调裁审衔接、立审执全链条贯通。</w:t>
      </w:r>
    </w:p>
    <w:p>
      <w:pPr>
        <w:pStyle w:val="4"/>
        <w:numPr>
          <w:ilvl w:val="0"/>
          <w:numId w:val="0"/>
        </w:numPr>
        <w:bidi w:val="0"/>
        <w:ind w:firstLine="640" w:firstLineChars="200"/>
        <w:jc w:val="both"/>
        <w:rPr>
          <w:rFonts w:hint="default" w:ascii="Times New Roman" w:hAnsi="Times New Roman" w:cs="Times New Roman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/>
          <w:kern w:val="2"/>
          <w:sz w:val="32"/>
          <w:szCs w:val="24"/>
          <w:lang w:val="en-US" w:eastAsia="zh-CN" w:bidi="ar-SA"/>
        </w:rPr>
        <w:t>（</w:t>
      </w:r>
      <w:r>
        <w:rPr>
          <w:rFonts w:hint="eastAsia" w:ascii="Times New Roman" w:hAnsi="Times New Roman" w:cs="Times New Roman"/>
          <w:b w:val="0"/>
          <w:bCs/>
          <w:kern w:val="2"/>
          <w:sz w:val="32"/>
          <w:szCs w:val="24"/>
          <w:lang w:val="en-US" w:eastAsia="zh-CN" w:bidi="ar-SA"/>
        </w:rPr>
        <w:t>四</w:t>
      </w:r>
      <w:r>
        <w:rPr>
          <w:rFonts w:hint="default" w:ascii="Times New Roman" w:hAnsi="Times New Roman" w:cs="Times New Roman"/>
          <w:b w:val="0"/>
          <w:bCs/>
          <w:kern w:val="2"/>
          <w:sz w:val="32"/>
          <w:szCs w:val="24"/>
          <w:lang w:val="en-US" w:eastAsia="zh-CN" w:bidi="ar-SA"/>
        </w:rPr>
        <w:t>）着力打造又好又快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24"/>
          <w:lang w:val="en-US" w:eastAsia="zh-CN" w:bidi="ar-SA"/>
        </w:rPr>
        <w:t>“</w:t>
      </w:r>
      <w:r>
        <w:rPr>
          <w:rFonts w:hint="default" w:ascii="Times New Roman" w:hAnsi="Times New Roman" w:cs="Times New Roman"/>
          <w:b w:val="0"/>
          <w:bCs/>
          <w:kern w:val="2"/>
          <w:sz w:val="32"/>
          <w:szCs w:val="24"/>
          <w:lang w:val="en-US" w:eastAsia="zh-CN" w:bidi="ar-SA"/>
        </w:rPr>
        <w:t>办成事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24"/>
          <w:lang w:val="en-US" w:eastAsia="zh-CN" w:bidi="ar-SA"/>
        </w:rPr>
        <w:t>”</w:t>
      </w:r>
      <w:r>
        <w:rPr>
          <w:rFonts w:hint="default" w:ascii="Times New Roman" w:hAnsi="Times New Roman" w:cs="Times New Roman"/>
          <w:b w:val="0"/>
          <w:bCs/>
          <w:kern w:val="2"/>
          <w:sz w:val="32"/>
          <w:szCs w:val="24"/>
          <w:lang w:val="en-US" w:eastAsia="zh-CN" w:bidi="ar-SA"/>
        </w:rPr>
        <w:t>的政务环境</w:t>
      </w:r>
    </w:p>
    <w:p>
      <w:pPr>
        <w:pStyle w:val="5"/>
        <w:bidi w:val="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  <w:lang w:val="en-US" w:eastAsia="zh-CN"/>
        </w:rPr>
        <w:t>.增强政策服务实效</w:t>
      </w:r>
    </w:p>
    <w:p>
      <w:pPr>
        <w:pStyle w:val="2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（24）提高政策精准有效性。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val="en-US" w:eastAsia="zh-CN"/>
        </w:rPr>
        <w:t>开展营商环境改革政策效果评估。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</w:rPr>
        <w:t>制定普惠性政策时应听取企业意见，持续推进税费减免等惠企政策全量汇聚至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</w:rPr>
        <w:t>京策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</w:rPr>
        <w:t>平台，利用大数据画像向企业精准推送适配政策，推动更多政策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</w:rPr>
        <w:t>直达快享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  <w:t>”“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</w:rPr>
        <w:t>免申即享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</w:rPr>
        <w:t>。开展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</w:rPr>
        <w:t>局处长讲政策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</w:rPr>
        <w:t>等系列惠企政策宣传解读。</w:t>
      </w:r>
    </w:p>
    <w:p>
      <w:pPr>
        <w:pStyle w:val="5"/>
        <w:bidi w:val="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>.提高政务服务水平</w:t>
      </w:r>
    </w:p>
    <w:p>
      <w:pPr>
        <w:pStyle w:val="2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（25）推动网上办事更加智慧好办。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shd w:val="clear"/>
          <w:lang w:val="en-US" w:eastAsia="zh-CN" w:bidi="ar-SA"/>
        </w:rPr>
        <w:t>加大企业电子印章推广力度，持续扩大应用范围。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  <w:t>逐步实现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val="en-US" w:eastAsia="zh-CN"/>
        </w:rPr>
        <w:t>不动产登记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  <w:t>与长三角、成渝、珠三角等重点区域“跨省通办”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  <w:t>非涉税业务线下“全市通办”。持续完善大型赛事活动许可审批流程，优化安全许可“一网通办”、安全工作“一馆一策”等便利化举措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24"/>
          <w:shd w:val="clear"/>
          <w:lang w:val="en-US" w:eastAsia="zh-CN" w:bidi="ar-SA"/>
        </w:rPr>
        <w:t>持续推进房建类项目建设工程规划许可“全程网办”，实现足不出户拿证照。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val="en-US" w:eastAsia="zh-CN"/>
        </w:rPr>
        <w:t>引导符合从业条件的中介服务机构“零门槛、零限制”入驻网上中介服务平台，为申请人“找中介”、中介服务机构“找项目”提供便利。</w:t>
      </w:r>
    </w:p>
    <w:p>
      <w:pPr>
        <w:pStyle w:val="2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（26）大力推行优质高效集成服务。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shd w:val="clear"/>
          <w:lang w:val="en-US" w:eastAsia="zh-CN" w:bidi="ar-SA"/>
        </w:rPr>
        <w:t>加强一线工作人员培训指导，明确不得限制经营主体办事线上线下办理渠道。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val="en-US" w:eastAsia="zh-CN"/>
        </w:rPr>
        <w:t>持续推进“高效办成一件事”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val="en-US" w:eastAsia="zh-CN"/>
        </w:rPr>
        <w:t>，为企业提供政策咨询、融资对接等更加专业、高效、全面的服务。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val="en-US" w:eastAsia="zh-CN"/>
        </w:rPr>
        <w:t>在符合条件的园区因地制宜采取直接下放、委托行使、驻点服务等方式提供“一站式”服务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val="en-US" w:eastAsia="zh-CN"/>
        </w:rPr>
        <w:t>。依托海外远程视频公证、出国留学公证“一件事”集成办理等线上试点项目，强化公证便民利企服务供给。</w:t>
      </w:r>
    </w:p>
    <w:p>
      <w:pPr>
        <w:pStyle w:val="2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（27）推进高频事项便利化办理。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  <w:t>扩展不动产登记银行延伸服务范围及延伸服务内容，打造“不动产登记15分钟服务圈”。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val="en-US" w:eastAsia="zh-CN"/>
        </w:rPr>
        <w:t>积极构建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  <w:t>多层级递进式办税服务动线，完善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val="en-US" w:eastAsia="zh-CN"/>
        </w:rPr>
        <w:t>税务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  <w:t>应用征纳互动的跨区域通办服务机制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  <w:t>优化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val="en-US" w:eastAsia="zh-CN"/>
        </w:rPr>
        <w:t>涉税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  <w:t>诉求处理工作机制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  <w:t>，推广应用全面数字化电子发票，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  <w:t>持续提升办事便利度。建立“工伤劳动能力鉴定+工伤医疗费用审核”融合式办理模式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  <w:t>。规范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val="en-US" w:eastAsia="zh-CN"/>
        </w:rPr>
        <w:t>职业技能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  <w:t>认定评价实施过程，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val="en-US" w:eastAsia="zh-CN"/>
        </w:rPr>
        <w:t>持续增强职业技能培训力度，鼓励引导市场化人力资源服务机构共享信息。推动外国人来华工作许可和工作类居留证件“两证联办”、工作许可与社会保障卡融合集成工作落地。</w:t>
      </w:r>
    </w:p>
    <w:p>
      <w:pPr>
        <w:pStyle w:val="2"/>
        <w:ind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（28）增强园区、楼宇、街道服务能力</w:t>
      </w:r>
      <w:r>
        <w:rPr>
          <w:rFonts w:hint="default" w:ascii="Times New Roman" w:hAnsi="Times New Roman" w:cs="Times New Roman"/>
          <w:lang w:val="en-US" w:eastAsia="zh-CN"/>
        </w:rPr>
        <w:t>。</w:t>
      </w:r>
      <w:r>
        <w:rPr>
          <w:rFonts w:hint="eastAsia" w:ascii="仿宋_GB2312" w:hAnsi="仿宋_GB2312" w:cs="仿宋_GB2312"/>
          <w:color w:val="auto"/>
          <w:lang w:val="en-US" w:eastAsia="zh-CN"/>
        </w:rPr>
        <w:t>引导园区、楼宇提升专业服务能级，开展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“</w:t>
      </w:r>
      <w:r>
        <w:rPr>
          <w:rFonts w:hint="eastAsia" w:ascii="仿宋_GB2312" w:hAnsi="仿宋_GB2312" w:cs="仿宋_GB2312"/>
          <w:color w:val="auto"/>
          <w:lang w:val="en-US" w:eastAsia="zh-CN"/>
        </w:rPr>
        <w:t>营商环境示范园区、楼宇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”</w:t>
      </w:r>
      <w:r>
        <w:rPr>
          <w:rFonts w:hint="eastAsia" w:ascii="仿宋_GB2312" w:hAnsi="仿宋_GB2312" w:cs="仿宋_GB2312"/>
          <w:color w:val="auto"/>
          <w:lang w:val="en-US" w:eastAsia="zh-CN"/>
        </w:rPr>
        <w:t>建设。通过设立企业家会客厅、发挥商协会渠道作用等方式，为企业提供政策推送、融资对接、路演活动、项目合作、人才招聘、上市辅导、法律咨询、财务税收等服务。</w:t>
      </w:r>
    </w:p>
    <w:p>
      <w:pPr>
        <w:pStyle w:val="5"/>
        <w:bidi w:val="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en-US" w:eastAsia="zh-CN"/>
        </w:rPr>
        <w:t>.提升工程建设及市政服务水平</w:t>
      </w:r>
    </w:p>
    <w:p>
      <w:p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（29）优化工程建设项目审批。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24"/>
          <w:shd w:val="clear"/>
          <w:lang w:val="en-US" w:eastAsia="zh-CN" w:bidi="ar-SA"/>
        </w:rPr>
        <w:t>推行环境影响评价与排污许可“两证合一”。优化联合验收，推广实施“分期联合验收”“菜单式验收”，聚焦企业需求提供个性化审批服务。构建“受理即审核”工作机制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24"/>
          <w:shd w:val="clear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24"/>
          <w:shd w:val="clear"/>
          <w:lang w:val="en-US" w:eastAsia="zh-CN" w:bidi="ar-SA"/>
        </w:rPr>
        <w:t>将初审、复审环节前置至受理阶段实施并联审批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24"/>
          <w:shd w:val="clear"/>
          <w:lang w:val="en-US" w:eastAsia="zh-CN" w:bidi="ar-SA"/>
        </w:rPr>
        <w:t>。</w:t>
      </w:r>
    </w:p>
    <w:p>
      <w:pPr>
        <w:pStyle w:val="2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（30）提高市政公用服务效率。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  <w:t>研究推进市政接入工程并联审批改革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  <w:t>、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val="en-US" w:eastAsia="zh-CN"/>
        </w:rPr>
        <w:t>联合报装改革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  <w:t>，打造一批并联审批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  <w:t>、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val="en-US" w:eastAsia="zh-CN"/>
        </w:rPr>
        <w:t>联合报装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  <w:t>案例。推广“小区一证通”便捷服务，持续提高接电服务效率。加强基础电信企业商务楼宇网络通行权保障。</w:t>
      </w:r>
    </w:p>
    <w:p>
      <w:pPr>
        <w:pStyle w:val="5"/>
        <w:bidi w:val="0"/>
        <w:ind w:firstLine="643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  <w:lang w:val="en-US" w:eastAsia="zh-CN"/>
        </w:rPr>
        <w:t>.改进提升服务企业能力</w:t>
      </w:r>
    </w:p>
    <w:p>
      <w:p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（31）完善普惠服务机制。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val="en-US" w:eastAsia="zh-CN"/>
        </w:rPr>
        <w:t>出台《东城区涉企政务服务优化提升实施方案》，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  <w:t>建立线上“一键呼叫服务专区”，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val="en-US" w:eastAsia="zh-CN"/>
        </w:rPr>
        <w:t>为企业提供即时、专业服务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24"/>
          <w:shd w:val="clear"/>
          <w:lang w:val="en-US" w:eastAsia="zh-CN" w:bidi="ar-SA"/>
        </w:rPr>
        <w:t>深化集“政策服务、数字服务、热线服务”于一体的企业“三送”服务。完善中小企业公共服务体系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24"/>
          <w:shd w:val="clear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24"/>
          <w:shd w:val="clear"/>
          <w:lang w:val="en-US" w:eastAsia="zh-CN" w:bidi="ar-SA"/>
        </w:rPr>
        <w:t>更好发挥外资企业圆桌会议机制作用，加强企业诉求闭环解决。</w:t>
      </w:r>
    </w:p>
    <w:p>
      <w:pPr>
        <w:pStyle w:val="2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（32）提高精准服务能力。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val="en-US" w:eastAsia="zh-CN"/>
        </w:rPr>
        <w:t>深化“紫金服务”，拓展紫金服务管家队伍，创建并持续拓展人才服务专员队伍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val="en-US" w:eastAsia="zh-CN"/>
        </w:rPr>
        <w:t>，通过行业协会、商会、产业联盟等社会组织收集不同行业、领域企业高频问题。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  <w:t>完善企业“服务包”“服务管家”机制，加强跨区域、跨部门、跨层级等疑难问题协调调度，形成企业共性诉求解决方案。推出一批“小切口”改革举措，通过解决一类问题，受益一批企业、助力一个行业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  <w:t>加强企业诉求闭环解决。</w:t>
      </w:r>
    </w:p>
    <w:p>
      <w:pPr>
        <w:pStyle w:val="4"/>
        <w:numPr>
          <w:ilvl w:val="0"/>
          <w:numId w:val="0"/>
        </w:numPr>
        <w:bidi w:val="0"/>
        <w:ind w:firstLine="640" w:firstLineChars="200"/>
        <w:jc w:val="both"/>
        <w:rPr>
          <w:rFonts w:hint="default" w:ascii="Times New Roman" w:hAnsi="Times New Roman" w:cs="Times New Roman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/>
          <w:kern w:val="2"/>
          <w:sz w:val="32"/>
          <w:szCs w:val="24"/>
          <w:lang w:val="en-US" w:eastAsia="zh-CN" w:bidi="ar-SA"/>
        </w:rPr>
        <w:t>（</w:t>
      </w:r>
      <w:r>
        <w:rPr>
          <w:rFonts w:hint="eastAsia" w:ascii="Times New Roman" w:hAnsi="Times New Roman" w:cs="Times New Roman"/>
          <w:b w:val="0"/>
          <w:bCs/>
          <w:kern w:val="2"/>
          <w:sz w:val="32"/>
          <w:szCs w:val="24"/>
          <w:lang w:val="en-US" w:eastAsia="zh-CN" w:bidi="ar-SA"/>
        </w:rPr>
        <w:t>五</w:t>
      </w:r>
      <w:r>
        <w:rPr>
          <w:rFonts w:hint="default" w:ascii="Times New Roman" w:hAnsi="Times New Roman" w:cs="Times New Roman"/>
          <w:b w:val="0"/>
          <w:bCs/>
          <w:kern w:val="2"/>
          <w:sz w:val="32"/>
          <w:szCs w:val="24"/>
          <w:lang w:val="en-US" w:eastAsia="zh-CN" w:bidi="ar-SA"/>
        </w:rPr>
        <w:t>）高水平构建更加自由便利的投资贸易环境</w:t>
      </w:r>
    </w:p>
    <w:p>
      <w:pPr>
        <w:pStyle w:val="5"/>
        <w:bidi w:val="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  <w:lang w:val="en-US" w:eastAsia="zh-CN"/>
        </w:rPr>
        <w:t>.打造良好投资环境</w:t>
      </w:r>
    </w:p>
    <w:p>
      <w:p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24"/>
          <w:shd w:val="clear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（33）便利外商投资准入。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24"/>
          <w:shd w:val="clear"/>
          <w:lang w:val="en-US" w:eastAsia="zh-CN" w:bidi="ar-SA"/>
        </w:rPr>
        <w:t>全面落实《北京市外商投资条例》，依法保护外商投资权益。保障外商投资企业依法平等政府采购活动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24"/>
          <w:shd w:val="clear"/>
          <w:lang w:val="en-US" w:eastAsia="zh-CN" w:bidi="ar-SA"/>
        </w:rPr>
        <w:t>，支持外商投资企业创新研发全球领先产品。</w:t>
      </w:r>
    </w:p>
    <w:p>
      <w:pPr>
        <w:pStyle w:val="2"/>
        <w:jc w:val="both"/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（34）加强外资落地保障。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24"/>
          <w:shd w:val="clear"/>
          <w:lang w:val="en-US" w:eastAsia="zh-CN" w:bidi="ar-SA"/>
        </w:rPr>
        <w:t>用好东城区“1+N”产业政策，积极支持外资研发中心设立和发展，吸引更多跨国公司地区总部落地东城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24"/>
          <w:shd w:val="clear"/>
          <w:lang w:val="en-US" w:eastAsia="zh-CN" w:bidi="ar-SA"/>
        </w:rPr>
        <w:t>。支持境外投资者扩大在区投资，鼓励和支持外商投资企业利润再投资，支持符合条件的外资企业成为跨国公司地区总部。</w:t>
      </w:r>
    </w:p>
    <w:p>
      <w:pPr>
        <w:pStyle w:val="2"/>
        <w:jc w:val="both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（35）提升国际化服务能力。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  <w:t>推进外籍人员工作许可和工作类居留证件线上办理，拓展工作许可证与社会保障卡融合应用场景。持续推进国际语言环境建设，提升多语种接待服务水平，加强景区、商圈等重点场所外语标识规范化建设。</w:t>
      </w:r>
    </w:p>
    <w:p>
      <w:pPr>
        <w:pStyle w:val="2"/>
        <w:jc w:val="both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（36）完善企业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“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走出去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”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综合服务。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  <w:t>鼓励银行、股权投资机构、保险机构为“走出去”企业和项目提供金融支持。开展海关信用等级专题政策宣讲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  <w:t>，对有条件的企业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  <w:t>开展集团式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val="en-US" w:eastAsia="zh-CN"/>
        </w:rPr>
        <w:t>认证培育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eastAsia="zh-CN"/>
        </w:rPr>
        <w:t>，不断提高区内认证企业数量和质量。促进首发经济发展，针对同一主体同一场地同类活动推行一次性安全许可制度，提高进口首发新品通关便利度。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val="en-US" w:eastAsia="zh-CN"/>
        </w:rPr>
        <w:t>推动数字贸易港试点工作有序开展。</w:t>
      </w:r>
    </w:p>
    <w:p>
      <w:pPr>
        <w:pStyle w:val="4"/>
        <w:numPr>
          <w:ilvl w:val="0"/>
          <w:numId w:val="0"/>
        </w:numPr>
        <w:bidi w:val="0"/>
        <w:ind w:firstLine="640" w:firstLineChars="200"/>
        <w:jc w:val="both"/>
        <w:rPr>
          <w:rFonts w:hint="default" w:ascii="Times New Roman" w:hAnsi="Times New Roman" w:cs="Times New Roman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/>
          <w:kern w:val="2"/>
          <w:sz w:val="32"/>
          <w:szCs w:val="24"/>
          <w:lang w:val="en-US" w:eastAsia="zh-CN" w:bidi="ar-SA"/>
        </w:rPr>
        <w:t>（</w:t>
      </w:r>
      <w:r>
        <w:rPr>
          <w:rFonts w:hint="eastAsia" w:ascii="Times New Roman" w:hAnsi="Times New Roman" w:cs="Times New Roman"/>
          <w:b w:val="0"/>
          <w:bCs/>
          <w:kern w:val="2"/>
          <w:sz w:val="32"/>
          <w:szCs w:val="24"/>
          <w:lang w:val="en-US" w:eastAsia="zh-CN" w:bidi="ar-SA"/>
        </w:rPr>
        <w:t>六</w:t>
      </w:r>
      <w:r>
        <w:rPr>
          <w:rFonts w:hint="default" w:ascii="Times New Roman" w:hAnsi="Times New Roman" w:cs="Times New Roman"/>
          <w:b w:val="0"/>
          <w:bCs/>
          <w:kern w:val="2"/>
          <w:sz w:val="32"/>
          <w:szCs w:val="24"/>
          <w:lang w:val="en-US" w:eastAsia="zh-CN" w:bidi="ar-SA"/>
        </w:rPr>
        <w:t>）全面优化数字和人文环境</w:t>
      </w:r>
    </w:p>
    <w:p>
      <w:pPr>
        <w:pStyle w:val="5"/>
        <w:bidi w:val="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  <w:lang w:val="en-US" w:eastAsia="zh-CN"/>
        </w:rPr>
        <w:t>.推动数字社会建设</w:t>
      </w:r>
    </w:p>
    <w:p>
      <w:pPr>
        <w:pStyle w:val="2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（37）打造更多数字应用场景。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val="en-US" w:eastAsia="zh-CN"/>
        </w:rPr>
        <w:t>定期发布智慧城市场景创新需求清单，试点建设前沿技术、公共服务、社会治理等示范标杆场景。试点推行移动端电子证照授权服务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val="en-US" w:eastAsia="zh-CN"/>
        </w:rPr>
        <w:t>，通过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val="en-US" w:eastAsia="zh-CN"/>
        </w:rPr>
        <w:t>“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val="en-US" w:eastAsia="zh-CN"/>
        </w:rPr>
        <w:t>京通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val="en-US" w:eastAsia="zh-CN"/>
        </w:rPr>
        <w:t>”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val="en-US" w:eastAsia="zh-CN"/>
        </w:rPr>
        <w:t>移动端授权电子营业执照、居民身份证、不动产登记证明等各类电子证照调用，并不断扩大业务覆盖范围。</w:t>
      </w:r>
    </w:p>
    <w:p>
      <w:pPr>
        <w:pStyle w:val="5"/>
        <w:bidi w:val="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  <w:lang w:val="en-US" w:eastAsia="zh-CN"/>
        </w:rPr>
        <w:t>.提升城市宜居品质</w:t>
      </w:r>
    </w:p>
    <w:p>
      <w:pPr>
        <w:pStyle w:val="2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（38）提升公共交通便利性。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val="en-US" w:eastAsia="zh-CN"/>
        </w:rPr>
        <w:t>扩大有偿错时共享，新增共享车位1500个，新建车位850个。持续优化道路交通环境，实现永外地区文化用品公司东路等2条次支路建成通车。</w:t>
      </w:r>
    </w:p>
    <w:p>
      <w:pPr>
        <w:pStyle w:val="2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（39）优化文旅服务体验。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shd w:val="clear"/>
          <w:lang w:val="en-US" w:eastAsia="zh-CN" w:bidi="ar-SA"/>
        </w:rPr>
        <w:t>定制文化大礼包，鼓励区内文化空间和文博场馆提供企业产品发布、品牌沙龙场地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24"/>
          <w:shd w:val="clear"/>
          <w:lang w:val="en-US" w:eastAsia="zh-CN" w:bidi="ar-SA"/>
        </w:rPr>
        <w:t>等支持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shd w:val="clear"/>
          <w:lang w:val="en-US" w:eastAsia="zh-CN" w:bidi="ar-SA"/>
        </w:rPr>
        <w:t>。提升游客预约购票、配套服务设施、“无障碍”语言沟通便利度。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val="en-US" w:eastAsia="zh-CN"/>
        </w:rPr>
        <w:t>支持文化文物单位改革试点，优化区属博物馆等场所预约机制。引导区内2家博物馆在节日、学生寒暑假期间延时开放，举办特色主题活动。推动数字文旅发展，开发虚拟景区、沉浸式场馆、超高清全景视频等数字文旅产品。</w:t>
      </w:r>
    </w:p>
    <w:p>
      <w:pPr>
        <w:pStyle w:val="2"/>
        <w:jc w:val="both"/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（40）不断提升公共服务水平。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val="en-US" w:eastAsia="zh-CN"/>
        </w:rPr>
        <w:t>扩大街道养老服务中心覆盖面，推广东城区智慧养老服务应用场景，实现照护、助餐、医疗、文娱等细分领域资源云汇集、供需云对接、评价云闭环。完善助餐服务网络，全面提升老年人就餐便利性、多样性。组织协和医院、北京中医院等优秀青年医生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val="en-US" w:eastAsia="zh-CN"/>
        </w:rPr>
        <w:t>“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val="en-US" w:eastAsia="zh-CN"/>
        </w:rPr>
        <w:t>一对一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val="en-US" w:eastAsia="zh-CN"/>
        </w:rPr>
        <w:t>”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val="en-US" w:eastAsia="zh-CN"/>
        </w:rPr>
        <w:t>看诊、康复指导等健康义诊系列活动。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Cs/>
          <w:kern w:val="44"/>
          <w:sz w:val="32"/>
          <w:szCs w:val="48"/>
          <w:lang w:val="en-US" w:eastAsia="zh-CN" w:bidi="ar"/>
        </w:rPr>
        <w:t>四</w:t>
      </w:r>
      <w:r>
        <w:rPr>
          <w:rFonts w:hint="default" w:ascii="Times New Roman" w:hAnsi="Times New Roman" w:eastAsia="黑体" w:cs="Times New Roman"/>
          <w:bCs/>
          <w:kern w:val="44"/>
          <w:sz w:val="32"/>
          <w:szCs w:val="48"/>
          <w:lang w:val="en-US" w:eastAsia="zh-CN" w:bidi="ar"/>
        </w:rPr>
        <w:t>、</w:t>
      </w:r>
      <w:r>
        <w:rPr>
          <w:rFonts w:hint="default" w:ascii="Times New Roman" w:hAnsi="Times New Roman" w:cs="Times New Roman"/>
          <w:lang w:val="en-US" w:eastAsia="zh-CN"/>
        </w:rPr>
        <w:t>组织保障</w:t>
      </w:r>
    </w:p>
    <w:p>
      <w:pPr>
        <w:pStyle w:val="4"/>
        <w:bidi w:val="0"/>
        <w:jc w:val="both"/>
        <w:rPr>
          <w:rFonts w:hint="default" w:ascii="Times New Roman" w:hAnsi="Times New Roman" w:cs="Times New Roman"/>
          <w:b w:val="0"/>
          <w:bCs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lang w:val="en-US" w:eastAsia="zh-CN"/>
        </w:rPr>
        <w:t>（一）加强组织领导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lang w:val="en-US" w:eastAsia="zh-CN"/>
        </w:rPr>
      </w:pPr>
      <w:r>
        <w:rPr>
          <w:rFonts w:hint="eastAsia" w:ascii="仿宋_GB2312" w:hAnsi="仿宋_GB2312" w:cs="仿宋_GB2312"/>
          <w:color w:val="auto"/>
          <w:lang w:val="en-US" w:eastAsia="zh-CN"/>
        </w:rPr>
        <w:t>东城区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优化营商环境工作领导小组要加强统筹协调，进一步加大推进督导力度。各部门要落实好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一把手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工程，提升打造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北京服务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品牌的意识和水平</w:t>
      </w:r>
      <w:r>
        <w:rPr>
          <w:rFonts w:hint="eastAsia" w:ascii="仿宋_GB2312" w:hAnsi="仿宋_GB2312" w:cs="仿宋_GB2312"/>
          <w:color w:val="auto"/>
          <w:lang w:val="en-US" w:eastAsia="zh-CN"/>
        </w:rPr>
        <w:t>。</w:t>
      </w:r>
    </w:p>
    <w:p>
      <w:pPr>
        <w:pStyle w:val="4"/>
        <w:bidi w:val="0"/>
        <w:jc w:val="both"/>
        <w:rPr>
          <w:rFonts w:hint="default" w:ascii="Times New Roman" w:hAnsi="Times New Roman" w:cs="Times New Roman"/>
          <w:b w:val="0"/>
          <w:bCs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lang w:val="en-US" w:eastAsia="zh-CN"/>
        </w:rPr>
        <w:t>（二）狠抓工作落实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lang w:val="en-US" w:eastAsia="zh-CN"/>
        </w:rPr>
      </w:pPr>
      <w:r>
        <w:rPr>
          <w:rFonts w:hint="eastAsia" w:ascii="仿宋_GB2312" w:hAnsi="仿宋_GB2312" w:cs="仿宋_GB2312"/>
          <w:color w:val="auto"/>
          <w:lang w:val="en-US" w:eastAsia="zh-CN"/>
        </w:rPr>
        <w:t>各部门要加强协同配合，坚持清单化、闭环式推进各项工作，并大力开展营商环境政策常态化培训，不断提高服务能力，使各项举措落地见效。</w:t>
      </w:r>
    </w:p>
    <w:p>
      <w:pPr>
        <w:pStyle w:val="4"/>
        <w:bidi w:val="0"/>
        <w:jc w:val="both"/>
        <w:rPr>
          <w:rFonts w:hint="default" w:ascii="Times New Roman" w:hAnsi="Times New Roman" w:cs="Times New Roman"/>
          <w:b w:val="0"/>
          <w:bCs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lang w:val="en-US" w:eastAsia="zh-CN"/>
        </w:rPr>
        <w:t>（三）强化宣传引导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加强制度创新</w:t>
      </w:r>
      <w:r>
        <w:rPr>
          <w:rFonts w:hint="eastAsia" w:ascii="仿宋_GB2312" w:hAnsi="仿宋_GB2312" w:cs="仿宋_GB2312"/>
          <w:color w:val="auto"/>
          <w:lang w:val="en-US" w:eastAsia="zh-CN"/>
        </w:rPr>
        <w:t>、服务创新的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案例挖掘，持续开展</w:t>
      </w:r>
      <w:r>
        <w:rPr>
          <w:rFonts w:hint="eastAsia" w:ascii="仿宋_GB2312" w:hAnsi="仿宋_GB2312" w:cs="仿宋_GB2312"/>
          <w:color w:val="auto"/>
          <w:lang w:val="en-US" w:eastAsia="zh-CN"/>
        </w:rPr>
        <w:t>营商环境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创新案例征集及改革经验总结，择优推荐优秀工作人员参与评选“北京榜样”</w:t>
      </w:r>
      <w:r>
        <w:rPr>
          <w:rFonts w:hint="eastAsia" w:ascii="仿宋_GB2312" w:hAnsi="仿宋_GB2312" w:cs="仿宋_GB2312"/>
          <w:color w:val="auto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推广优秀经验做法，推动形成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人人都是营商环境、事事关乎营商环境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的良好氛围。</w:t>
      </w:r>
    </w:p>
    <w:p>
      <w:pPr>
        <w:pStyle w:val="2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cs="仿宋_GB2312"/>
          <w:color w:val="auto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6C5FF5-DCA2-4B5D-92E5-6538C16ED74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CF89588-CFC7-4590-B84F-78422F79DA5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3AB904B-A153-4654-B9F7-87E8CD99BB7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2DF96FDD-6A18-4535-8B89-C56BDC8FB80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236B7DD5-D6EB-495E-B82D-7A98A59302CE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0638A"/>
    <w:rsid w:val="007007DA"/>
    <w:rsid w:val="00D127C9"/>
    <w:rsid w:val="011B0B5F"/>
    <w:rsid w:val="01232ED2"/>
    <w:rsid w:val="014F03EF"/>
    <w:rsid w:val="01633ADA"/>
    <w:rsid w:val="01AF7D94"/>
    <w:rsid w:val="01F1594A"/>
    <w:rsid w:val="021D673F"/>
    <w:rsid w:val="022B52F2"/>
    <w:rsid w:val="02457A2C"/>
    <w:rsid w:val="02900CBF"/>
    <w:rsid w:val="02ED1C6E"/>
    <w:rsid w:val="030752FD"/>
    <w:rsid w:val="03AD1C84"/>
    <w:rsid w:val="03FF60FC"/>
    <w:rsid w:val="04167BD9"/>
    <w:rsid w:val="043D1B33"/>
    <w:rsid w:val="043D4E77"/>
    <w:rsid w:val="046E7B7D"/>
    <w:rsid w:val="052221B5"/>
    <w:rsid w:val="059E36F3"/>
    <w:rsid w:val="066071A5"/>
    <w:rsid w:val="06FE6B3F"/>
    <w:rsid w:val="074E2122"/>
    <w:rsid w:val="076850A7"/>
    <w:rsid w:val="079E00C6"/>
    <w:rsid w:val="08E9737B"/>
    <w:rsid w:val="08EE7CFD"/>
    <w:rsid w:val="092A6180"/>
    <w:rsid w:val="09780348"/>
    <w:rsid w:val="0995039F"/>
    <w:rsid w:val="099F7A3A"/>
    <w:rsid w:val="09EA3FD4"/>
    <w:rsid w:val="09F60F31"/>
    <w:rsid w:val="0A465F68"/>
    <w:rsid w:val="0A466107"/>
    <w:rsid w:val="0AF55D55"/>
    <w:rsid w:val="0BC36DF2"/>
    <w:rsid w:val="0CA842E2"/>
    <w:rsid w:val="0CB437FC"/>
    <w:rsid w:val="0DBE0DD6"/>
    <w:rsid w:val="0E064E9D"/>
    <w:rsid w:val="0E8370C7"/>
    <w:rsid w:val="0F163A4A"/>
    <w:rsid w:val="0F325BC9"/>
    <w:rsid w:val="0F3A0931"/>
    <w:rsid w:val="0F845361"/>
    <w:rsid w:val="0FAC5BD6"/>
    <w:rsid w:val="0FB04AF3"/>
    <w:rsid w:val="0FC41FA8"/>
    <w:rsid w:val="10357777"/>
    <w:rsid w:val="103E1D5B"/>
    <w:rsid w:val="1118788E"/>
    <w:rsid w:val="114E421F"/>
    <w:rsid w:val="11E93F48"/>
    <w:rsid w:val="12CB1B12"/>
    <w:rsid w:val="13A22600"/>
    <w:rsid w:val="13C92726"/>
    <w:rsid w:val="13CF5E5B"/>
    <w:rsid w:val="13E154D2"/>
    <w:rsid w:val="140B19F4"/>
    <w:rsid w:val="14B2352A"/>
    <w:rsid w:val="15086DDB"/>
    <w:rsid w:val="155E4C4D"/>
    <w:rsid w:val="157C088A"/>
    <w:rsid w:val="16D74CB7"/>
    <w:rsid w:val="171750B3"/>
    <w:rsid w:val="17B9616B"/>
    <w:rsid w:val="19940EB6"/>
    <w:rsid w:val="1A0605B5"/>
    <w:rsid w:val="1A6002AF"/>
    <w:rsid w:val="1ADF676A"/>
    <w:rsid w:val="1B2E6E70"/>
    <w:rsid w:val="1B3804E1"/>
    <w:rsid w:val="1B671435"/>
    <w:rsid w:val="1BA62EAA"/>
    <w:rsid w:val="1BD214C5"/>
    <w:rsid w:val="1C3B579F"/>
    <w:rsid w:val="1D257ED2"/>
    <w:rsid w:val="1D3657D7"/>
    <w:rsid w:val="1DC840A8"/>
    <w:rsid w:val="1EC716CD"/>
    <w:rsid w:val="1F7E3050"/>
    <w:rsid w:val="1F841BE2"/>
    <w:rsid w:val="1FB042F7"/>
    <w:rsid w:val="20B76DF4"/>
    <w:rsid w:val="20E97AC1"/>
    <w:rsid w:val="216B0069"/>
    <w:rsid w:val="21845A3B"/>
    <w:rsid w:val="21893052"/>
    <w:rsid w:val="21C80F79"/>
    <w:rsid w:val="228D7E74"/>
    <w:rsid w:val="22B34365"/>
    <w:rsid w:val="236D2C2B"/>
    <w:rsid w:val="23A23091"/>
    <w:rsid w:val="246C2EE2"/>
    <w:rsid w:val="24773635"/>
    <w:rsid w:val="25304656"/>
    <w:rsid w:val="253A5EC8"/>
    <w:rsid w:val="254C061E"/>
    <w:rsid w:val="264D6C20"/>
    <w:rsid w:val="26505FC4"/>
    <w:rsid w:val="266A16A4"/>
    <w:rsid w:val="298638C2"/>
    <w:rsid w:val="299023C6"/>
    <w:rsid w:val="29FD079E"/>
    <w:rsid w:val="2A622692"/>
    <w:rsid w:val="2AA71994"/>
    <w:rsid w:val="2AB12F64"/>
    <w:rsid w:val="2AF23A16"/>
    <w:rsid w:val="2B430715"/>
    <w:rsid w:val="2B520958"/>
    <w:rsid w:val="2B976F30"/>
    <w:rsid w:val="2C365B84"/>
    <w:rsid w:val="2C7333ED"/>
    <w:rsid w:val="2C79039A"/>
    <w:rsid w:val="2D0210DF"/>
    <w:rsid w:val="2D4349FC"/>
    <w:rsid w:val="2D5029C1"/>
    <w:rsid w:val="2DDD715F"/>
    <w:rsid w:val="2DE03FF9"/>
    <w:rsid w:val="2E1A197C"/>
    <w:rsid w:val="2E36630F"/>
    <w:rsid w:val="2E3B3926"/>
    <w:rsid w:val="2E614446"/>
    <w:rsid w:val="2E8B4A2B"/>
    <w:rsid w:val="30165158"/>
    <w:rsid w:val="306623EF"/>
    <w:rsid w:val="30AF6DF1"/>
    <w:rsid w:val="30AF783F"/>
    <w:rsid w:val="30DB44A9"/>
    <w:rsid w:val="31D5583C"/>
    <w:rsid w:val="31EE13DB"/>
    <w:rsid w:val="3294550E"/>
    <w:rsid w:val="33526977"/>
    <w:rsid w:val="338611ED"/>
    <w:rsid w:val="33AB1A78"/>
    <w:rsid w:val="342731A9"/>
    <w:rsid w:val="34971039"/>
    <w:rsid w:val="34BD5094"/>
    <w:rsid w:val="35004F81"/>
    <w:rsid w:val="35091085"/>
    <w:rsid w:val="357B204A"/>
    <w:rsid w:val="35E333C6"/>
    <w:rsid w:val="35F07FB3"/>
    <w:rsid w:val="36182114"/>
    <w:rsid w:val="36237179"/>
    <w:rsid w:val="36373114"/>
    <w:rsid w:val="367432B5"/>
    <w:rsid w:val="36DA6A4C"/>
    <w:rsid w:val="37203F9C"/>
    <w:rsid w:val="38C56C0D"/>
    <w:rsid w:val="391E1A42"/>
    <w:rsid w:val="39930279"/>
    <w:rsid w:val="39AD696B"/>
    <w:rsid w:val="3A3F73AD"/>
    <w:rsid w:val="3B2F3E16"/>
    <w:rsid w:val="3B8D5D1B"/>
    <w:rsid w:val="3BE4509D"/>
    <w:rsid w:val="3C8C67F3"/>
    <w:rsid w:val="3CC64D02"/>
    <w:rsid w:val="3CEA09F1"/>
    <w:rsid w:val="3D657198"/>
    <w:rsid w:val="3EA82911"/>
    <w:rsid w:val="3F2006FA"/>
    <w:rsid w:val="3FA5105E"/>
    <w:rsid w:val="3FBA0B4E"/>
    <w:rsid w:val="3FC96AF2"/>
    <w:rsid w:val="4024421A"/>
    <w:rsid w:val="40667E1D"/>
    <w:rsid w:val="4075369B"/>
    <w:rsid w:val="408F6A49"/>
    <w:rsid w:val="40AE355E"/>
    <w:rsid w:val="41031D06"/>
    <w:rsid w:val="4134747D"/>
    <w:rsid w:val="41393CF5"/>
    <w:rsid w:val="41F63FCF"/>
    <w:rsid w:val="428A2D00"/>
    <w:rsid w:val="4292190E"/>
    <w:rsid w:val="42AB0C22"/>
    <w:rsid w:val="42F9198D"/>
    <w:rsid w:val="430D5439"/>
    <w:rsid w:val="4326474D"/>
    <w:rsid w:val="435D6CE3"/>
    <w:rsid w:val="4413593C"/>
    <w:rsid w:val="44B108AB"/>
    <w:rsid w:val="44DA57EF"/>
    <w:rsid w:val="44F42304"/>
    <w:rsid w:val="457A5C8C"/>
    <w:rsid w:val="45B8114E"/>
    <w:rsid w:val="45BE3ABD"/>
    <w:rsid w:val="463E2142"/>
    <w:rsid w:val="46962469"/>
    <w:rsid w:val="46C312AA"/>
    <w:rsid w:val="46E63C75"/>
    <w:rsid w:val="475F50A3"/>
    <w:rsid w:val="47F60270"/>
    <w:rsid w:val="48B910A8"/>
    <w:rsid w:val="48BB79BB"/>
    <w:rsid w:val="48D94F98"/>
    <w:rsid w:val="490746D8"/>
    <w:rsid w:val="496F3503"/>
    <w:rsid w:val="499A72FA"/>
    <w:rsid w:val="49B405C6"/>
    <w:rsid w:val="4AA734FB"/>
    <w:rsid w:val="4B3B68BB"/>
    <w:rsid w:val="4BB40B47"/>
    <w:rsid w:val="4BEF1B80"/>
    <w:rsid w:val="4C6E766F"/>
    <w:rsid w:val="4C831EDD"/>
    <w:rsid w:val="4CBE6EDE"/>
    <w:rsid w:val="4D183358"/>
    <w:rsid w:val="4D832CB1"/>
    <w:rsid w:val="4DB24291"/>
    <w:rsid w:val="4DB766CD"/>
    <w:rsid w:val="4E4C36D5"/>
    <w:rsid w:val="4E977924"/>
    <w:rsid w:val="4F5C526A"/>
    <w:rsid w:val="4FE51785"/>
    <w:rsid w:val="4FEC3109"/>
    <w:rsid w:val="500D1F18"/>
    <w:rsid w:val="500F0A42"/>
    <w:rsid w:val="50E64DDF"/>
    <w:rsid w:val="512978E2"/>
    <w:rsid w:val="516B614C"/>
    <w:rsid w:val="51772F82"/>
    <w:rsid w:val="51B66C9C"/>
    <w:rsid w:val="51EB3AFC"/>
    <w:rsid w:val="52A16156"/>
    <w:rsid w:val="53746E0E"/>
    <w:rsid w:val="539C32CC"/>
    <w:rsid w:val="5494062D"/>
    <w:rsid w:val="54A35BFD"/>
    <w:rsid w:val="54B501BD"/>
    <w:rsid w:val="54E83610"/>
    <w:rsid w:val="54EB459D"/>
    <w:rsid w:val="553A3A15"/>
    <w:rsid w:val="559460CF"/>
    <w:rsid w:val="559E63C4"/>
    <w:rsid w:val="55EA33B8"/>
    <w:rsid w:val="565A22EB"/>
    <w:rsid w:val="56722E86"/>
    <w:rsid w:val="56823B51"/>
    <w:rsid w:val="569021B1"/>
    <w:rsid w:val="56910414"/>
    <w:rsid w:val="56DC0F52"/>
    <w:rsid w:val="56EE2D2C"/>
    <w:rsid w:val="572E61C7"/>
    <w:rsid w:val="57830006"/>
    <w:rsid w:val="58F92EA6"/>
    <w:rsid w:val="5907234A"/>
    <w:rsid w:val="5A4D2286"/>
    <w:rsid w:val="5AA73B37"/>
    <w:rsid w:val="5B3752F1"/>
    <w:rsid w:val="5BB8634C"/>
    <w:rsid w:val="5BFE5E0F"/>
    <w:rsid w:val="5BFE68FD"/>
    <w:rsid w:val="5C4952DC"/>
    <w:rsid w:val="5C641E90"/>
    <w:rsid w:val="5C695F6C"/>
    <w:rsid w:val="5C82779E"/>
    <w:rsid w:val="5CA53FBB"/>
    <w:rsid w:val="5D1321A4"/>
    <w:rsid w:val="5D861D83"/>
    <w:rsid w:val="5E157EEA"/>
    <w:rsid w:val="5E40232F"/>
    <w:rsid w:val="5E8E4868"/>
    <w:rsid w:val="5EE3402B"/>
    <w:rsid w:val="5F5E4EAD"/>
    <w:rsid w:val="5F656D5E"/>
    <w:rsid w:val="5F6D40D3"/>
    <w:rsid w:val="5FB50477"/>
    <w:rsid w:val="5FEF619A"/>
    <w:rsid w:val="60436DBD"/>
    <w:rsid w:val="60A166EA"/>
    <w:rsid w:val="61001EB2"/>
    <w:rsid w:val="61487D62"/>
    <w:rsid w:val="61523679"/>
    <w:rsid w:val="617A0CFA"/>
    <w:rsid w:val="61BD784C"/>
    <w:rsid w:val="61F23897"/>
    <w:rsid w:val="624520A2"/>
    <w:rsid w:val="62583CB6"/>
    <w:rsid w:val="62D600AE"/>
    <w:rsid w:val="631877B6"/>
    <w:rsid w:val="637F3391"/>
    <w:rsid w:val="639A01CB"/>
    <w:rsid w:val="63CD5A50"/>
    <w:rsid w:val="63F35C7C"/>
    <w:rsid w:val="64181582"/>
    <w:rsid w:val="64390660"/>
    <w:rsid w:val="64721148"/>
    <w:rsid w:val="64C9193E"/>
    <w:rsid w:val="660364FC"/>
    <w:rsid w:val="661C75DF"/>
    <w:rsid w:val="666A657B"/>
    <w:rsid w:val="6678063D"/>
    <w:rsid w:val="670D670B"/>
    <w:rsid w:val="671B00F3"/>
    <w:rsid w:val="675602E5"/>
    <w:rsid w:val="67AC671F"/>
    <w:rsid w:val="68866B0F"/>
    <w:rsid w:val="688F1299"/>
    <w:rsid w:val="68EB77F4"/>
    <w:rsid w:val="69F6715A"/>
    <w:rsid w:val="6A1B3AC1"/>
    <w:rsid w:val="6A3F20EC"/>
    <w:rsid w:val="6A4E628A"/>
    <w:rsid w:val="6A94006A"/>
    <w:rsid w:val="6AF9282F"/>
    <w:rsid w:val="6AFE5055"/>
    <w:rsid w:val="6BD732BE"/>
    <w:rsid w:val="6BE4292B"/>
    <w:rsid w:val="6BE8587A"/>
    <w:rsid w:val="6C661592"/>
    <w:rsid w:val="6CD04C5E"/>
    <w:rsid w:val="6CFE5C6F"/>
    <w:rsid w:val="6D122FBA"/>
    <w:rsid w:val="6D2244F3"/>
    <w:rsid w:val="6D35228E"/>
    <w:rsid w:val="6D6811E3"/>
    <w:rsid w:val="6DEA1D4F"/>
    <w:rsid w:val="6DFA1AA7"/>
    <w:rsid w:val="6E030AA0"/>
    <w:rsid w:val="6E1E0092"/>
    <w:rsid w:val="6E492EA5"/>
    <w:rsid w:val="6E5210EE"/>
    <w:rsid w:val="6EE80766"/>
    <w:rsid w:val="6EEE3B3E"/>
    <w:rsid w:val="6EF80F98"/>
    <w:rsid w:val="6EFB329F"/>
    <w:rsid w:val="6F107DF2"/>
    <w:rsid w:val="6F152DFC"/>
    <w:rsid w:val="6F6F3EC3"/>
    <w:rsid w:val="706E3BD7"/>
    <w:rsid w:val="717429AF"/>
    <w:rsid w:val="72376EDE"/>
    <w:rsid w:val="7254291F"/>
    <w:rsid w:val="72620A4E"/>
    <w:rsid w:val="729055BB"/>
    <w:rsid w:val="72FA7564"/>
    <w:rsid w:val="73F95801"/>
    <w:rsid w:val="745A51AE"/>
    <w:rsid w:val="74997316"/>
    <w:rsid w:val="750256FF"/>
    <w:rsid w:val="761623BD"/>
    <w:rsid w:val="767C5CF8"/>
    <w:rsid w:val="769219CF"/>
    <w:rsid w:val="771209E9"/>
    <w:rsid w:val="77DD4132"/>
    <w:rsid w:val="783269EF"/>
    <w:rsid w:val="78491FE5"/>
    <w:rsid w:val="7853785C"/>
    <w:rsid w:val="786646C8"/>
    <w:rsid w:val="787B0F23"/>
    <w:rsid w:val="78934A15"/>
    <w:rsid w:val="78FC4483"/>
    <w:rsid w:val="79254583"/>
    <w:rsid w:val="79364DCC"/>
    <w:rsid w:val="79CF7393"/>
    <w:rsid w:val="7A0E1474"/>
    <w:rsid w:val="7A0E4EF2"/>
    <w:rsid w:val="7A186697"/>
    <w:rsid w:val="7A9F5952"/>
    <w:rsid w:val="7ADE098E"/>
    <w:rsid w:val="7B1D19B6"/>
    <w:rsid w:val="7BB840B1"/>
    <w:rsid w:val="7C0B180E"/>
    <w:rsid w:val="7C95557C"/>
    <w:rsid w:val="7D3426D0"/>
    <w:rsid w:val="7D5D42EC"/>
    <w:rsid w:val="7D834802"/>
    <w:rsid w:val="7DCD26F6"/>
    <w:rsid w:val="7E9C3380"/>
    <w:rsid w:val="7ED06E49"/>
    <w:rsid w:val="7F271629"/>
    <w:rsid w:val="7F480FCB"/>
    <w:rsid w:val="7F78540D"/>
    <w:rsid w:val="7FBB06EF"/>
    <w:rsid w:val="7FC6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_GB2312" w:cs="黑体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0"/>
    <w:pPr>
      <w:spacing w:before="0" w:beforeAutospacing="0" w:after="0" w:afterAutospacing="0" w:line="560" w:lineRule="exact"/>
      <w:ind w:firstLine="856" w:firstLineChars="200"/>
      <w:jc w:val="left"/>
      <w:outlineLvl w:val="0"/>
    </w:pPr>
    <w:rPr>
      <w:rFonts w:hint="eastAsia" w:ascii="宋体" w:hAnsi="宋体" w:eastAsia="黑体" w:cs="宋体"/>
      <w:bCs/>
      <w:kern w:val="44"/>
      <w:sz w:val="32"/>
      <w:szCs w:val="48"/>
      <w:lang w:bidi="ar"/>
    </w:rPr>
  </w:style>
  <w:style w:type="paragraph" w:styleId="4">
    <w:name w:val="heading 2"/>
    <w:basedOn w:val="1"/>
    <w:next w:val="1"/>
    <w:link w:val="22"/>
    <w:unhideWhenUsed/>
    <w:qFormat/>
    <w:uiPriority w:val="0"/>
    <w:pPr>
      <w:keepNext/>
      <w:keepLines/>
      <w:spacing w:before="0" w:beforeLines="0" w:beforeAutospacing="0" w:after="0" w:afterLines="0" w:afterAutospacing="0" w:line="560" w:lineRule="exact"/>
      <w:ind w:firstLine="856" w:firstLineChars="200"/>
      <w:outlineLvl w:val="1"/>
    </w:pPr>
    <w:rPr>
      <w:rFonts w:ascii="Arial" w:hAnsi="Arial" w:eastAsia="楷体_GB2312" w:cstheme="minorBidi"/>
      <w:b/>
      <w:sz w:val="32"/>
    </w:rPr>
  </w:style>
  <w:style w:type="paragraph" w:styleId="5">
    <w:name w:val="heading 3"/>
    <w:basedOn w:val="1"/>
    <w:next w:val="1"/>
    <w:link w:val="23"/>
    <w:unhideWhenUsed/>
    <w:qFormat/>
    <w:uiPriority w:val="0"/>
    <w:pPr>
      <w:keepNext/>
      <w:keepLines/>
      <w:tabs>
        <w:tab w:val="left" w:pos="0"/>
      </w:tabs>
      <w:spacing w:beforeLines="0" w:beforeAutospacing="0" w:afterLines="0" w:afterAutospacing="0" w:line="560" w:lineRule="exact"/>
      <w:ind w:firstLine="880" w:firstLineChars="200"/>
      <w:outlineLvl w:val="2"/>
    </w:pPr>
    <w:rPr>
      <w:rFonts w:ascii="仿宋_GB2312" w:hAnsi="仿宋_GB2312" w:cstheme="minorBidi"/>
      <w:b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tabs>
        <w:tab w:val="left" w:pos="0"/>
      </w:tabs>
      <w:spacing w:beforeLines="0" w:beforeAutospacing="0" w:afterLines="0" w:afterAutospacing="0" w:line="560" w:lineRule="exact"/>
      <w:ind w:firstLine="1040" w:firstLineChars="200"/>
      <w:outlineLvl w:val="3"/>
    </w:pPr>
    <w:rPr>
      <w:rFonts w:ascii="仿宋_GB2312" w:hAnsi="仿宋_GB2312" w:cs="Times New Roman"/>
      <w:b/>
      <w:szCs w:val="24"/>
    </w:rPr>
  </w:style>
  <w:style w:type="character" w:default="1" w:styleId="18">
    <w:name w:val="Default Paragraph Font"/>
    <w:unhideWhenUsed/>
    <w:qFormat/>
    <w:uiPriority w:val="1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7">
    <w:name w:val="Body Text"/>
    <w:basedOn w:val="1"/>
    <w:qFormat/>
    <w:uiPriority w:val="0"/>
    <w:pPr>
      <w:spacing w:after="120" w:afterLines="0" w:afterAutospacing="0"/>
    </w:pPr>
  </w:style>
  <w:style w:type="paragraph" w:styleId="8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Balloon Text"/>
    <w:basedOn w:val="1"/>
    <w:qFormat/>
    <w:uiPriority w:val="0"/>
    <w:rPr>
      <w:sz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Body Text First Indent 2"/>
    <w:basedOn w:val="8"/>
    <w:qFormat/>
    <w:uiPriority w:val="0"/>
    <w:pPr>
      <w:ind w:left="0" w:leftChars="0" w:firstLine="0" w:firstLineChars="0"/>
    </w:p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footnote text"/>
    <w:basedOn w:val="1"/>
    <w:qFormat/>
    <w:uiPriority w:val="0"/>
    <w:pPr>
      <w:wordWrap w:val="0"/>
      <w:snapToGrid w:val="0"/>
      <w:spacing w:line="240" w:lineRule="auto"/>
      <w:ind w:firstLine="0" w:firstLineChars="0"/>
      <w:jc w:val="left"/>
    </w:pPr>
    <w:rPr>
      <w:rFonts w:eastAsia="仿宋_GB2312" w:asciiTheme="minorAscii" w:hAnsiTheme="minorAscii"/>
      <w:sz w:val="21"/>
    </w:rPr>
  </w:style>
  <w:style w:type="paragraph" w:styleId="15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1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19">
    <w:name w:val="Strong"/>
    <w:basedOn w:val="18"/>
    <w:qFormat/>
    <w:uiPriority w:val="0"/>
    <w:rPr>
      <w:b/>
    </w:rPr>
  </w:style>
  <w:style w:type="character" w:customStyle="1" w:styleId="21">
    <w:name w:val="标题 1 Char"/>
    <w:link w:val="3"/>
    <w:qFormat/>
    <w:uiPriority w:val="0"/>
    <w:rPr>
      <w:rFonts w:hint="eastAsia" w:ascii="宋体" w:hAnsi="宋体" w:eastAsia="黑体" w:cs="宋体"/>
      <w:kern w:val="44"/>
      <w:sz w:val="32"/>
      <w:szCs w:val="48"/>
      <w:lang w:eastAsia="zh-CN" w:bidi="ar"/>
    </w:rPr>
  </w:style>
  <w:style w:type="character" w:customStyle="1" w:styleId="22">
    <w:name w:val="标题 2 字符"/>
    <w:basedOn w:val="18"/>
    <w:link w:val="4"/>
    <w:qFormat/>
    <w:uiPriority w:val="9"/>
    <w:rPr>
      <w:rFonts w:ascii="Arial" w:hAnsi="Arial" w:eastAsia="楷体_GB2312" w:cstheme="minorBidi"/>
      <w:bCs/>
      <w:sz w:val="32"/>
      <w:szCs w:val="32"/>
    </w:rPr>
  </w:style>
  <w:style w:type="character" w:customStyle="1" w:styleId="23">
    <w:name w:val="标题 3 字符"/>
    <w:basedOn w:val="18"/>
    <w:link w:val="5"/>
    <w:qFormat/>
    <w:uiPriority w:val="9"/>
    <w:rPr>
      <w:rFonts w:ascii="Times New Roman" w:hAnsi="Times New Roman" w:eastAsia="仿宋_GB2312" w:cstheme="min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6153</Words>
  <Characters>6231</Characters>
  <Lines>0</Lines>
  <Paragraphs>0</Paragraphs>
  <ScaleCrop>false</ScaleCrop>
  <LinksUpToDate>false</LinksUpToDate>
  <CharactersWithSpaces>6232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2023-09-12T07:05:00Z</dcterms:created>
  <dc:creator>86157</dc:creator>
  <cp:lastModifiedBy>姜鹏</cp:lastModifiedBy>
  <cp:lastPrinted>2025-04-18T09:14:00Z</cp:lastPrinted>
  <dcterms:modified xsi:type="dcterms:W3CDTF">2025-04-21T03:09:45Z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F182F0A1F45D4A8492FCE50A78DDBEC6_12</vt:lpwstr>
  </property>
  <property fmtid="{D5CDD505-2E9C-101B-9397-08002B2CF9AE}" pid="4" name="KSOTemplateDocerSaveRecord">
    <vt:lpwstr>eyJoZGlkIjoiOWVhNTI2MjkzZDQ1MzQ5YTg1MDI3YWY1ZTcyZTIyYjgiLCJ1c2VySWQiOiIyNjUxODcwNjUifQ==</vt:lpwstr>
  </property>
</Properties>
</file>