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55" w:leftChars="-95" w:right="0" w:rightChars="0" w:hanging="144" w:hangingChars="45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55" w:leftChars="-95" w:right="0" w:rightChars="0" w:hanging="144" w:hangingChars="45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" w:leftChars="-95" w:right="0" w:rightChars="0" w:hanging="198" w:hanging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昌平区加快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独角兽、专精特新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企业培育发展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支持办法（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2.0版本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征求意见稿》的起草说明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《昌平区加快独角兽、专精特新企业培育发展支持办法2.0》共七章二十条，包括支持范围和支持方式、支持措施、附则三大部分。相较2023年《支持办法》，本次重点修订条款如下：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 xml:space="preserve"> 支持对象。本办法适用于符合本区域功能定位的，无安全生产事故、无严重失信行为记录的独角兽企业、潜在独角兽企业、专精特新中小企业、国家专精特新 “小巨人”企业。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修改为：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本办法适用于依法登记注册，且无安全生产事故、无严重失信行为记录的企业。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二、第五条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对首次达到标准或登记注册、税务、统计关系整体迁入昌平区的潜在独角兽企业、独角兽企业，分别给予200 万元、400 万元的一次性资金支持。潜在独角兽企业经过培育成长，三年内被列入权威独角兽企业榜单的，给予一次性 200万元的资金支持。对连续三年列入权威独角兽企业榜单，且估值保持持续增长的独角兽企业，再给予一次性 300 万元奖励。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对首次获评或登记注册、税务、统计关系整体迁入昌平区的专精特新中小企业、国家专精特新“小巨人”企业，分别给予 10 万元、50 万元的一次性资金支持。专精特新中小企业经培育后认定为国家专精特新“小巨人”企业的，再给予 40 万元晋级差额补贴。对于实施《优质中小企业梯度培育管理暂行办法》前获评的专精特新中小企业、国家专精特新“小巨人”企业，经复核通过后，视为首次获评。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1"/>
          <w:sz w:val="32"/>
          <w:szCs w:val="32"/>
          <w:highlight w:val="none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对新认定的潜在独角兽企业、独角兽企业，分别给予 200 万元、400 万元的一次性资金支持。潜在独角兽企业经过培育成长，三年内被列入权威独角兽企业榜单的，给予一次性 200 万元的资金 支持。对连续三年列入权威独角兽企业榜单，且估值保持持续增长的独角兽企业，再给予一次性 300 万元奖励。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对新认定的专精特新中小企业、国家专精特新“小巨人”企业，分别给予 10 万元、50 万元的一次性资金支持。专精特新中小企业经培育后认定为国家专精特新“小巨人”企业的，再给予 40 万元晋级差额补贴。对于实施《优质中小企业梯度培育管理暂行办法》前获评的专精特新中小企业、国家专精特新“小巨人”企业，经复核通过后，视为首次获评。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三、第六条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对上年度研发投入达到1000万元（含）以上的独角</w:t>
      </w:r>
      <w:bookmarkEnd w:id="1"/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兽企业、潜在独角兽企业，按照企业研发投入增量的10%给予资 金支持，年度支持资金总额不超过200万元。对于上年度研发投入达到300万元（含）以上的专精特新企 业，按照企业研发投入增量的20%给予资金支持，年度支持资金总额不超过100万元。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 修改为：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三年研发费用连续增长且年均增长10%以上、上年度研发费用达到500万元（含）以上且增长率15%以上的独角兽企业、潜在独角兽企业、专精特新小巨人企业，按照企业上年度研发费用增量的10%给予资金支持，年度支持资金总额不超过200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四、原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对上一年度新培育、区外引入独角兽企业、潜在独角兽企业的区级及以上创新基地、创新创业载体，分别给予一次性 50 万元、30 万元的奖励支持。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对上一年度新培育、区外引入专精特新企业超过 10 家（含） 的市级及以上创新基地、创新创业载体，给予一次性 50 万元奖励支持，且每增加一家给予 5 万元的奖励支持。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26" w:firstLineChars="257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创新基地、创新创业载体</w:t>
      </w:r>
      <w:r>
        <w:rPr>
          <w:rFonts w:hint="eastAsia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对独角兽、潜在独角兽企业、专精特新企业培育、落地的条款。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五、原第十三条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支持独角兽企业、国家专精特新“小巨人”企业通过专业分工、服务外包、订单生产、产业联盟等形式，带动区内中小企业进入其产业链或供应链体系，对年度累计配套供给产品采购额在5000万元以上的企业，按新增采购额的1%给予资金支持，每家企业年度支持资金总额不超过2000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十二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支持独角兽企业、国家专精特新 “小巨人”企业 通过专业分工、服务外包、订单生产、产业联盟等形式，带动中小企业进入其产业链或供应链体系，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对年度累计配套供给产品采购额在 2000万元以上的企业，按新增采购额的5%给予资金支持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，每家企业年度支持资金总额不超过 2000 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六、原第十四条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支持独角兽企业、潜在独角兽企业、专精特新企业上市、挂牌，设立企业上市挂牌区级财政补贴资金。鼓励专精特新企业通过银行贷款方式进行融资，按照实际支付的贷款利息给予50%贴息补助（贷款利率高于LPR的，按照LPR计算贴息额），单个企业每年最高不超过50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cs="仿宋_GB2312"/>
          <w:b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第十三条</w:t>
      </w:r>
      <w:r>
        <w:rPr>
          <w:rFonts w:hint="eastAsia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聚合金融服务机构资源，为专精特新企业提供优质融资支持服务。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对专精特新企业中的小微企业通过银行贷款方式进行融资的，按照实际支付贷款利息的50%给予贴息（贷款利率高于LPR的，按照LPR计算贴息额）。每家企业每年最高支持金额不超过100万元。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七、原第十六条</w:t>
      </w:r>
      <w:r>
        <w:rPr>
          <w:rFonts w:hint="eastAsia" w:ascii="方正楷体_GB2312" w:hAnsi="方正楷体_GB2312" w:eastAsia="方正楷体_GB2312" w:cs="方正楷体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保障企业发展空间需求。通过弹性出让、先租后让、租买结合等方式，为独角兽企业、潜在独角兽企业、国家专精特新“小巨人”优先提供产业用地。对已落户或新引进的独角兽企业、潜在独角兽企业，按照不超过 2 元/平方米/天的标准给予租金补贴，自入驻当年起连续补贴三年。独角兽企业年度租金支持总额不超过 300 万元，潜在独角兽年度租金支持总额不超过200万元。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保障企业发展空间需求。通过弹性出让、先租后让、租买结合等方式，为独角兽企业、潜在独角兽企业、国家专精特新“小巨人”优先提供产业用地。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对独角兽企业、潜在独角兽企业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，按照不超过 2 元/平方米/天的标准给予租金补贴，自入驻当年起连续补贴三年。独角兽企业年度租金支持总额不超过 300 万元，潜在独角兽年度租金支持总额不超过200 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八、原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一条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本办法由区科学技术委员会、区经济和信息化局负责解释，自发布之日起实施，试行期限 3 年。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19" w:firstLineChars="200"/>
        <w:jc w:val="both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 xml:space="preserve">第二十条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本办法由区科学技术委员会、 区经济和信息化局负责解释，自发布之日起实施，试行期限 3 年。</w:t>
      </w:r>
      <w:bookmarkStart w:id="0" w:name="OLE_LINK1"/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《昌平区加快独角兽、专精特新企业培育发展支持办法》</w:t>
      </w:r>
      <w:bookmarkEnd w:id="0"/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（昌科发〔2023〕4号）同时终止。实施期间如遇国家及市级相关政策变动，将作相应调整。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0C6BD3-52A9-45AF-A1AE-D70D098870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A52313B-0A97-4B56-9D06-0BF835AABF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89D571-2855-468C-B0B7-74108D951F18}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4" w:fontKey="{6986E02D-8293-4448-B5B6-C6BDA8344C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CAA1F8D-4255-4B87-8B27-3625EE035D3E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6A66B03B-FAEB-4248-8A67-6E4B900127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ACFB3B5-2D75-4B99-9029-A74301A3C0BD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8" w:fontKey="{05D897CB-2D74-49CE-8119-F4B69B9660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79F0C5C"/>
    <w:rsid w:val="047854BC"/>
    <w:rsid w:val="079F0C5C"/>
    <w:rsid w:val="08F82FA4"/>
    <w:rsid w:val="0EB94E22"/>
    <w:rsid w:val="102872E2"/>
    <w:rsid w:val="116E6C6C"/>
    <w:rsid w:val="141F7C27"/>
    <w:rsid w:val="1DFC1955"/>
    <w:rsid w:val="20B30698"/>
    <w:rsid w:val="27C006BA"/>
    <w:rsid w:val="294A10CA"/>
    <w:rsid w:val="383C5BD0"/>
    <w:rsid w:val="404A234B"/>
    <w:rsid w:val="43BB52AD"/>
    <w:rsid w:val="45070D6F"/>
    <w:rsid w:val="47513B8F"/>
    <w:rsid w:val="47625BEF"/>
    <w:rsid w:val="55527113"/>
    <w:rsid w:val="753C2362"/>
    <w:rsid w:val="7CAD7A1E"/>
    <w:rsid w:val="7FA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2"/>
    <w:qFormat/>
    <w:uiPriority w:val="0"/>
    <w:pPr>
      <w:suppressAutoHyphens/>
      <w:spacing w:line="460" w:lineRule="exact"/>
      <w:ind w:left="1285" w:hanging="1285"/>
    </w:pPr>
    <w:rPr>
      <w:rFonts w:ascii="仿宋_GB2312" w:hAnsi="仿宋_GB2312" w:eastAsia="仿宋_GB2312"/>
      <w:b/>
      <w:bCs/>
      <w:kern w:val="1"/>
      <w:sz w:val="32"/>
      <w:lang w:eastAsia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7"/>
    <w:qFormat/>
    <w:uiPriority w:val="0"/>
    <w:pPr>
      <w:spacing w:line="375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1834</Words>
  <Characters>1884</Characters>
  <Lines>0</Lines>
  <Paragraphs>0</Paragraphs>
  <TotalTime>6</TotalTime>
  <ScaleCrop>false</ScaleCrop>
  <LinksUpToDate>false</LinksUpToDate>
  <CharactersWithSpaces>1989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2025-01-27T02:20:00Z</dcterms:created>
  <dc:creator>菲儿</dc:creator>
  <cp:lastModifiedBy>小野猫JANE</cp:lastModifiedBy>
  <cp:lastPrinted>2025-02-26T05:46:00Z</cp:lastPrinted>
  <dcterms:modified xsi:type="dcterms:W3CDTF">2025-04-21T03:15:36Z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A7681294F7F64C2AAE9D24D2C52E4041_13</vt:lpwstr>
  </property>
</Properties>
</file>