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5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北京市昌平区支持美丽健康产业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高质量发展若干措施</w:t>
      </w:r>
    </w:p>
    <w:p>
      <w:pPr>
        <w:pStyle w:val="2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修订稿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）</w:t>
      </w:r>
    </w:p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为深入</w:t>
      </w:r>
      <w:bookmarkStart w:id="0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贯彻</w:t>
      </w:r>
      <w:bookmarkStart w:id="1" w:name="OLE_LINK30"/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20"/>
          <w:highlight w:val="none"/>
          <w:lang w:val="en-US" w:eastAsia="zh-CN" w:bidi="ar"/>
        </w:rPr>
        <w:t>《中华人民共和国国民经济和社会发展第十四个五年规划和2035年远景目标纲要》</w:t>
      </w:r>
      <w:bookmarkEnd w:id="1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bookmarkStart w:id="2" w:name="OLE_LINK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北京市国民经济和社会发展第十四个五年规划和二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三五年远景目标纲要</w:t>
      </w:r>
      <w:bookmarkEnd w:id="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》，</w:t>
      </w:r>
      <w:bookmarkEnd w:id="0"/>
      <w:bookmarkStart w:id="3" w:name="OLE_LINK5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充分发挥未来科学城作为北京国际科技创新中心主平台优势，大力发展美丽健康产业，培育经济发展新动能，将昌平区建设成为具有国际影响力的美丽健康产业高地，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特制定本措施。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第一条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支持产业生态构建。完善研发设计、数字智造、检验检测、展示体验、平台交易等美丽健康产业链条，重点支持化妆品新原料研发、配方及工艺开发、技术创新、工业设计、检测检验、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标准制定、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美妆新零售、美妆文化、时尚创意等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鼓励企业持续发展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，做强做长美丽健康产业链条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第二条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支持技术创新突破。鼓励企业加强技术创新，对科技创新力强、成长性好、附加值高的美丽健康企业，优先纳入昌平区高精尖产业项目库。支持企业加强化妆品新原料、创新医疗器械等的研发，对企业的研发投入给予补贴支持。鼓励创办美丽健康产业新型研发机构，对新认定的美丽健康产业领域的国家级和市级技术创新中心、工程研究中心、企业技术中心、重点实验室给予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第三条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支持专业化平台发展。支持在昌创新主体建设第三方检验检测机构以及中试服务平台、合同定制研发生产服务机构、代工生产服务平台、医疗器械工程化平台等符合国际标准的专业研发生产服务平台，根据服务产业发展情况，对平台设备购置、房屋租赁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装修改造、信息系统建设等实际支出费用给予补贴支持。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第四条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支持创业孵化和成果转化。支持美丽健康领域专业化众创空间、孵化器和加速器建设，根据孵化企业情况，对其</w:t>
      </w:r>
      <w:r>
        <w:rPr>
          <w:rFonts w:hint="eastAsia" w:ascii="仿宋_GB2312" w:hAnsi="华文仿宋" w:eastAsia="仿宋_GB2312" w:cs="Times New Roman"/>
          <w:color w:val="auto"/>
          <w:sz w:val="32"/>
          <w:szCs w:val="32"/>
          <w:highlight w:val="none"/>
        </w:rPr>
        <w:t>房屋租赁</w:t>
      </w:r>
      <w:r>
        <w:rPr>
          <w:rFonts w:hint="eastAsia" w:ascii="仿宋_GB2312" w:hAnsi="华文仿宋" w:eastAsia="仿宋_GB2312" w:cs="Times New Roman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装修改造、设备购置等实际支出费用给予补贴支持，推动美丽健康领域科技成果落地转化和产业化。支持开展美丽健康产业领域创新创业大赛，美丽健康领域高层次人才设立的创新创业企业，优先纳入政府产业基金支持项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第五条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支持产业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融合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发展。支持美丽健康领域研发生产企业、与之关联的时尚创意、美妆文化、品牌策划等企业在昌平区集聚发展，符合条件的企业纳入昌平区高精尖产业项目库。支持美丽健康领域知名品牌在昌平区设立地区总部，按市级奖励资金给予配套支持。按照“一核、两园、四高地”产业规划布局，建设美丽健康产业科创“核心区”，布局小汤山美丽智造园区和小汤山美妆创新园区，打造京韵国妆首发地、京品孵化育成地、京艳创新策源地、京彩智造主阵地，形成美丽健康全产业链的空间布局和融合发展态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第六条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支持人才培养和引进。支持企业引进研发设计、美妆文化、品牌策划等领域高端人才，给予人才落户、住房保障、子女入学、医疗服务、工作居住证等政策支持。支持企业在高校、中等职业学校（含技工学校）等建立人才培育创新基地。探索建立化妆品行业技术人员职称评定和晋升通道，探索创新化妆师等级评定标准，鼓励开展美妆技能大赛，健全美丽健康人才梯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第七条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支持数字新业态新模式新消费发展。推动美丽健康产业与数字经济深度融合，支持企业利用5G、大数据、人工智能、物联网、区块链、VR等先进信息技术进行原料筛选、配方合成、肤质检测、追踪溯源、产品定制。支持一批平台型数字化服务旗舰企业做大做强，加速释放数字经济新活力。加强美丽健康产业特色消费供给，支持设立专项消费券，加强化妆品产业与文化、旅游、艺术、娱乐等产业融合发展，创新化妆品营销模式和商业业态，带动行业转型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第八条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支持产业空间供给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。落实北京市高精尖产业用地政策，对美丽健康企业产业用地、办公用房等需求给予重点倾斜。在</w:t>
      </w:r>
      <w:bookmarkStart w:id="4" w:name="OLE_LINK1"/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产业化能力提升</w:t>
      </w:r>
      <w:bookmarkEnd w:id="4"/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及相关配套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方面给予支持。加强产业规划与土地空间规划协同联动，聚焦“一核、两园、四高地”，积极引导美丽健康领域企业和项目集中布局，打造北京美丽健康产业创新示范基地。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华文仿宋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第九条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  <w:lang w:val="en-US" w:eastAsia="zh-CN"/>
        </w:rPr>
        <w:t>支持社会资本参与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。引导市场化、社会化多元资本支持美丽健康产业创新发展，鼓励各类股权投资机构、私募股权投资基金和创业投资基金投资昌平区美丽健康企业，对推动创业企业在昌平落地发展且创业企业后期成功上市的，给予投资机构奖励支持。鼓励美丽健康企业开展融资业务，助力潜力企业做大做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 xml:space="preserve">第十条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color w:val="auto"/>
          <w:sz w:val="32"/>
          <w:szCs w:val="32"/>
          <w:highlight w:val="none"/>
        </w:rPr>
        <w:t>支持制度创新先行先试。建立市区两级联动推进机制，充分利用“两区”政策，支持昌平区化妆品企业围绕全球贸易、数字经济等领域开展先行先试，享受产业准入更加开放、数据流动更加安全有序、资金进出更加便利、人才支持幅度更大、营商环境更优的政策服务措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C7360"/>
    <w:rsid w:val="2E7C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2025-04-09T01:44:00Z</dcterms:created>
  <dc:creator>孙笑宇</dc:creator>
  <cp:lastModifiedBy>孙笑宇</cp:lastModifiedBy>
  <dcterms:modified xsi:type="dcterms:W3CDTF">2025-04-09T01:45:35Z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