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0C53">
      <w:pPr>
        <w:pStyle w:val="1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3009C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《昌平区招商引资中介服务机构奖励办法</w:t>
      </w:r>
    </w:p>
    <w:p w14:paraId="4DFCB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（试行）》（征求意见稿）起草说明</w:t>
      </w:r>
    </w:p>
    <w:p w14:paraId="0E8D0B61"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 w14:paraId="15864997">
      <w:pPr>
        <w:pStyle w:val="10"/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napToGrid w:val="0"/>
        <w:spacing w:line="580" w:lineRule="exact"/>
        <w:ind w:left="0" w:leftChars="0" w:firstLine="640" w:firstLineChars="200"/>
        <w:jc w:val="left"/>
        <w:textAlignment w:val="auto"/>
        <w:rPr>
          <w:rFonts w:hint="eastAsia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highlight w:val="none"/>
          <w:lang w:val="en-US" w:eastAsia="zh-CN"/>
        </w:rPr>
        <w:t>《奖励办法》修订版共四章十一条，包括总则、条件和标准、申请和兑现、附则四大部分。相较原《奖励办法》，本次重点修订条款如下：</w:t>
      </w:r>
    </w:p>
    <w:p w14:paraId="2AE6AD8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（一）调整第四条“区域综合贡献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”为“促进区域高质量发展奖励类”。</w:t>
      </w:r>
      <w:bookmarkStart w:id="0" w:name="OLE_LINK1"/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拟调整</w:t>
      </w:r>
      <w:bookmarkEnd w:id="0"/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条款为：引进项目依法登记注册之日起三个自然年度内，中介服务机构可申请奖励。奖励总额不超过1500万元。</w:t>
      </w:r>
    </w:p>
    <w:p w14:paraId="015680B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调整第四条“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引进标签企业类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”条款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减少针对上市公司类标签奖励。依据中华人民共和国国务院令第798号《国务院关于规范中介机构为公司公开发行股票提供服务的规定》，本条减少以公司上市为条件的标签奖励，对于确实引进上市公司的中介机构可以按照“一事一议”路径进行奖励。</w:t>
      </w:r>
    </w:p>
    <w:p w14:paraId="3245299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调整第六条“中介服务机构奖励兑现”条款。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拟将条款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为：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中介服务机构按要求向区投促中心提交奖励申请材料。区投促中心完成初审后，联合区发展改革委、区财政局</w:t>
      </w:r>
      <w:r>
        <w:rPr>
          <w:rFonts w:hint="default" w:ascii="仿宋_GB2312" w:hAnsi="黑体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  <w:t>区税务局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、区市场监管局、区商务局等职能部门</w:t>
      </w:r>
      <w:r>
        <w:rPr>
          <w:rFonts w:hint="eastAsia" w:ascii="仿宋_GB2312" w:hAnsi="黑体" w:eastAsia="仿宋_GB2312" w:cs="Times New Roman"/>
          <w:i w:val="0"/>
          <w:caps w:val="0"/>
          <w:spacing w:val="0"/>
          <w:kern w:val="2"/>
          <w:sz w:val="32"/>
          <w:szCs w:val="32"/>
          <w:highlight w:val="none"/>
        </w:rPr>
        <w:t>进行综合核定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黑体" w:eastAsia="仿宋_GB2312" w:cs="Times New Roman"/>
          <w:i w:val="0"/>
          <w:caps w:val="0"/>
          <w:spacing w:val="0"/>
          <w:kern w:val="2"/>
          <w:sz w:val="32"/>
          <w:szCs w:val="32"/>
          <w:highlight w:val="none"/>
        </w:rPr>
        <w:t>核定结果报送至区政府进行审核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。区投促中心负责兑现中介服务机构奖励资金。奖励资金纳入区级财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政预算。</w:t>
      </w:r>
    </w:p>
    <w:p w14:paraId="60C34A58">
      <w:pPr>
        <w:spacing w:line="560" w:lineRule="exact"/>
        <w:ind w:left="0" w:leftChars="0" w:firstLine="142" w:firstLineChars="68"/>
        <w:jc w:val="both"/>
        <w:rPr>
          <w:rFonts w:hint="default"/>
          <w:highlight w:val="none"/>
          <w:lang w:val="en-US" w:eastAsia="zh-CN"/>
        </w:rPr>
      </w:pPr>
    </w:p>
    <w:bookmarkEnd w:id="1"/>
    <w:sectPr>
      <w:headerReference r:id="rId3" w:type="default"/>
      <w:footerReference r:id="rId4" w:type="default"/>
      <w:pgSz w:w="11905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_GB2312">
    <w:altName w:val="Arial"/>
    <w:panose1 w:val="020B06040200000202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A4165">
    <w:pPr>
      <w:pStyle w:val="14"/>
      <w:wordWrap w:val="0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-408940</wp:posOffset>
              </wp:positionV>
              <wp:extent cx="809625" cy="349885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3498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156335"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32.2pt;height:27.55pt;width:63.75pt;mso-position-horizontal:outside;mso-position-horizontal-relative:margin;z-index:251659264;mso-width-relative:page;mso-height-relative:page;" filled="f" stroked="f" coordsize="21600,21600" o:gfxdata="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uXcn2QAAAAcBAAAPAAAAAAAAAAEAIAAAACIAAABkcnMvZG93bnJldi54bWxQ&#10;SwECFAAUAAAACACHTuJAMIKncL0BAABt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156335">
                    <w:pPr>
                      <w:pStyle w:val="1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6510"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0000000"/>
    <w:rsid w:val="001E2374"/>
    <w:rsid w:val="04D27E5D"/>
    <w:rsid w:val="06F97D14"/>
    <w:rsid w:val="0E2941FE"/>
    <w:rsid w:val="0E7A0E53"/>
    <w:rsid w:val="0EEF2351"/>
    <w:rsid w:val="102A63A4"/>
    <w:rsid w:val="17127C22"/>
    <w:rsid w:val="1AEB07F9"/>
    <w:rsid w:val="1D3B493B"/>
    <w:rsid w:val="1EAE182E"/>
    <w:rsid w:val="254725BE"/>
    <w:rsid w:val="286C3C9F"/>
    <w:rsid w:val="2A496D8C"/>
    <w:rsid w:val="2A927B9E"/>
    <w:rsid w:val="2D750D97"/>
    <w:rsid w:val="3A8A255D"/>
    <w:rsid w:val="40526E1B"/>
    <w:rsid w:val="44F534A0"/>
    <w:rsid w:val="45254C39"/>
    <w:rsid w:val="45AB3A82"/>
    <w:rsid w:val="487D7842"/>
    <w:rsid w:val="4958773D"/>
    <w:rsid w:val="4BB35209"/>
    <w:rsid w:val="53BE3E22"/>
    <w:rsid w:val="54595157"/>
    <w:rsid w:val="57B35D5C"/>
    <w:rsid w:val="57C70EC8"/>
    <w:rsid w:val="58364BCE"/>
    <w:rsid w:val="5F6F2E8E"/>
    <w:rsid w:val="62796F0B"/>
    <w:rsid w:val="63041204"/>
    <w:rsid w:val="6331257B"/>
    <w:rsid w:val="63DD10E7"/>
    <w:rsid w:val="65E50A3D"/>
    <w:rsid w:val="668A7F6B"/>
    <w:rsid w:val="68330F22"/>
    <w:rsid w:val="6A1E58B7"/>
    <w:rsid w:val="6D622942"/>
    <w:rsid w:val="72860821"/>
    <w:rsid w:val="758B6134"/>
    <w:rsid w:val="77847D5B"/>
    <w:rsid w:val="798E6FC3"/>
    <w:rsid w:val="7A46096D"/>
    <w:rsid w:val="7B5223F2"/>
    <w:rsid w:val="7DF0166D"/>
    <w:rsid w:val="7E902898"/>
    <w:rsid w:val="7EF6743C"/>
    <w:rsid w:val="7FC85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eastAsia="方正小标宋简体"/>
      <w:kern w:val="44"/>
      <w:sz w:val="44"/>
    </w:rPr>
  </w:style>
  <w:style w:type="paragraph" w:styleId="4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2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Calibri" w:eastAsia="Times New Roman" w:cs="??_GB2312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next w:val="8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8">
    <w:name w:val="Body Text Indent"/>
    <w:basedOn w:val="1"/>
    <w:next w:val="7"/>
    <w:qFormat/>
    <w:uiPriority w:val="0"/>
    <w:pPr>
      <w:spacing w:line="500" w:lineRule="exact"/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next w:val="11"/>
    <w:link w:val="33"/>
    <w:qFormat/>
    <w:uiPriority w:val="0"/>
    <w:pPr>
      <w:wordWrap w:val="0"/>
      <w:jc w:val="right"/>
    </w:pPr>
    <w:rPr>
      <w:rFonts w:ascii="仿宋_GB2312" w:hAnsi="Times New Roman" w:eastAsia="仿宋_GB2312" w:cs="Times New Roman"/>
      <w:sz w:val="32"/>
    </w:rPr>
  </w:style>
  <w:style w:type="paragraph" w:customStyle="1" w:styleId="1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4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Body Text 2"/>
    <w:basedOn w:val="1"/>
    <w:qFormat/>
    <w:uiPriority w:val="0"/>
    <w:pPr>
      <w:jc w:val="center"/>
    </w:pPr>
    <w:rPr>
      <w:rFonts w:ascii="Times New Roman" w:hAnsi="Times New Roman" w:eastAsia="仿宋_GB2312" w:cs="Times New Roman"/>
      <w:b/>
      <w:bCs/>
      <w:color w:val="FF0000"/>
      <w:spacing w:val="-20"/>
      <w:sz w:val="84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9">
    <w:name w:val="Table Grid"/>
    <w:basedOn w:val="1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  <w:rPr>
      <w:rFonts w:cs="Times New Roman"/>
    </w:rPr>
  </w:style>
  <w:style w:type="character" w:styleId="22">
    <w:name w:val="FollowedHyperlink"/>
    <w:qFormat/>
    <w:uiPriority w:val="0"/>
    <w:rPr>
      <w:rFonts w:hint="default" w:ascii="Verdana" w:hAnsi="Verdana" w:eastAsia="宋体" w:cs="Verdana"/>
      <w:color w:val="333333"/>
      <w:sz w:val="18"/>
      <w:szCs w:val="18"/>
      <w:u w:val="none"/>
    </w:rPr>
  </w:style>
  <w:style w:type="character" w:styleId="23">
    <w:name w:val="Hyperlink"/>
    <w:qFormat/>
    <w:uiPriority w:val="0"/>
    <w:rPr>
      <w:rFonts w:ascii="Verdana" w:hAnsi="Verdana" w:eastAsia="宋体" w:cs="Verdana"/>
      <w:color w:val="333333"/>
      <w:sz w:val="18"/>
      <w:szCs w:val="18"/>
      <w:u w:val="none"/>
    </w:rPr>
  </w:style>
  <w:style w:type="paragraph" w:customStyle="1" w:styleId="24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Times New Roman" w:hAnsi="Times New Roman" w:eastAsia="宋体" w:cs="Times New Roman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26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日期 字符"/>
    <w:link w:val="13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9">
    <w:name w:val="标题 2 字符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0">
    <w:name w:val="标题 6 字符"/>
    <w:link w:val="6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31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页脚 字符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正文文本 Char"/>
    <w:link w:val="10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471</Words>
  <Characters>476</Characters>
  <Paragraphs>734</Paragraphs>
  <TotalTime>3</TotalTime>
  <ScaleCrop>false</ScaleCrop>
  <LinksUpToDate>false</LinksUpToDate>
  <CharactersWithSpaces>479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2022-11-18T07:45:00Z</dcterms:created>
  <dc:creator>200</dc:creator>
  <cp:lastModifiedBy>孙彤</cp:lastModifiedBy>
  <cp:lastPrinted>2023-11-06T02:45:00Z</cp:lastPrinted>
  <dcterms:modified xsi:type="dcterms:W3CDTF">2025-04-03T02:15:14Z</dcterms:modified>
  <dc:title>昌平区投资服务中心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5F7527F69CD0477C87BDF3DC3301B2F3_13</vt:lpwstr>
  </property>
</Properties>
</file>