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right="0"/>
        <w:jc w:val="both"/>
        <w:textAlignment w:val="auto"/>
        <w:outlineLvl w:val="0"/>
        <w:rPr>
          <w:rFonts w:hint="eastAsia" w:ascii="方正小标宋简体" w:eastAsia="方正小标宋简体"/>
          <w:sz w:val="44"/>
          <w:szCs w:val="44"/>
          <w:highlight w:val="none"/>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right="0"/>
        <w:jc w:val="center"/>
        <w:textAlignment w:val="auto"/>
        <w:outlineLvl w:val="0"/>
        <w:rPr>
          <w:rFonts w:hint="eastAsia" w:ascii="方正小标宋简体" w:eastAsia="方正小标宋简体"/>
          <w:sz w:val="44"/>
          <w:szCs w:val="44"/>
          <w:highlight w:val="none"/>
          <w:lang w:eastAsia="zh-CN"/>
        </w:rPr>
      </w:pPr>
      <w:r>
        <w:rPr>
          <w:rFonts w:hint="eastAsia" w:ascii="方正小标宋简体" w:eastAsia="方正小标宋简体"/>
          <w:sz w:val="44"/>
          <w:szCs w:val="44"/>
          <w:highlight w:val="none"/>
          <w:lang w:eastAsia="zh-CN"/>
        </w:rPr>
        <w:t>昌平区招商引资中介服务机构奖励办法</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right="0"/>
        <w:jc w:val="center"/>
        <w:textAlignment w:val="auto"/>
        <w:outlineLvl w:val="0"/>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（征求意见稿）</w:t>
      </w:r>
    </w:p>
    <w:p>
      <w:pPr>
        <w:pStyle w:val="7"/>
        <w:ind w:left="0" w:firstLine="0"/>
        <w:rPr>
          <w:rFonts w:hint="eastAsia"/>
          <w:lang w:val="en-US" w:eastAsia="zh-CN"/>
        </w:rPr>
      </w:pPr>
    </w:p>
    <w:p>
      <w:pPr>
        <w:pStyle w:val="4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0"/>
        <w:rPr>
          <w:rFonts w:hint="eastAsia" w:ascii="黑体" w:hAnsi="黑体" w:eastAsia="黑体" w:cs="黑体"/>
          <w:sz w:val="32"/>
          <w:szCs w:val="32"/>
          <w:highlight w:val="none"/>
        </w:rPr>
      </w:pPr>
      <w:r>
        <w:rPr>
          <w:rFonts w:hint="eastAsia" w:ascii="黑体" w:hAnsi="黑体" w:eastAsia="黑体" w:cs="黑体"/>
          <w:sz w:val="32"/>
          <w:szCs w:val="32"/>
          <w:highlight w:val="none"/>
        </w:rPr>
        <w:t>第一</w:t>
      </w:r>
      <w:r>
        <w:rPr>
          <w:rFonts w:hint="eastAsia" w:ascii="黑体" w:hAnsi="黑体" w:eastAsia="黑体" w:cs="黑体"/>
          <w:sz w:val="32"/>
          <w:szCs w:val="32"/>
          <w:highlight w:val="none"/>
          <w:lang w:eastAsia="zh-CN"/>
        </w:rPr>
        <w:t xml:space="preserve">章   </w:t>
      </w:r>
      <w:r>
        <w:rPr>
          <w:rFonts w:hint="eastAsia" w:ascii="黑体" w:hAnsi="黑体" w:eastAsia="黑体" w:cs="黑体"/>
          <w:sz w:val="32"/>
          <w:szCs w:val="32"/>
          <w:highlight w:val="none"/>
        </w:rPr>
        <w:t>总则</w:t>
      </w:r>
    </w:p>
    <w:p>
      <w:pPr>
        <w:pStyle w:val="4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黑体" w:hAnsi="黑体" w:eastAsia="黑体" w:cs="黑体"/>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ascii="仿宋_GB2312" w:hAnsi="黑体" w:eastAsia="仿宋_GB2312"/>
          <w:sz w:val="32"/>
          <w:szCs w:val="32"/>
          <w:highlight w:val="none"/>
        </w:rPr>
      </w:pPr>
      <w:r>
        <w:rPr>
          <w:rFonts w:hint="eastAsia" w:ascii="黑体" w:hAnsi="黑体" w:eastAsia="黑体" w:cs="黑体"/>
          <w:b w:val="0"/>
          <w:bCs/>
          <w:sz w:val="32"/>
          <w:szCs w:val="32"/>
          <w:highlight w:val="none"/>
        </w:rPr>
        <w:t>第一</w:t>
      </w:r>
      <w:r>
        <w:rPr>
          <w:rFonts w:hint="eastAsia" w:ascii="黑体" w:hAnsi="黑体" w:eastAsia="黑体" w:cs="黑体"/>
          <w:b w:val="0"/>
          <w:bCs/>
          <w:sz w:val="32"/>
          <w:szCs w:val="32"/>
          <w:highlight w:val="none"/>
          <w:lang w:eastAsia="zh-CN"/>
        </w:rPr>
        <w:t>条</w:t>
      </w:r>
      <w:r>
        <w:rPr>
          <w:rFonts w:hint="eastAsia" w:ascii="黑体" w:hAnsi="黑体" w:eastAsia="黑体" w:cs="黑体"/>
          <w:b w:val="0"/>
          <w:bCs/>
          <w:sz w:val="32"/>
          <w:szCs w:val="32"/>
          <w:highlight w:val="none"/>
          <w:lang w:val="en-US" w:eastAsia="zh-CN"/>
        </w:rPr>
        <w:t xml:space="preserve">  </w:t>
      </w:r>
      <w:r>
        <w:rPr>
          <w:rFonts w:hint="eastAsia" w:ascii="仿宋_GB2312" w:hAnsi="仿宋_GB2312" w:eastAsia="仿宋_GB2312" w:cs="仿宋_GB2312"/>
          <w:bCs/>
          <w:sz w:val="32"/>
          <w:szCs w:val="32"/>
          <w:highlight w:val="none"/>
          <w:lang w:val="en-US" w:eastAsia="zh-CN"/>
        </w:rPr>
        <w:t>为充分调动社会中介服务机构参与昌平区经济建设积极性，进一步提升招商引资的质量和水平，统筹用好国际国内资源，加快推进“两区”建设，依据</w:t>
      </w:r>
      <w:r>
        <w:rPr>
          <w:rFonts w:hint="eastAsia" w:ascii="仿宋_GB2312" w:hAnsi="仿宋_GB2312" w:eastAsia="仿宋_GB2312" w:cs="仿宋_GB2312"/>
          <w:sz w:val="32"/>
          <w:szCs w:val="32"/>
          <w:highlight w:val="none"/>
          <w:lang w:val="en-US" w:eastAsia="zh-CN"/>
        </w:rPr>
        <w:t>《深化北京市新一轮服务业扩大开放综合试点建设国家服务业扩大开放综合示范区工作方案》《关于进一步加强投资促进工作推动经济高质量发展的若干意见》和《昌平区关于加快国际科技创新中心主平台建设促进高精尖产业发展意见》，</w:t>
      </w:r>
      <w:r>
        <w:rPr>
          <w:rFonts w:hint="eastAsia" w:ascii="仿宋_GB2312" w:hAnsi="仿宋_GB2312" w:eastAsia="仿宋_GB2312" w:cs="仿宋_GB2312"/>
          <w:bCs/>
          <w:sz w:val="32"/>
          <w:szCs w:val="32"/>
          <w:highlight w:val="none"/>
          <w:lang w:val="en-US" w:eastAsia="zh-CN"/>
        </w:rPr>
        <w:t>制定本办法。</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highlight w:val="none"/>
          <w:lang w:val="en-US" w:eastAsia="zh-CN"/>
        </w:rPr>
      </w:pPr>
      <w:r>
        <w:rPr>
          <w:rFonts w:hint="eastAsia" w:ascii="黑体" w:hAnsi="黑体" w:eastAsia="黑体" w:cs="黑体"/>
          <w:b w:val="0"/>
          <w:bCs/>
          <w:sz w:val="32"/>
          <w:szCs w:val="32"/>
          <w:highlight w:val="none"/>
        </w:rPr>
        <w:t>第二</w:t>
      </w:r>
      <w:r>
        <w:rPr>
          <w:rFonts w:hint="eastAsia" w:ascii="黑体" w:hAnsi="黑体" w:eastAsia="黑体" w:cs="黑体"/>
          <w:b w:val="0"/>
          <w:bCs/>
          <w:sz w:val="32"/>
          <w:szCs w:val="32"/>
          <w:highlight w:val="none"/>
          <w:lang w:eastAsia="zh-CN"/>
        </w:rPr>
        <w:t>条</w:t>
      </w:r>
      <w:r>
        <w:rPr>
          <w:rFonts w:hint="eastAsia" w:ascii="黑体" w:hAnsi="黑体" w:eastAsia="黑体" w:cs="黑体"/>
          <w:b w:val="0"/>
          <w:bCs/>
          <w:sz w:val="32"/>
          <w:szCs w:val="32"/>
          <w:highlight w:val="none"/>
          <w:lang w:val="en-US" w:eastAsia="zh-CN"/>
        </w:rPr>
        <w:t xml:space="preserve">  </w:t>
      </w:r>
      <w:r>
        <w:rPr>
          <w:rFonts w:hint="eastAsia" w:ascii="仿宋_GB2312" w:hAnsi="仿宋_GB2312" w:eastAsia="仿宋_GB2312" w:cs="仿宋_GB2312"/>
          <w:bCs/>
          <w:sz w:val="32"/>
          <w:szCs w:val="32"/>
          <w:highlight w:val="none"/>
          <w:lang w:val="en-US" w:eastAsia="zh-CN"/>
        </w:rPr>
        <w:t>本办法奖励对象为在招商引资过程中提供项目信息和洽谈服务，促成项目（或企业）在昌平区落地过程中发挥重要作用的中介服务机构。包括但不限于具备境内外企业投资信息资源或社会资源，可为投资项目提供咨询、选址地考察评估、政策分析研判等服务的国内外商协会、招商代理公司、投资咨询公司、基金公司、律师事务所、会计师事务所等各类机构或经济组织。行政机关、事业单位、自然人除外。</w:t>
      </w:r>
    </w:p>
    <w:p>
      <w:pPr>
        <w:pStyle w:val="6"/>
        <w:keepNext w:val="0"/>
        <w:keepLines w:val="0"/>
        <w:pageBreakBefore w:val="0"/>
        <w:widowControl w:val="0"/>
        <w:tabs>
          <w:tab w:val="left" w:pos="4830"/>
        </w:tabs>
        <w:kinsoku/>
        <w:wordWrap/>
        <w:overflowPunct/>
        <w:topLinePunct w:val="0"/>
        <w:autoSpaceDE/>
        <w:autoSpaceDN/>
        <w:bidi w:val="0"/>
        <w:spacing w:line="560" w:lineRule="exact"/>
        <w:jc w:val="center"/>
        <w:textAlignment w:val="auto"/>
        <w:rPr>
          <w:rFonts w:hint="eastAsia" w:ascii="黑体" w:hAnsi="黑体" w:eastAsia="黑体" w:cs="黑体"/>
          <w:sz w:val="32"/>
          <w:szCs w:val="32"/>
          <w:highlight w:val="none"/>
          <w:lang w:val="en-US" w:eastAsia="zh-CN"/>
        </w:rPr>
      </w:pPr>
    </w:p>
    <w:p>
      <w:pPr>
        <w:pStyle w:val="4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第二章   条件和标准</w:t>
      </w:r>
    </w:p>
    <w:p>
      <w:pPr>
        <w:pStyle w:val="4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0"/>
        <w:rPr>
          <w:rFonts w:hint="eastAsia" w:ascii="黑体" w:hAnsi="黑体" w:eastAsia="黑体" w:cs="黑体"/>
          <w:sz w:val="32"/>
          <w:szCs w:val="32"/>
          <w:highlight w:val="none"/>
          <w:lang w:val="en-US" w:eastAsia="zh-CN"/>
        </w:rPr>
      </w:pPr>
    </w:p>
    <w:p>
      <w:pPr>
        <w:pStyle w:val="6"/>
        <w:keepNext w:val="0"/>
        <w:keepLines w:val="0"/>
        <w:pageBreakBefore w:val="0"/>
        <w:widowControl w:val="0"/>
        <w:tabs>
          <w:tab w:val="left" w:pos="189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黑体" w:eastAsia="仿宋_GB2312"/>
          <w:sz w:val="32"/>
          <w:szCs w:val="32"/>
          <w:highlight w:val="none"/>
          <w:lang w:val="en-US" w:eastAsia="zh-CN"/>
        </w:rPr>
      </w:pPr>
      <w:r>
        <w:rPr>
          <w:rFonts w:hint="eastAsia" w:ascii="黑体" w:hAnsi="黑体" w:eastAsia="黑体" w:cs="黑体"/>
          <w:sz w:val="32"/>
          <w:szCs w:val="32"/>
          <w:highlight w:val="none"/>
          <w:lang w:val="en-US" w:eastAsia="zh-CN"/>
        </w:rPr>
        <w:t>第三条</w:t>
      </w:r>
      <w:r>
        <w:rPr>
          <w:rFonts w:hint="eastAsia" w:ascii="黑体" w:hAnsi="黑体" w:eastAsia="黑体" w:cs="黑体"/>
          <w:b w:val="0"/>
          <w:bCs/>
          <w:sz w:val="32"/>
          <w:szCs w:val="32"/>
          <w:highlight w:val="none"/>
          <w:lang w:val="en-US" w:eastAsia="zh-CN"/>
        </w:rPr>
        <w:t xml:space="preserve">  </w:t>
      </w:r>
      <w:r>
        <w:rPr>
          <w:rFonts w:hint="eastAsia" w:ascii="仿宋_GB2312" w:hAnsi="黑体" w:eastAsia="仿宋_GB2312" w:cs="Times New Roman"/>
          <w:i w:val="0"/>
          <w:caps w:val="0"/>
          <w:spacing w:val="0"/>
          <w:sz w:val="32"/>
          <w:szCs w:val="32"/>
          <w:highlight w:val="none"/>
        </w:rPr>
        <w:t>中介服务机构</w:t>
      </w:r>
      <w:r>
        <w:rPr>
          <w:rFonts w:hint="eastAsia" w:ascii="仿宋_GB2312" w:hAnsi="黑体" w:eastAsia="仿宋_GB2312" w:cs="Times New Roman"/>
          <w:i w:val="0"/>
          <w:caps w:val="0"/>
          <w:spacing w:val="0"/>
          <w:sz w:val="32"/>
          <w:szCs w:val="32"/>
          <w:highlight w:val="none"/>
          <w:lang w:eastAsia="zh-CN"/>
        </w:rPr>
        <w:t>引进</w:t>
      </w:r>
      <w:r>
        <w:rPr>
          <w:rFonts w:hint="eastAsia" w:ascii="仿宋_GB2312" w:hAnsi="黑体" w:eastAsia="仿宋_GB2312" w:cs="Times New Roman"/>
          <w:i w:val="0"/>
          <w:caps w:val="0"/>
          <w:spacing w:val="0"/>
          <w:sz w:val="32"/>
          <w:szCs w:val="32"/>
          <w:highlight w:val="none"/>
          <w:lang w:val="en-US" w:eastAsia="zh-CN"/>
        </w:rPr>
        <w:t>的</w:t>
      </w:r>
      <w:r>
        <w:rPr>
          <w:rFonts w:hint="eastAsia" w:ascii="仿宋_GB2312" w:hAnsi="黑体" w:eastAsia="仿宋_GB2312" w:cs="Times New Roman"/>
          <w:i w:val="0"/>
          <w:caps w:val="0"/>
          <w:spacing w:val="0"/>
          <w:sz w:val="32"/>
          <w:szCs w:val="32"/>
          <w:highlight w:val="none"/>
        </w:rPr>
        <w:t>招商项目（或企业），须满足以下条件：</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黑体" w:eastAsia="仿宋_GB2312"/>
          <w:sz w:val="32"/>
          <w:szCs w:val="32"/>
          <w:highlight w:val="none"/>
          <w:lang w:val="en-US" w:eastAsia="zh-CN"/>
        </w:rPr>
        <w:t>（一）</w:t>
      </w:r>
      <w:r>
        <w:rPr>
          <w:rFonts w:hint="eastAsia" w:ascii="仿宋_GB2312" w:hAnsi="黑体" w:eastAsia="仿宋_GB2312" w:cs="Times New Roman"/>
          <w:i w:val="0"/>
          <w:caps w:val="0"/>
          <w:spacing w:val="0"/>
          <w:sz w:val="32"/>
          <w:szCs w:val="32"/>
          <w:highlight w:val="none"/>
        </w:rPr>
        <w:t>所</w:t>
      </w:r>
      <w:r>
        <w:rPr>
          <w:rFonts w:hint="eastAsia" w:ascii="仿宋_GB2312" w:hAnsi="黑体" w:eastAsia="仿宋_GB2312" w:cs="Times New Roman"/>
          <w:i w:val="0"/>
          <w:caps w:val="0"/>
          <w:spacing w:val="0"/>
          <w:sz w:val="32"/>
          <w:szCs w:val="32"/>
          <w:highlight w:val="none"/>
          <w:lang w:eastAsia="zh-CN"/>
        </w:rPr>
        <w:t>引进</w:t>
      </w:r>
      <w:r>
        <w:rPr>
          <w:rFonts w:hint="eastAsia" w:ascii="仿宋_GB2312" w:hAnsi="黑体" w:eastAsia="仿宋_GB2312" w:cs="Times New Roman"/>
          <w:i w:val="0"/>
          <w:caps w:val="0"/>
          <w:spacing w:val="0"/>
          <w:sz w:val="32"/>
          <w:szCs w:val="32"/>
          <w:highlight w:val="none"/>
        </w:rPr>
        <w:t>的</w:t>
      </w:r>
      <w:r>
        <w:rPr>
          <w:rFonts w:hint="eastAsia" w:ascii="仿宋_GB2312" w:hAnsi="黑体" w:eastAsia="仿宋_GB2312"/>
          <w:sz w:val="32"/>
          <w:szCs w:val="32"/>
          <w:highlight w:val="none"/>
          <w:lang w:val="en-US" w:eastAsia="zh-CN"/>
        </w:rPr>
        <w:t>招商项目（或企业）符合国家、北京市及昌平区相关产业要求。鼓励引进北京市十大高精尖产业项目</w:t>
      </w:r>
      <w:r>
        <w:rPr>
          <w:rFonts w:hint="eastAsia" w:ascii="仿宋_GB2312" w:hAnsi="仿宋_GB2312" w:eastAsia="仿宋_GB2312" w:cs="仿宋_GB2312"/>
          <w:color w:val="000000"/>
          <w:sz w:val="32"/>
          <w:szCs w:val="32"/>
          <w:highlight w:val="none"/>
        </w:rPr>
        <w:t>以及符合首都城市功能定位的重大产业项目。</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（二）</w:t>
      </w:r>
      <w:r>
        <w:rPr>
          <w:rFonts w:hint="eastAsia" w:ascii="仿宋_GB2312" w:hAnsi="黑体" w:eastAsia="仿宋_GB2312" w:cs="Times New Roman"/>
          <w:i w:val="0"/>
          <w:caps w:val="0"/>
          <w:spacing w:val="0"/>
          <w:sz w:val="32"/>
          <w:szCs w:val="32"/>
          <w:highlight w:val="none"/>
        </w:rPr>
        <w:t>所</w:t>
      </w:r>
      <w:r>
        <w:rPr>
          <w:rFonts w:hint="eastAsia" w:ascii="仿宋_GB2312" w:hAnsi="黑体" w:eastAsia="仿宋_GB2312" w:cs="Times New Roman"/>
          <w:i w:val="0"/>
          <w:caps w:val="0"/>
          <w:spacing w:val="0"/>
          <w:sz w:val="32"/>
          <w:szCs w:val="32"/>
          <w:highlight w:val="none"/>
          <w:lang w:eastAsia="zh-CN"/>
        </w:rPr>
        <w:t>引进</w:t>
      </w:r>
      <w:r>
        <w:rPr>
          <w:rFonts w:hint="eastAsia" w:ascii="仿宋_GB2312" w:hAnsi="黑体" w:eastAsia="仿宋_GB2312" w:cs="Times New Roman"/>
          <w:i w:val="0"/>
          <w:caps w:val="0"/>
          <w:spacing w:val="0"/>
          <w:sz w:val="32"/>
          <w:szCs w:val="32"/>
          <w:highlight w:val="none"/>
        </w:rPr>
        <w:t>的</w:t>
      </w:r>
      <w:r>
        <w:rPr>
          <w:rFonts w:hint="eastAsia" w:ascii="仿宋_GB2312" w:hAnsi="黑体" w:eastAsia="仿宋_GB2312"/>
          <w:sz w:val="32"/>
          <w:szCs w:val="32"/>
          <w:highlight w:val="none"/>
          <w:lang w:val="en-US" w:eastAsia="zh-CN"/>
        </w:rPr>
        <w:t>招商项目（或企业）须依法进行登记，具有独立法人资格，实行独立核算。</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黑体" w:eastAsia="仿宋_GB2312"/>
          <w:sz w:val="32"/>
          <w:szCs w:val="32"/>
          <w:highlight w:val="none"/>
          <w:lang w:val="en-US" w:eastAsia="zh-CN"/>
        </w:rPr>
      </w:pPr>
      <w:r>
        <w:rPr>
          <w:rFonts w:hint="eastAsia" w:ascii="黑体" w:hAnsi="黑体" w:eastAsia="黑体" w:cs="黑体"/>
          <w:sz w:val="32"/>
          <w:szCs w:val="32"/>
          <w:highlight w:val="none"/>
          <w:lang w:val="en-US" w:eastAsia="zh-CN"/>
        </w:rPr>
        <w:t>第四条</w:t>
      </w:r>
      <w:r>
        <w:rPr>
          <w:rFonts w:hint="eastAsia" w:ascii="黑体" w:hAnsi="黑体" w:eastAsia="黑体" w:cs="黑体"/>
          <w:b w:val="0"/>
          <w:bCs/>
          <w:sz w:val="32"/>
          <w:szCs w:val="32"/>
          <w:highlight w:val="none"/>
          <w:lang w:val="en-US" w:eastAsia="zh-CN"/>
        </w:rPr>
        <w:t xml:space="preserve">  </w:t>
      </w:r>
      <w:r>
        <w:rPr>
          <w:rFonts w:hint="eastAsia" w:ascii="仿宋_GB2312" w:hAnsi="黑体" w:eastAsia="仿宋_GB2312"/>
          <w:sz w:val="32"/>
          <w:szCs w:val="32"/>
          <w:highlight w:val="none"/>
          <w:lang w:val="en-US" w:eastAsia="zh-CN"/>
        </w:rPr>
        <w:t>中介服务机构奖励和聘用标准：</w:t>
      </w:r>
    </w:p>
    <w:p>
      <w:pPr>
        <w:pStyle w:val="6"/>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（一）促</w:t>
      </w:r>
      <w:bookmarkStart w:id="0" w:name="_GoBack"/>
      <w:bookmarkEnd w:id="0"/>
      <w:r>
        <w:rPr>
          <w:rFonts w:hint="eastAsia" w:ascii="仿宋_GB2312" w:hAnsi="黑体" w:eastAsia="仿宋_GB2312"/>
          <w:sz w:val="32"/>
          <w:szCs w:val="32"/>
          <w:highlight w:val="none"/>
          <w:lang w:val="en-US" w:eastAsia="zh-CN"/>
        </w:rPr>
        <w:t>进区域高质量发展奖励</w:t>
      </w:r>
      <w:r>
        <w:rPr>
          <w:rFonts w:hint="default" w:ascii="仿宋_GB2312" w:hAnsi="黑体" w:eastAsia="仿宋_GB2312"/>
          <w:sz w:val="32"/>
          <w:szCs w:val="32"/>
          <w:highlight w:val="none"/>
          <w:lang w:val="en-US" w:eastAsia="zh-CN"/>
        </w:rPr>
        <w:t>类。</w:t>
      </w:r>
      <w:r>
        <w:rPr>
          <w:rFonts w:hint="eastAsia" w:ascii="仿宋_GB2312" w:hAnsi="黑体" w:eastAsia="仿宋_GB2312"/>
          <w:sz w:val="32"/>
          <w:szCs w:val="32"/>
          <w:highlight w:val="none"/>
          <w:lang w:val="en-US" w:eastAsia="zh-CN"/>
        </w:rPr>
        <w:t>引进项目依法登记注册</w:t>
      </w:r>
      <w:r>
        <w:rPr>
          <w:rFonts w:hint="default" w:ascii="仿宋_GB2312" w:hAnsi="黑体" w:eastAsia="仿宋_GB2312"/>
          <w:sz w:val="32"/>
          <w:szCs w:val="32"/>
          <w:highlight w:val="none"/>
          <w:lang w:val="en-US" w:eastAsia="zh-CN"/>
        </w:rPr>
        <w:t>之日起三个自然年度</w:t>
      </w:r>
      <w:r>
        <w:rPr>
          <w:rFonts w:hint="eastAsia" w:ascii="仿宋_GB2312" w:hAnsi="黑体" w:eastAsia="仿宋_GB2312"/>
          <w:sz w:val="32"/>
          <w:szCs w:val="32"/>
          <w:highlight w:val="none"/>
          <w:lang w:val="en-US" w:eastAsia="zh-CN"/>
        </w:rPr>
        <w:t>内，中介服务机构可申请奖励</w:t>
      </w:r>
      <w:r>
        <w:rPr>
          <w:rFonts w:hint="default" w:ascii="仿宋_GB2312" w:hAnsi="黑体" w:eastAsia="仿宋_GB2312"/>
          <w:sz w:val="32"/>
          <w:szCs w:val="32"/>
          <w:highlight w:val="none"/>
          <w:lang w:val="en-US" w:eastAsia="zh-CN"/>
        </w:rPr>
        <w:t>。</w:t>
      </w:r>
      <w:r>
        <w:rPr>
          <w:rFonts w:hint="eastAsia" w:ascii="仿宋_GB2312" w:hAnsi="黑体" w:eastAsia="仿宋_GB2312"/>
          <w:sz w:val="32"/>
          <w:szCs w:val="32"/>
          <w:highlight w:val="none"/>
          <w:lang w:val="en-US" w:eastAsia="zh-CN"/>
        </w:rPr>
        <w:t>奖励总额</w:t>
      </w:r>
      <w:r>
        <w:rPr>
          <w:rFonts w:hint="default" w:ascii="仿宋_GB2312" w:hAnsi="黑体" w:eastAsia="仿宋_GB2312"/>
          <w:sz w:val="32"/>
          <w:szCs w:val="32"/>
          <w:highlight w:val="none"/>
          <w:lang w:val="en-US" w:eastAsia="zh-CN"/>
        </w:rPr>
        <w:t>不超过1500万元。</w:t>
      </w:r>
    </w:p>
    <w:p>
      <w:pPr>
        <w:pStyle w:val="6"/>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（二）固定资产投资类。自引进项目（不含房地产项目）依法登记注册之日起三个自然年度内，累计固定资产投资额（不含土地价款）达到5000万元（含）以上的，</w:t>
      </w:r>
      <w:r>
        <w:rPr>
          <w:rFonts w:hint="eastAsia" w:ascii="仿宋_GB2312" w:hAnsi="黑体" w:eastAsia="仿宋_GB2312" w:cs="Times New Roman"/>
          <w:sz w:val="32"/>
          <w:szCs w:val="32"/>
          <w:highlight w:val="none"/>
          <w:lang w:val="en-US" w:eastAsia="zh-CN"/>
        </w:rPr>
        <w:t>按照一定比例</w:t>
      </w:r>
      <w:r>
        <w:rPr>
          <w:rFonts w:hint="eastAsia" w:ascii="仿宋_GB2312" w:hAnsi="黑体" w:eastAsia="仿宋_GB2312"/>
          <w:sz w:val="32"/>
          <w:szCs w:val="32"/>
          <w:highlight w:val="none"/>
          <w:lang w:val="en-US" w:eastAsia="zh-CN"/>
        </w:rPr>
        <w:t>对中介服务机构给予一次性奖励，奖励金额最高1500万元。</w:t>
      </w:r>
    </w:p>
    <w:p>
      <w:pPr>
        <w:pStyle w:val="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黑体" w:eastAsia="仿宋_GB2312" w:cs="Times New Roman"/>
          <w:kern w:val="2"/>
          <w:sz w:val="32"/>
          <w:szCs w:val="32"/>
          <w:highlight w:val="none"/>
          <w:lang w:val="en-US" w:eastAsia="zh-CN" w:bidi="ar-SA"/>
        </w:rPr>
      </w:pPr>
      <w:r>
        <w:rPr>
          <w:rFonts w:hint="default" w:ascii="仿宋_GB2312" w:hAnsi="黑体" w:eastAsia="仿宋_GB2312" w:cs="Times New Roman"/>
          <w:kern w:val="2"/>
          <w:sz w:val="32"/>
          <w:szCs w:val="32"/>
          <w:highlight w:val="none"/>
          <w:lang w:val="en-US" w:eastAsia="zh-CN" w:bidi="ar-SA"/>
        </w:rPr>
        <w:t>（</w:t>
      </w:r>
      <w:r>
        <w:rPr>
          <w:rFonts w:hint="eastAsia" w:ascii="仿宋_GB2312" w:hAnsi="黑体" w:eastAsia="仿宋_GB2312" w:cs="Times New Roman"/>
          <w:kern w:val="2"/>
          <w:sz w:val="32"/>
          <w:szCs w:val="32"/>
          <w:highlight w:val="none"/>
          <w:lang w:val="en-US" w:eastAsia="zh-CN" w:bidi="ar-SA"/>
        </w:rPr>
        <w:t>三</w:t>
      </w:r>
      <w:r>
        <w:rPr>
          <w:rFonts w:hint="default" w:ascii="仿宋_GB2312" w:hAnsi="黑体" w:eastAsia="仿宋_GB2312" w:cs="Times New Roman"/>
          <w:kern w:val="2"/>
          <w:sz w:val="32"/>
          <w:szCs w:val="32"/>
          <w:highlight w:val="none"/>
          <w:lang w:val="en-US" w:eastAsia="zh-CN" w:bidi="ar-SA"/>
        </w:rPr>
        <w:t>）引进标签企业类。鼓励中介服务机构引进标签企业，标签企业落地后对中介服务机构给予一次性奖励。</w:t>
      </w:r>
    </w:p>
    <w:p>
      <w:pPr>
        <w:pStyle w:val="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黑体" w:eastAsia="仿宋_GB2312" w:cs="Times New Roman"/>
          <w:kern w:val="2"/>
          <w:sz w:val="32"/>
          <w:szCs w:val="32"/>
          <w:highlight w:val="none"/>
          <w:lang w:val="en-US" w:eastAsia="zh-CN" w:bidi="ar-SA"/>
        </w:rPr>
      </w:pPr>
      <w:r>
        <w:rPr>
          <w:rFonts w:hint="default" w:ascii="仿宋_GB2312" w:hAnsi="黑体" w:eastAsia="仿宋_GB2312" w:cs="Times New Roman"/>
          <w:kern w:val="2"/>
          <w:sz w:val="32"/>
          <w:szCs w:val="32"/>
          <w:highlight w:val="none"/>
          <w:lang w:val="en-US" w:eastAsia="zh-CN" w:bidi="ar-SA"/>
        </w:rPr>
        <w:t>1.首次引进世界500强企业主体</w:t>
      </w:r>
      <w:r>
        <w:rPr>
          <w:rFonts w:hint="eastAsia" w:ascii="仿宋_GB2312" w:hAnsi="黑体" w:eastAsia="仿宋_GB2312" w:cs="Times New Roman"/>
          <w:kern w:val="2"/>
          <w:sz w:val="32"/>
          <w:szCs w:val="32"/>
          <w:highlight w:val="none"/>
          <w:lang w:val="en-US" w:eastAsia="zh-CN" w:bidi="ar-SA"/>
        </w:rPr>
        <w:t>，</w:t>
      </w:r>
      <w:r>
        <w:rPr>
          <w:rFonts w:hint="default" w:ascii="仿宋_GB2312" w:hAnsi="黑体" w:eastAsia="仿宋_GB2312" w:cs="Times New Roman"/>
          <w:kern w:val="2"/>
          <w:sz w:val="32"/>
          <w:szCs w:val="32"/>
          <w:highlight w:val="none"/>
          <w:lang w:val="en-US" w:eastAsia="zh-CN" w:bidi="ar-SA"/>
        </w:rPr>
        <w:t>中国500强企业主体</w:t>
      </w:r>
      <w:r>
        <w:rPr>
          <w:rFonts w:hint="eastAsia" w:ascii="仿宋_GB2312" w:hAnsi="黑体" w:eastAsia="仿宋_GB2312" w:cs="Times New Roman"/>
          <w:kern w:val="2"/>
          <w:sz w:val="32"/>
          <w:szCs w:val="32"/>
          <w:highlight w:val="none"/>
          <w:lang w:val="en-US" w:eastAsia="zh-CN" w:bidi="ar-SA"/>
        </w:rPr>
        <w:t>，</w:t>
      </w:r>
      <w:r>
        <w:rPr>
          <w:rFonts w:hint="default" w:ascii="仿宋_GB2312" w:hAnsi="黑体" w:eastAsia="仿宋_GB2312" w:cs="Times New Roman"/>
          <w:kern w:val="2"/>
          <w:sz w:val="32"/>
          <w:szCs w:val="32"/>
          <w:highlight w:val="none"/>
          <w:lang w:val="en-US" w:eastAsia="zh-CN" w:bidi="ar-SA"/>
        </w:rPr>
        <w:t>中国民营企业500强企业主体</w:t>
      </w:r>
      <w:r>
        <w:rPr>
          <w:rFonts w:hint="eastAsia" w:ascii="仿宋_GB2312" w:hAnsi="黑体" w:eastAsia="仿宋_GB2312" w:cs="Times New Roman"/>
          <w:kern w:val="2"/>
          <w:sz w:val="32"/>
          <w:szCs w:val="32"/>
          <w:highlight w:val="none"/>
          <w:lang w:val="en-US" w:eastAsia="zh-CN" w:bidi="ar-SA"/>
        </w:rPr>
        <w:t>，</w:t>
      </w:r>
      <w:r>
        <w:rPr>
          <w:rFonts w:hint="default" w:ascii="仿宋_GB2312" w:hAnsi="黑体" w:eastAsia="仿宋_GB2312" w:cs="Times New Roman"/>
          <w:kern w:val="2"/>
          <w:sz w:val="32"/>
          <w:szCs w:val="32"/>
          <w:highlight w:val="none"/>
          <w:lang w:val="en-US" w:eastAsia="zh-CN" w:bidi="ar-SA"/>
        </w:rPr>
        <w:t>中国战略性新兴产业领军企业100强企业主体</w:t>
      </w:r>
      <w:r>
        <w:rPr>
          <w:rFonts w:hint="eastAsia" w:ascii="仿宋_GB2312" w:hAnsi="黑体" w:eastAsia="仿宋_GB2312" w:cs="Times New Roman"/>
          <w:kern w:val="2"/>
          <w:sz w:val="32"/>
          <w:szCs w:val="32"/>
          <w:highlight w:val="none"/>
          <w:lang w:val="en-US" w:eastAsia="zh-CN" w:bidi="ar-SA"/>
        </w:rPr>
        <w:t>分别给予一次性奖励</w:t>
      </w:r>
      <w:r>
        <w:rPr>
          <w:rFonts w:hint="default" w:ascii="仿宋_GB2312" w:hAnsi="黑体" w:eastAsia="仿宋_GB2312" w:cs="Times New Roman"/>
          <w:kern w:val="2"/>
          <w:sz w:val="32"/>
          <w:szCs w:val="32"/>
          <w:highlight w:val="none"/>
          <w:lang w:val="en-US" w:eastAsia="zh-CN" w:bidi="ar-SA"/>
        </w:rPr>
        <w:t>。以引进企业当年权威机构排名为准，榜单企业不重复支持。</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highlight w:val="none"/>
        </w:rPr>
      </w:pP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lang w:eastAsia="zh-CN"/>
        </w:rPr>
        <w:t>引进</w:t>
      </w:r>
      <w:r>
        <w:rPr>
          <w:rFonts w:hint="eastAsia" w:ascii="仿宋_GB2312" w:hAnsi="黑体" w:eastAsia="仿宋_GB2312"/>
          <w:sz w:val="32"/>
          <w:szCs w:val="32"/>
          <w:highlight w:val="none"/>
        </w:rPr>
        <w:t>独角兽企业</w:t>
      </w:r>
      <w:r>
        <w:rPr>
          <w:rFonts w:hint="eastAsia" w:ascii="仿宋_GB2312" w:hAnsi="黑体" w:eastAsia="仿宋_GB2312"/>
          <w:sz w:val="32"/>
          <w:szCs w:val="32"/>
          <w:highlight w:val="none"/>
          <w:lang w:val="en-US" w:eastAsia="zh-CN"/>
        </w:rPr>
        <w:t>主体</w:t>
      </w:r>
      <w:r>
        <w:rPr>
          <w:rFonts w:hint="eastAsia" w:ascii="仿宋_GB2312" w:hAnsi="黑体" w:eastAsia="仿宋_GB2312"/>
          <w:sz w:val="32"/>
          <w:szCs w:val="32"/>
          <w:highlight w:val="none"/>
          <w:lang w:eastAsia="zh-CN"/>
        </w:rPr>
        <w:t>，</w:t>
      </w:r>
      <w:r>
        <w:rPr>
          <w:rFonts w:hint="eastAsia" w:ascii="仿宋_GB2312" w:hAnsi="黑体" w:eastAsia="仿宋_GB2312" w:cs="Times New Roman"/>
          <w:color w:val="000000"/>
          <w:kern w:val="2"/>
          <w:sz w:val="32"/>
          <w:szCs w:val="32"/>
          <w:highlight w:val="none"/>
          <w:lang w:val="en-US" w:eastAsia="zh-CN"/>
        </w:rPr>
        <w:t>潜在独角兽企业主体</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专精特新“小巨人”企业</w:t>
      </w:r>
      <w:r>
        <w:rPr>
          <w:rFonts w:hint="eastAsia" w:ascii="仿宋_GB2312" w:hAnsi="黑体" w:eastAsia="仿宋_GB2312"/>
          <w:sz w:val="32"/>
          <w:szCs w:val="32"/>
          <w:highlight w:val="none"/>
          <w:lang w:val="en-US" w:eastAsia="zh-CN"/>
        </w:rPr>
        <w:t>主体</w:t>
      </w:r>
      <w:r>
        <w:rPr>
          <w:rFonts w:hint="eastAsia" w:ascii="仿宋_GB2312" w:hAnsi="黑体" w:eastAsia="仿宋_GB2312" w:cs="Times New Roman"/>
          <w:color w:val="000000"/>
          <w:kern w:val="2"/>
          <w:sz w:val="32"/>
          <w:szCs w:val="32"/>
          <w:highlight w:val="none"/>
          <w:lang w:val="en-US" w:eastAsia="zh-CN"/>
        </w:rPr>
        <w:t>，</w:t>
      </w:r>
      <w:r>
        <w:rPr>
          <w:rFonts w:hint="eastAsia" w:ascii="仿宋_GB2312" w:hAnsi="黑体" w:eastAsia="仿宋_GB2312"/>
          <w:sz w:val="32"/>
          <w:szCs w:val="32"/>
          <w:highlight w:val="none"/>
        </w:rPr>
        <w:t>专精特新</w:t>
      </w:r>
      <w:r>
        <w:rPr>
          <w:rFonts w:hint="eastAsia" w:ascii="仿宋_GB2312" w:hAnsi="黑体" w:eastAsia="仿宋_GB2312"/>
          <w:sz w:val="32"/>
          <w:szCs w:val="32"/>
          <w:highlight w:val="none"/>
          <w:lang w:eastAsia="zh-CN"/>
        </w:rPr>
        <w:t>中小</w:t>
      </w:r>
      <w:r>
        <w:rPr>
          <w:rFonts w:hint="eastAsia" w:ascii="仿宋_GB2312" w:hAnsi="黑体" w:eastAsia="仿宋_GB2312"/>
          <w:sz w:val="32"/>
          <w:szCs w:val="32"/>
          <w:highlight w:val="none"/>
        </w:rPr>
        <w:t>企业</w:t>
      </w:r>
      <w:r>
        <w:rPr>
          <w:rFonts w:hint="eastAsia" w:ascii="仿宋_GB2312" w:hAnsi="黑体" w:eastAsia="仿宋_GB2312"/>
          <w:sz w:val="32"/>
          <w:szCs w:val="32"/>
          <w:highlight w:val="none"/>
          <w:lang w:eastAsia="zh-CN"/>
        </w:rPr>
        <w:t>主体，</w:t>
      </w:r>
      <w:r>
        <w:rPr>
          <w:rFonts w:hint="eastAsia" w:ascii="仿宋_GB2312" w:hAnsi="黑体" w:eastAsia="仿宋_GB2312"/>
          <w:sz w:val="32"/>
          <w:szCs w:val="32"/>
          <w:highlight w:val="none"/>
          <w:lang w:val="en-US" w:eastAsia="zh-CN"/>
        </w:rPr>
        <w:t>国家高新技术企业主体</w:t>
      </w:r>
      <w:r>
        <w:rPr>
          <w:rFonts w:hint="eastAsia" w:ascii="仿宋_GB2312" w:hAnsi="黑体" w:eastAsia="仿宋_GB2312" w:cs="Times New Roman"/>
          <w:kern w:val="2"/>
          <w:sz w:val="32"/>
          <w:szCs w:val="32"/>
          <w:highlight w:val="none"/>
          <w:lang w:val="en-US" w:eastAsia="zh-CN" w:bidi="ar-SA"/>
        </w:rPr>
        <w:t>分别给予一次性奖励</w:t>
      </w:r>
      <w:r>
        <w:rPr>
          <w:rFonts w:hint="eastAsia" w:ascii="仿宋_GB2312" w:hAnsi="黑体" w:eastAsia="仿宋_GB2312"/>
          <w:sz w:val="32"/>
          <w:szCs w:val="32"/>
          <w:highlight w:val="none"/>
        </w:rPr>
        <w:t>。</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highlight w:val="none"/>
        </w:rPr>
      </w:pPr>
      <w:r>
        <w:rPr>
          <w:rFonts w:hint="eastAsia" w:ascii="仿宋_GB2312" w:hAnsi="黑体" w:eastAsia="仿宋_GB2312"/>
          <w:sz w:val="32"/>
          <w:szCs w:val="32"/>
          <w:highlight w:val="none"/>
          <w:lang w:val="en-US" w:eastAsia="zh-CN"/>
        </w:rPr>
        <w:t>3.</w:t>
      </w:r>
      <w:r>
        <w:rPr>
          <w:rFonts w:hint="eastAsia" w:ascii="仿宋_GB2312" w:hAnsi="黑体" w:eastAsia="仿宋_GB2312"/>
          <w:sz w:val="32"/>
          <w:szCs w:val="32"/>
          <w:highlight w:val="none"/>
          <w:lang w:eastAsia="zh-CN"/>
        </w:rPr>
        <w:t>引进</w:t>
      </w:r>
      <w:r>
        <w:rPr>
          <w:rFonts w:hint="eastAsia" w:ascii="仿宋_GB2312" w:hAnsi="黑体" w:eastAsia="仿宋_GB2312"/>
          <w:sz w:val="32"/>
          <w:szCs w:val="32"/>
          <w:highlight w:val="none"/>
        </w:rPr>
        <w:t>国家级</w:t>
      </w:r>
      <w:r>
        <w:rPr>
          <w:rFonts w:hint="eastAsia" w:ascii="仿宋_GB2312" w:hAnsi="黑体" w:eastAsia="仿宋_GB2312"/>
          <w:sz w:val="32"/>
          <w:szCs w:val="32"/>
          <w:highlight w:val="none"/>
          <w:lang w:eastAsia="zh-CN"/>
        </w:rPr>
        <w:t>创新平台，</w:t>
      </w:r>
      <w:r>
        <w:rPr>
          <w:rFonts w:hint="eastAsia" w:ascii="仿宋_GB2312" w:hAnsi="黑体" w:eastAsia="仿宋_GB2312"/>
          <w:sz w:val="32"/>
          <w:szCs w:val="32"/>
          <w:highlight w:val="none"/>
        </w:rPr>
        <w:t>省</w:t>
      </w:r>
      <w:r>
        <w:rPr>
          <w:rFonts w:hint="eastAsia" w:ascii="仿宋_GB2312" w:hAnsi="黑体" w:eastAsia="仿宋_GB2312"/>
          <w:sz w:val="32"/>
          <w:szCs w:val="32"/>
          <w:highlight w:val="none"/>
          <w:lang w:eastAsia="zh-CN"/>
        </w:rPr>
        <w:t>市</w:t>
      </w:r>
      <w:r>
        <w:rPr>
          <w:rFonts w:hint="eastAsia" w:ascii="仿宋_GB2312" w:hAnsi="黑体" w:eastAsia="仿宋_GB2312"/>
          <w:sz w:val="32"/>
          <w:szCs w:val="32"/>
          <w:highlight w:val="none"/>
        </w:rPr>
        <w:t>级</w:t>
      </w:r>
      <w:r>
        <w:rPr>
          <w:rFonts w:hint="eastAsia" w:ascii="仿宋_GB2312" w:hAnsi="黑体" w:eastAsia="仿宋_GB2312"/>
          <w:sz w:val="32"/>
          <w:szCs w:val="32"/>
          <w:highlight w:val="none"/>
          <w:lang w:eastAsia="zh-CN"/>
        </w:rPr>
        <w:t>创</w:t>
      </w:r>
      <w:r>
        <w:rPr>
          <w:rFonts w:hint="eastAsia" w:ascii="仿宋_GB2312" w:hAnsi="黑体" w:eastAsia="仿宋_GB2312"/>
          <w:sz w:val="32"/>
          <w:szCs w:val="32"/>
          <w:highlight w:val="none"/>
        </w:rPr>
        <w:t>新</w:t>
      </w:r>
      <w:r>
        <w:rPr>
          <w:rFonts w:hint="eastAsia" w:ascii="仿宋_GB2312" w:hAnsi="黑体" w:eastAsia="仿宋_GB2312"/>
          <w:sz w:val="32"/>
          <w:szCs w:val="32"/>
          <w:highlight w:val="none"/>
          <w:lang w:eastAsia="zh-CN"/>
        </w:rPr>
        <w:t>平台、</w:t>
      </w:r>
      <w:r>
        <w:rPr>
          <w:rFonts w:hint="eastAsia" w:ascii="仿宋_GB2312" w:hAnsi="黑体" w:eastAsia="仿宋_GB2312"/>
          <w:sz w:val="32"/>
          <w:szCs w:val="32"/>
          <w:highlight w:val="none"/>
        </w:rPr>
        <w:t>国家级科技企业孵化器</w:t>
      </w:r>
      <w:r>
        <w:rPr>
          <w:rFonts w:hint="eastAsia" w:ascii="仿宋_GB2312" w:hAnsi="黑体" w:eastAsia="仿宋_GB2312" w:cs="Times New Roman"/>
          <w:kern w:val="2"/>
          <w:sz w:val="32"/>
          <w:szCs w:val="32"/>
          <w:highlight w:val="none"/>
          <w:lang w:val="en-US" w:eastAsia="zh-CN" w:bidi="ar-SA"/>
        </w:rPr>
        <w:t>分别给予一次性奖励</w:t>
      </w:r>
      <w:r>
        <w:rPr>
          <w:rFonts w:hint="eastAsia" w:ascii="仿宋_GB2312" w:hAnsi="黑体" w:eastAsia="仿宋_GB2312"/>
          <w:sz w:val="32"/>
          <w:szCs w:val="32"/>
          <w:highlight w:val="none"/>
        </w:rPr>
        <w:t>。</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highlight w:val="none"/>
        </w:rPr>
      </w:pPr>
      <w:r>
        <w:rPr>
          <w:rFonts w:hint="eastAsia" w:ascii="仿宋_GB2312" w:hAnsi="黑体" w:eastAsia="仿宋_GB2312"/>
          <w:sz w:val="32"/>
          <w:szCs w:val="32"/>
          <w:highlight w:val="none"/>
          <w:lang w:val="en-US" w:eastAsia="zh-CN"/>
        </w:rPr>
        <w:t>中介服务机构引进的标签企</w:t>
      </w:r>
      <w:r>
        <w:rPr>
          <w:rFonts w:hint="eastAsia" w:ascii="仿宋_GB2312" w:hAnsi="黑体" w:eastAsia="仿宋_GB2312" w:cs="Times New Roman"/>
          <w:kern w:val="2"/>
          <w:sz w:val="32"/>
          <w:szCs w:val="32"/>
          <w:highlight w:val="none"/>
          <w:lang w:val="en-US" w:eastAsia="zh-CN" w:bidi="ar-SA"/>
        </w:rPr>
        <w:t>业</w:t>
      </w:r>
      <w:r>
        <w:rPr>
          <w:rFonts w:hint="eastAsia" w:ascii="仿宋_GB2312" w:hAnsi="黑体" w:eastAsia="仿宋_GB2312"/>
          <w:sz w:val="32"/>
          <w:szCs w:val="32"/>
          <w:highlight w:val="none"/>
          <w:lang w:val="en-US" w:eastAsia="zh-CN"/>
        </w:rPr>
        <w:t>达到</w:t>
      </w:r>
      <w:r>
        <w:rPr>
          <w:rFonts w:hint="eastAsia" w:ascii="仿宋_GB2312" w:hAnsi="黑体" w:eastAsia="仿宋_GB2312"/>
          <w:sz w:val="32"/>
          <w:szCs w:val="32"/>
          <w:highlight w:val="none"/>
        </w:rPr>
        <w:t>本条“（一）</w:t>
      </w:r>
      <w:r>
        <w:rPr>
          <w:rFonts w:hint="eastAsia" w:ascii="仿宋_GB2312" w:hAnsi="黑体" w:eastAsia="仿宋_GB2312"/>
          <w:sz w:val="32"/>
          <w:szCs w:val="32"/>
          <w:highlight w:val="none"/>
          <w:lang w:val="en-US" w:eastAsia="zh-CN"/>
        </w:rPr>
        <w:t>促进区域高质量发展奖励类”标准，中介服务机构同时享受该条奖励</w:t>
      </w:r>
      <w:r>
        <w:rPr>
          <w:rFonts w:hint="eastAsia" w:ascii="仿宋_GB2312" w:hAnsi="黑体" w:eastAsia="仿宋_GB2312"/>
          <w:sz w:val="32"/>
          <w:szCs w:val="32"/>
          <w:highlight w:val="none"/>
        </w:rPr>
        <w:t>。</w:t>
      </w:r>
    </w:p>
    <w:p>
      <w:pPr>
        <w:pStyle w:val="6"/>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黑体" w:eastAsia="仿宋_GB2312" w:cs="Times New Roman"/>
          <w:sz w:val="32"/>
          <w:szCs w:val="32"/>
          <w:highlight w:val="none"/>
          <w:lang w:val="en-US" w:eastAsia="zh-CN"/>
        </w:rPr>
      </w:pPr>
      <w:r>
        <w:rPr>
          <w:rFonts w:hint="eastAsia" w:ascii="仿宋_GB2312" w:hAnsi="黑体" w:eastAsia="仿宋_GB2312" w:cs="Times New Roman"/>
          <w:sz w:val="32"/>
          <w:szCs w:val="32"/>
          <w:highlight w:val="none"/>
          <w:lang w:val="en-US" w:eastAsia="zh-CN"/>
        </w:rPr>
        <w:t>（四）外商企业投资类。自引进外资企业依法登记注册之日起三个自然年度内，企业年度实际利用外资达到300万美元（含）以上且商务部纳统的，按照一定比例对中介服务机构给予一次性奖励。奖励资金按照初审日汇率折算为等值人民币支付，奖励金额不超500万元人民币。</w:t>
      </w:r>
    </w:p>
    <w:p>
      <w:pPr>
        <w:pStyle w:val="6"/>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（五）对深耕产业研究、熟悉产业动态、具有招商引资成功案例、掌握丰富项目资源以及众多潜在投资客户的中介服务机构，可以按年度进行聘用，由</w:t>
      </w:r>
      <w:r>
        <w:rPr>
          <w:rFonts w:hint="eastAsia" w:ascii="仿宋_GB2312" w:hAnsi="黑体" w:eastAsia="仿宋_GB2312" w:cs="Times New Roman"/>
          <w:color w:val="auto"/>
          <w:sz w:val="32"/>
          <w:szCs w:val="32"/>
          <w:highlight w:val="none"/>
          <w:lang w:eastAsia="zh-CN"/>
        </w:rPr>
        <w:t>各单位根据工作需要列入本单位年度预算，由区财政</w:t>
      </w:r>
      <w:r>
        <w:rPr>
          <w:rFonts w:hint="eastAsia" w:ascii="仿宋_GB2312" w:hAnsi="黑体" w:eastAsia="仿宋_GB2312" w:cs="Times New Roman"/>
          <w:sz w:val="32"/>
          <w:szCs w:val="32"/>
          <w:highlight w:val="none"/>
          <w:lang w:val="en-US" w:eastAsia="zh-CN"/>
        </w:rPr>
        <w:t>局</w:t>
      </w:r>
      <w:r>
        <w:rPr>
          <w:rFonts w:hint="eastAsia" w:ascii="仿宋_GB2312" w:hAnsi="黑体" w:eastAsia="仿宋_GB2312" w:cs="Times New Roman"/>
          <w:color w:val="auto"/>
          <w:sz w:val="32"/>
          <w:szCs w:val="32"/>
          <w:highlight w:val="none"/>
          <w:lang w:eastAsia="zh-CN"/>
        </w:rPr>
        <w:t>统筹解决</w:t>
      </w:r>
      <w:r>
        <w:rPr>
          <w:rFonts w:hint="eastAsia" w:ascii="仿宋_GB2312" w:hAnsi="黑体" w:eastAsia="仿宋_GB2312" w:cs="Times New Roman"/>
          <w:sz w:val="32"/>
          <w:szCs w:val="32"/>
          <w:highlight w:val="none"/>
          <w:lang w:eastAsia="zh-CN"/>
        </w:rPr>
        <w:t>。</w:t>
      </w:r>
    </w:p>
    <w:p>
      <w:pPr>
        <w:pStyle w:val="6"/>
        <w:keepNext w:val="0"/>
        <w:keepLines w:val="0"/>
        <w:pageBreakBefore w:val="0"/>
        <w:widowControl/>
        <w:kinsoku/>
        <w:wordWrap/>
        <w:overflowPunct/>
        <w:topLinePunct w:val="0"/>
        <w:autoSpaceDE/>
        <w:autoSpaceDN/>
        <w:bidi w:val="0"/>
        <w:adjustRightInd/>
        <w:snapToGrid/>
        <w:spacing w:line="560" w:lineRule="exact"/>
        <w:ind w:firstLine="0"/>
        <w:textAlignment w:val="auto"/>
        <w:rPr>
          <w:rFonts w:hint="eastAsia" w:ascii="仿宋_GB2312" w:hAnsi="黑体" w:eastAsia="仿宋_GB2312"/>
          <w:sz w:val="32"/>
          <w:szCs w:val="32"/>
          <w:highlight w:val="none"/>
          <w:lang w:val="en-US" w:eastAsia="zh-CN"/>
        </w:rPr>
      </w:pPr>
    </w:p>
    <w:p>
      <w:pPr>
        <w:pStyle w:val="6"/>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第三章   申请和兑现</w:t>
      </w:r>
    </w:p>
    <w:p>
      <w:pPr>
        <w:pStyle w:val="7"/>
        <w:keepNext w:val="0"/>
        <w:keepLines w:val="0"/>
        <w:pageBreakBefore w:val="0"/>
        <w:kinsoku/>
        <w:wordWrap/>
        <w:overflowPunct/>
        <w:topLinePunct w:val="0"/>
        <w:autoSpaceDE/>
        <w:autoSpaceDN/>
        <w:bidi w:val="0"/>
        <w:spacing w:line="560" w:lineRule="exact"/>
        <w:textAlignment w:val="auto"/>
        <w:rPr>
          <w:rFonts w:hint="eastAsia"/>
          <w:sz w:val="32"/>
          <w:szCs w:val="32"/>
          <w:highlight w:val="none"/>
          <w:lang w:val="en-US" w:eastAsia="zh-CN"/>
        </w:rPr>
      </w:pPr>
    </w:p>
    <w:p>
      <w:pPr>
        <w:pStyle w:val="6"/>
        <w:keepNext w:val="0"/>
        <w:keepLines w:val="0"/>
        <w:pageBreakBefore w:val="0"/>
        <w:widowControl/>
        <w:kinsoku/>
        <w:wordWrap/>
        <w:overflowPunct/>
        <w:topLinePunct w:val="0"/>
        <w:autoSpaceDE/>
        <w:autoSpaceDN/>
        <w:bidi w:val="0"/>
        <w:adjustRightInd/>
        <w:snapToGrid/>
        <w:spacing w:line="560" w:lineRule="exact"/>
        <w:ind w:left="0" w:leftChars="0" w:firstLine="640" w:firstLineChars="0"/>
        <w:textAlignment w:val="auto"/>
        <w:rPr>
          <w:rFonts w:hint="eastAsia" w:ascii="仿宋_GB2312" w:hAnsi="黑体" w:eastAsia="仿宋_GB2312"/>
          <w:sz w:val="32"/>
          <w:szCs w:val="32"/>
          <w:highlight w:val="none"/>
          <w:lang w:val="en-US" w:eastAsia="zh-CN"/>
        </w:rPr>
      </w:pPr>
      <w:r>
        <w:rPr>
          <w:rFonts w:hint="eastAsia" w:ascii="黑体" w:hAnsi="黑体" w:eastAsia="黑体" w:cs="黑体"/>
          <w:b w:val="0"/>
          <w:bCs w:val="0"/>
          <w:sz w:val="32"/>
          <w:szCs w:val="32"/>
          <w:highlight w:val="none"/>
          <w:lang w:val="en-US" w:eastAsia="zh-CN"/>
        </w:rPr>
        <w:t xml:space="preserve">第五条  </w:t>
      </w:r>
      <w:r>
        <w:rPr>
          <w:rFonts w:hint="eastAsia" w:ascii="仿宋_GB2312" w:hAnsi="黑体" w:eastAsia="仿宋_GB2312"/>
          <w:sz w:val="32"/>
          <w:szCs w:val="32"/>
          <w:highlight w:val="none"/>
          <w:lang w:val="en-US" w:eastAsia="zh-CN"/>
        </w:rPr>
        <w:t>中介服务机构须向区投促中心报送中介信息和项目信息。</w:t>
      </w:r>
    </w:p>
    <w:p>
      <w:pPr>
        <w:pStyle w:val="6"/>
        <w:keepNext w:val="0"/>
        <w:keepLines w:val="0"/>
        <w:pageBreakBefore w:val="0"/>
        <w:widowControl/>
        <w:kinsoku/>
        <w:wordWrap/>
        <w:overflowPunct/>
        <w:topLinePunct w:val="0"/>
        <w:autoSpaceDE/>
        <w:autoSpaceDN/>
        <w:bidi w:val="0"/>
        <w:adjustRightInd/>
        <w:snapToGrid/>
        <w:spacing w:line="560" w:lineRule="exact"/>
        <w:ind w:left="0" w:leftChars="0" w:firstLine="640" w:firstLineChars="0"/>
        <w:textAlignment w:val="auto"/>
        <w:rPr>
          <w:rFonts w:hint="eastAsia"/>
          <w:sz w:val="32"/>
          <w:szCs w:val="32"/>
          <w:highlight w:val="none"/>
          <w:lang w:val="en-US" w:eastAsia="zh-CN"/>
        </w:rPr>
      </w:pPr>
      <w:r>
        <w:rPr>
          <w:rFonts w:hint="eastAsia" w:ascii="黑体" w:hAnsi="黑体" w:eastAsia="黑体" w:cs="黑体"/>
          <w:b w:val="0"/>
          <w:bCs w:val="0"/>
          <w:sz w:val="32"/>
          <w:szCs w:val="32"/>
          <w:highlight w:val="none"/>
          <w:lang w:val="en-US" w:eastAsia="zh-CN"/>
        </w:rPr>
        <w:t xml:space="preserve">第六条  </w:t>
      </w:r>
      <w:r>
        <w:rPr>
          <w:rFonts w:hint="eastAsia" w:ascii="仿宋_GB2312" w:hAnsi="黑体" w:eastAsia="仿宋_GB2312"/>
          <w:sz w:val="32"/>
          <w:szCs w:val="32"/>
          <w:highlight w:val="none"/>
          <w:lang w:val="en-US" w:eastAsia="zh-CN"/>
        </w:rPr>
        <w:t>中介服务机构按要求向区投促中心提交奖励申请材料。区投促中心完成初审后，联合区发改委、区科委、区财政局</w:t>
      </w:r>
      <w:r>
        <w:rPr>
          <w:rFonts w:hint="default" w:ascii="仿宋_GB2312" w:hAnsi="黑体" w:eastAsia="仿宋_GB2312" w:cs="Times New Roman"/>
          <w:b w:val="0"/>
          <w:bCs w:val="0"/>
          <w:i w:val="0"/>
          <w:iCs w:val="0"/>
          <w:color w:val="auto"/>
          <w:kern w:val="2"/>
          <w:sz w:val="32"/>
          <w:szCs w:val="32"/>
          <w:highlight w:val="none"/>
          <w:vertAlign w:val="baseline"/>
          <w:lang w:val="en-US" w:eastAsia="zh-CN" w:bidi="ar-SA"/>
        </w:rPr>
        <w:t>、</w:t>
      </w:r>
      <w:r>
        <w:rPr>
          <w:rFonts w:hint="eastAsia" w:ascii="仿宋_GB2312" w:hAnsi="黑体" w:eastAsia="仿宋_GB2312"/>
          <w:sz w:val="32"/>
          <w:szCs w:val="32"/>
          <w:highlight w:val="none"/>
          <w:lang w:val="en-US" w:eastAsia="zh-CN"/>
        </w:rPr>
        <w:t>区市监局、区商务局、区经信局等职能部门审核，审核</w:t>
      </w:r>
      <w:r>
        <w:rPr>
          <w:rFonts w:hint="eastAsia" w:ascii="仿宋_GB2312" w:hAnsi="黑体" w:eastAsia="仿宋_GB2312" w:cs="Times New Roman"/>
          <w:i w:val="0"/>
          <w:caps w:val="0"/>
          <w:spacing w:val="0"/>
          <w:kern w:val="2"/>
          <w:sz w:val="32"/>
          <w:szCs w:val="32"/>
          <w:highlight w:val="none"/>
        </w:rPr>
        <w:t>结果报送区政府</w:t>
      </w:r>
      <w:r>
        <w:rPr>
          <w:rFonts w:hint="eastAsia" w:ascii="仿宋_GB2312" w:hAnsi="黑体" w:eastAsia="仿宋_GB2312" w:cs="Times New Roman"/>
          <w:i w:val="0"/>
          <w:caps w:val="0"/>
          <w:spacing w:val="0"/>
          <w:kern w:val="2"/>
          <w:sz w:val="32"/>
          <w:szCs w:val="32"/>
          <w:highlight w:val="none"/>
          <w:lang w:eastAsia="zh-CN"/>
        </w:rPr>
        <w:t>核定</w:t>
      </w:r>
      <w:r>
        <w:rPr>
          <w:rFonts w:hint="eastAsia" w:ascii="仿宋_GB2312" w:hAnsi="黑体" w:eastAsia="仿宋_GB2312"/>
          <w:sz w:val="32"/>
          <w:szCs w:val="32"/>
          <w:highlight w:val="none"/>
          <w:lang w:val="en-US" w:eastAsia="zh-CN"/>
        </w:rPr>
        <w:t>。区投促中心负责兑现中介服务机构奖励资金。奖励资金纳入区级财</w:t>
      </w:r>
      <w:r>
        <w:rPr>
          <w:rFonts w:hint="eastAsia" w:ascii="仿宋_GB2312" w:hAnsi="仿宋_GB2312" w:eastAsia="仿宋_GB2312" w:cs="仿宋_GB2312"/>
          <w:color w:val="000000"/>
          <w:sz w:val="32"/>
          <w:szCs w:val="32"/>
          <w:highlight w:val="none"/>
          <w:lang w:val="en-US" w:eastAsia="zh-CN"/>
        </w:rPr>
        <w:t>政预算。</w:t>
      </w:r>
    </w:p>
    <w:p>
      <w:pPr>
        <w:pStyle w:val="6"/>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黑体" w:eastAsia="仿宋_GB2312"/>
          <w:sz w:val="32"/>
          <w:szCs w:val="32"/>
          <w:highlight w:val="none"/>
          <w:lang w:val="en-US" w:eastAsia="zh-CN"/>
        </w:rPr>
      </w:pPr>
    </w:p>
    <w:p>
      <w:pPr>
        <w:pStyle w:val="6"/>
        <w:keepNext w:val="0"/>
        <w:keepLines w:val="0"/>
        <w:pageBreakBefore w:val="0"/>
        <w:widowControl/>
        <w:kinsoku/>
        <w:wordWrap/>
        <w:overflowPunct/>
        <w:topLinePunct w:val="0"/>
        <w:autoSpaceDE/>
        <w:autoSpaceDN/>
        <w:bidi w:val="0"/>
        <w:adjustRightInd/>
        <w:snapToGrid/>
        <w:spacing w:line="560" w:lineRule="exact"/>
        <w:ind w:left="0" w:leftChars="0" w:firstLine="2937" w:firstLineChars="918"/>
        <w:jc w:val="both"/>
        <w:textAlignment w:val="auto"/>
        <w:rPr>
          <w:rFonts w:hint="eastAsia" w:ascii="仿宋_GB2312" w:hAnsi="黑体" w:eastAsia="仿宋_GB2312"/>
          <w:sz w:val="32"/>
          <w:szCs w:val="32"/>
          <w:highlight w:val="none"/>
          <w:lang w:val="en-US" w:eastAsia="zh-CN"/>
        </w:rPr>
      </w:pPr>
      <w:r>
        <w:rPr>
          <w:rFonts w:hint="eastAsia" w:ascii="黑体" w:hAnsi="黑体" w:eastAsia="黑体" w:cs="黑体"/>
          <w:sz w:val="32"/>
          <w:szCs w:val="32"/>
          <w:highlight w:val="none"/>
          <w:lang w:val="en-US" w:eastAsia="zh-CN"/>
        </w:rPr>
        <w:t>第四章   附</w:t>
      </w:r>
      <w:r>
        <w:rPr>
          <w:rFonts w:hint="default"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lang w:val="en-US" w:eastAsia="zh-CN"/>
        </w:rPr>
        <w:t xml:space="preserve"> 则</w:t>
      </w:r>
    </w:p>
    <w:p>
      <w:pPr>
        <w:pStyle w:val="6"/>
        <w:keepNext w:val="0"/>
        <w:keepLines w:val="0"/>
        <w:pageBreakBefore w:val="0"/>
        <w:widowControl/>
        <w:kinsoku/>
        <w:wordWrap/>
        <w:overflowPunct/>
        <w:topLinePunct w:val="0"/>
        <w:autoSpaceDE/>
        <w:autoSpaceDN/>
        <w:bidi w:val="0"/>
        <w:adjustRightInd/>
        <w:snapToGrid/>
        <w:spacing w:line="560" w:lineRule="exact"/>
        <w:ind w:left="0" w:leftChars="0" w:firstLine="640" w:firstLineChars="0"/>
        <w:textAlignment w:val="auto"/>
        <w:rPr>
          <w:rFonts w:hint="eastAsia" w:ascii="黑体" w:hAnsi="黑体" w:eastAsia="黑体" w:cs="黑体"/>
          <w:b w:val="0"/>
          <w:bCs w:val="0"/>
          <w:sz w:val="32"/>
          <w:szCs w:val="32"/>
          <w:highlight w:val="none"/>
          <w:lang w:val="en-US" w:eastAsia="zh-CN"/>
        </w:rPr>
      </w:pPr>
    </w:p>
    <w:p>
      <w:pPr>
        <w:pStyle w:val="6"/>
        <w:keepNext w:val="0"/>
        <w:keepLines w:val="0"/>
        <w:pageBreakBefore w:val="0"/>
        <w:widowControl/>
        <w:kinsoku/>
        <w:wordWrap/>
        <w:overflowPunct/>
        <w:topLinePunct w:val="0"/>
        <w:autoSpaceDE/>
        <w:autoSpaceDN/>
        <w:bidi w:val="0"/>
        <w:adjustRightInd/>
        <w:snapToGrid/>
        <w:spacing w:line="560" w:lineRule="exact"/>
        <w:ind w:left="0" w:leftChars="0" w:firstLine="640" w:firstLineChars="0"/>
        <w:textAlignment w:val="auto"/>
        <w:rPr>
          <w:rFonts w:hint="eastAsia" w:ascii="仿宋_GB2312" w:hAnsi="黑体" w:eastAsia="仿宋_GB2312"/>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 xml:space="preserve">第七条  </w:t>
      </w:r>
      <w:r>
        <w:rPr>
          <w:rFonts w:hint="eastAsia" w:ascii="仿宋_GB2312" w:hAnsi="黑体" w:eastAsia="仿宋_GB2312"/>
          <w:b w:val="0"/>
          <w:bCs w:val="0"/>
          <w:sz w:val="32"/>
          <w:szCs w:val="32"/>
          <w:highlight w:val="none"/>
          <w:lang w:val="en-US" w:eastAsia="zh-CN"/>
        </w:rPr>
        <w:t>本办法涉及货币如无特殊标注均为人民币。对同一引进企业同时符合昌平区其他奖励政策的，按照“从优不重复”原则支持。</w:t>
      </w:r>
    </w:p>
    <w:p>
      <w:pPr>
        <w:pStyle w:val="6"/>
        <w:keepNext w:val="0"/>
        <w:keepLines w:val="0"/>
        <w:pageBreakBefore w:val="0"/>
        <w:widowControl/>
        <w:kinsoku/>
        <w:wordWrap/>
        <w:overflowPunct/>
        <w:topLinePunct w:val="0"/>
        <w:autoSpaceDE/>
        <w:autoSpaceDN/>
        <w:bidi w:val="0"/>
        <w:adjustRightInd/>
        <w:snapToGrid/>
        <w:spacing w:line="560" w:lineRule="exact"/>
        <w:ind w:left="0" w:leftChars="0" w:firstLine="640" w:firstLineChars="0"/>
        <w:textAlignment w:val="auto"/>
        <w:rPr>
          <w:rFonts w:hint="eastAsia" w:ascii="仿宋_GB2312" w:hAnsi="黑体" w:eastAsia="仿宋_GB2312"/>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 xml:space="preserve">第八条  </w:t>
      </w:r>
      <w:r>
        <w:rPr>
          <w:rFonts w:hint="eastAsia" w:ascii="仿宋_GB2312" w:hAnsi="黑体" w:eastAsia="仿宋_GB2312"/>
          <w:b w:val="0"/>
          <w:bCs w:val="0"/>
          <w:sz w:val="32"/>
          <w:szCs w:val="32"/>
          <w:highlight w:val="none"/>
          <w:lang w:val="en-US" w:eastAsia="zh-CN"/>
        </w:rPr>
        <w:t>凡弄虚作假、骗取奖励资金的中介服务机构，一经查实退回已兑现的奖励资金，并追究该机构相应法律责任。</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 xml:space="preserve">第九条  </w:t>
      </w:r>
      <w:r>
        <w:rPr>
          <w:rFonts w:hint="eastAsia" w:ascii="仿宋_GB2312" w:hAnsi="黑体" w:eastAsia="仿宋_GB2312" w:cs="Times New Roman"/>
          <w:b w:val="0"/>
          <w:bCs w:val="0"/>
          <w:sz w:val="32"/>
          <w:szCs w:val="32"/>
          <w:highlight w:val="none"/>
          <w:lang w:val="en-US" w:eastAsia="zh-CN"/>
        </w:rPr>
        <w:t>对引进项目或服务项目为昌平区经济社会发展</w:t>
      </w:r>
      <w:r>
        <w:rPr>
          <w:rFonts w:hint="default" w:ascii="仿宋_GB2312" w:hAnsi="黑体" w:eastAsia="仿宋_GB2312" w:cs="Times New Roman"/>
          <w:b w:val="0"/>
          <w:bCs w:val="0"/>
          <w:sz w:val="32"/>
          <w:szCs w:val="32"/>
          <w:highlight w:val="none"/>
          <w:lang w:val="en-US" w:eastAsia="zh-CN"/>
        </w:rPr>
        <w:t>、产业升级做出突出贡献</w:t>
      </w:r>
      <w:r>
        <w:rPr>
          <w:rFonts w:hint="eastAsia" w:ascii="仿宋_GB2312" w:hAnsi="黑体" w:eastAsia="仿宋_GB2312" w:cs="Times New Roman"/>
          <w:b w:val="0"/>
          <w:bCs w:val="0"/>
          <w:sz w:val="32"/>
          <w:szCs w:val="32"/>
          <w:highlight w:val="none"/>
          <w:lang w:val="en-US" w:eastAsia="zh-CN"/>
        </w:rPr>
        <w:t>的中介</w:t>
      </w:r>
      <w:r>
        <w:rPr>
          <w:rFonts w:hint="default" w:ascii="仿宋_GB2312" w:hAnsi="黑体" w:eastAsia="仿宋_GB2312" w:cs="Times New Roman"/>
          <w:b w:val="0"/>
          <w:bCs w:val="0"/>
          <w:sz w:val="32"/>
          <w:szCs w:val="32"/>
          <w:highlight w:val="none"/>
          <w:lang w:val="en-US" w:eastAsia="zh-CN"/>
        </w:rPr>
        <w:t>服务</w:t>
      </w:r>
      <w:r>
        <w:rPr>
          <w:rFonts w:hint="eastAsia" w:ascii="仿宋_GB2312" w:hAnsi="黑体" w:eastAsia="仿宋_GB2312" w:cs="Times New Roman"/>
          <w:b w:val="0"/>
          <w:bCs w:val="0"/>
          <w:sz w:val="32"/>
          <w:szCs w:val="32"/>
          <w:highlight w:val="none"/>
          <w:lang w:val="en-US" w:eastAsia="zh-CN"/>
        </w:rPr>
        <w:t>机构，可依法进行奖励。</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黑体" w:eastAsia="仿宋_GB2312"/>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 xml:space="preserve">第十条  </w:t>
      </w:r>
      <w:r>
        <w:rPr>
          <w:rFonts w:hint="eastAsia" w:ascii="仿宋_GB2312" w:hAnsi="黑体" w:eastAsia="仿宋_GB2312"/>
          <w:b w:val="0"/>
          <w:bCs w:val="0"/>
          <w:sz w:val="32"/>
          <w:szCs w:val="32"/>
          <w:highlight w:val="none"/>
          <w:lang w:val="en-US" w:eastAsia="zh-CN"/>
        </w:rPr>
        <w:t>政府部门工作人员不得将所掌握的拟引进项目（或企业）信息介绍给中介服务机构，一经发现移交相关部门处理。</w:t>
      </w:r>
    </w:p>
    <w:p>
      <w:pPr>
        <w:pStyle w:val="6"/>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color w:val="000000"/>
          <w:sz w:val="32"/>
          <w:szCs w:val="32"/>
          <w:highlight w:val="none"/>
          <w:lang w:val="en-US" w:eastAsia="zh-CN"/>
        </w:rPr>
      </w:pPr>
      <w:r>
        <w:rPr>
          <w:rFonts w:hint="eastAsia" w:ascii="黑体" w:hAnsi="黑体" w:eastAsia="黑体" w:cs="黑体"/>
          <w:b w:val="0"/>
          <w:bCs w:val="0"/>
          <w:sz w:val="32"/>
          <w:szCs w:val="32"/>
          <w:highlight w:val="none"/>
          <w:lang w:val="en-US" w:eastAsia="zh-CN"/>
        </w:rPr>
        <w:t>第十一条</w:t>
      </w:r>
      <w:r>
        <w:rPr>
          <w:rFonts w:hint="eastAsia" w:ascii="黑体" w:hAnsi="黑体" w:eastAsia="黑体" w:cs="黑体"/>
          <w:b w:val="0"/>
          <w:bCs/>
          <w:sz w:val="32"/>
          <w:szCs w:val="32"/>
          <w:highlight w:val="none"/>
          <w:lang w:val="en-US" w:eastAsia="zh-CN"/>
        </w:rPr>
        <w:t xml:space="preserve">  </w:t>
      </w:r>
      <w:r>
        <w:rPr>
          <w:rFonts w:hint="eastAsia" w:ascii="仿宋_GB2312" w:hAnsi="黑体" w:eastAsia="仿宋_GB2312"/>
          <w:sz w:val="32"/>
          <w:szCs w:val="32"/>
          <w:highlight w:val="none"/>
          <w:lang w:val="en-US" w:eastAsia="zh-CN"/>
        </w:rPr>
        <w:t>本办法由区投促中心负责解释。</w:t>
      </w:r>
      <w:r>
        <w:rPr>
          <w:rFonts w:hint="eastAsia" w:ascii="仿宋_GB2312" w:hAnsi="黑体" w:eastAsia="仿宋_GB2312" w:cs="Times New Roman"/>
          <w:i w:val="0"/>
          <w:caps w:val="0"/>
          <w:color w:val="auto"/>
          <w:spacing w:val="0"/>
          <w:sz w:val="32"/>
          <w:szCs w:val="32"/>
          <w:highlight w:val="none"/>
          <w:shd w:val="clear" w:color="auto" w:fill="auto"/>
        </w:rPr>
        <w:t>自公布之日起施行，</w:t>
      </w:r>
      <w:r>
        <w:rPr>
          <w:rFonts w:hint="eastAsia" w:ascii="仿宋_GB2312" w:hAnsi="黑体" w:eastAsia="仿宋_GB2312"/>
          <w:sz w:val="32"/>
          <w:szCs w:val="32"/>
          <w:highlight w:val="none"/>
          <w:lang w:val="en-US" w:eastAsia="zh-CN"/>
        </w:rPr>
        <w:t>试行期限3年，试行期间如遇国家及北京市相关政策变动将相应调整。</w:t>
      </w:r>
      <w:r>
        <w:rPr>
          <w:rFonts w:hint="eastAsia" w:ascii="仿宋_GB2312" w:hAnsi="黑体" w:eastAsia="仿宋_GB2312" w:cs="Times New Roman"/>
          <w:i w:val="0"/>
          <w:caps w:val="0"/>
          <w:color w:val="auto"/>
          <w:spacing w:val="0"/>
          <w:sz w:val="32"/>
          <w:szCs w:val="32"/>
          <w:highlight w:val="none"/>
          <w:shd w:val="clear" w:color="auto" w:fill="auto"/>
        </w:rPr>
        <w:t>《昌平区招商引资中介服务机构奖励办法（试行）》（</w:t>
      </w:r>
      <w:r>
        <w:rPr>
          <w:rFonts w:hint="eastAsia" w:ascii="仿宋_GB2312" w:hAnsi="黑体" w:eastAsia="仿宋_GB2312"/>
          <w:b w:val="0"/>
          <w:sz w:val="32"/>
          <w:szCs w:val="32"/>
          <w:highlight w:val="none"/>
        </w:rPr>
        <w:t>昌政办发〔202</w:t>
      </w:r>
      <w:r>
        <w:rPr>
          <w:rFonts w:hint="eastAsia" w:ascii="仿宋_GB2312" w:hAnsi="黑体" w:eastAsia="仿宋_GB2312"/>
          <w:b w:val="0"/>
          <w:sz w:val="32"/>
          <w:szCs w:val="32"/>
          <w:highlight w:val="none"/>
          <w:lang w:val="en-US" w:eastAsia="zh-CN"/>
        </w:rPr>
        <w:t>4</w:t>
      </w:r>
      <w:r>
        <w:rPr>
          <w:rFonts w:hint="eastAsia" w:ascii="仿宋_GB2312" w:hAnsi="黑体" w:eastAsia="仿宋_GB2312"/>
          <w:b w:val="0"/>
          <w:sz w:val="32"/>
          <w:szCs w:val="32"/>
          <w:highlight w:val="none"/>
        </w:rPr>
        <w:t>〕</w:t>
      </w:r>
      <w:r>
        <w:rPr>
          <w:rFonts w:hint="eastAsia" w:ascii="仿宋_GB2312" w:hAnsi="黑体" w:eastAsia="仿宋_GB2312"/>
          <w:b w:val="0"/>
          <w:sz w:val="32"/>
          <w:szCs w:val="32"/>
          <w:highlight w:val="none"/>
          <w:lang w:val="en-US" w:eastAsia="zh-CN"/>
        </w:rPr>
        <w:t>10</w:t>
      </w:r>
      <w:r>
        <w:rPr>
          <w:rFonts w:hint="eastAsia" w:ascii="仿宋_GB2312" w:hAnsi="黑体" w:eastAsia="仿宋_GB2312"/>
          <w:b w:val="0"/>
          <w:sz w:val="32"/>
          <w:szCs w:val="32"/>
          <w:highlight w:val="none"/>
        </w:rPr>
        <w:t>号</w:t>
      </w:r>
      <w:r>
        <w:rPr>
          <w:rFonts w:hint="eastAsia" w:ascii="仿宋_GB2312" w:hAnsi="黑体" w:eastAsia="仿宋_GB2312" w:cs="Times New Roman"/>
          <w:i w:val="0"/>
          <w:caps w:val="0"/>
          <w:color w:val="auto"/>
          <w:spacing w:val="0"/>
          <w:sz w:val="32"/>
          <w:szCs w:val="32"/>
          <w:highlight w:val="none"/>
          <w:shd w:val="clear" w:color="auto" w:fill="auto"/>
        </w:rPr>
        <w:t>）</w:t>
      </w:r>
      <w:r>
        <w:rPr>
          <w:rFonts w:hint="eastAsia" w:ascii="仿宋_GB2312" w:hAnsi="黑体" w:eastAsia="仿宋_GB2312" w:cs="Times New Roman"/>
          <w:i w:val="0"/>
          <w:caps w:val="0"/>
          <w:color w:val="auto"/>
          <w:spacing w:val="0"/>
          <w:sz w:val="32"/>
          <w:szCs w:val="32"/>
          <w:highlight w:val="none"/>
          <w:shd w:val="clear" w:color="auto" w:fill="auto"/>
          <w:lang w:eastAsia="zh-CN"/>
        </w:rPr>
        <w:t>同时</w:t>
      </w:r>
      <w:r>
        <w:rPr>
          <w:rFonts w:hint="eastAsia" w:ascii="仿宋_GB2312" w:hAnsi="黑体" w:eastAsia="仿宋_GB2312" w:cs="Times New Roman"/>
          <w:i w:val="0"/>
          <w:caps w:val="0"/>
          <w:color w:val="auto"/>
          <w:spacing w:val="0"/>
          <w:sz w:val="32"/>
          <w:szCs w:val="32"/>
          <w:highlight w:val="none"/>
          <w:shd w:val="clear" w:color="auto" w:fill="auto"/>
        </w:rPr>
        <w:t>废止</w:t>
      </w:r>
      <w:r>
        <w:rPr>
          <w:rFonts w:hint="eastAsia" w:ascii="仿宋_GB2312" w:hAnsi="黑体" w:eastAsia="仿宋_GB2312" w:cs="Times New Roman"/>
          <w:i w:val="0"/>
          <w:caps w:val="0"/>
          <w:spacing w:val="0"/>
          <w:sz w:val="32"/>
          <w:szCs w:val="32"/>
          <w:highlight w:val="none"/>
          <w:shd w:val="clear" w:color="auto" w:fill="auto"/>
          <w:lang w:eastAsia="zh-CN"/>
        </w:rPr>
        <w:t>。</w:t>
      </w:r>
    </w:p>
    <w:sectPr>
      <w:headerReference r:id="rId3" w:type="default"/>
      <w:footerReference r:id="rId4" w:type="default"/>
      <w:pgSz w:w="11906" w:h="16838"/>
      <w:pgMar w:top="2098" w:right="1531" w:bottom="1984" w:left="1531"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_GB2312">
    <w:altName w:val="Segoe Print"/>
    <w:panose1 w:val="020B0604020002020204"/>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MinionPro-Regular">
    <w:altName w:val="Cambria Math"/>
    <w:panose1 w:val="00000000000000000000"/>
    <w:charset w:val="00"/>
    <w:family w:val="auto"/>
    <w:pitch w:val="default"/>
    <w:sig w:usb0="00000000" w:usb1="00000000" w:usb2="00000000" w:usb3="00000000" w:csb0="00000001" w:csb1="00000000"/>
  </w:font>
  <w:font w:name="Helvetica">
    <w:panose1 w:val="020B0604020202020204"/>
    <w:charset w:val="00"/>
    <w:family w:val="swiss"/>
    <w:pitch w:val="default"/>
    <w:sig w:usb0="00000000" w:usb1="00000000" w:usb2="00000000" w:usb3="00000000" w:csb0="00000000" w:csb1="00000000"/>
  </w:font>
  <w:font w:name="ヒラギノ角ゴ Pro W3">
    <w:altName w:val="Times New Roman"/>
    <w:panose1 w:val="00000000000000000000"/>
    <w:charset w:val="00"/>
    <w:family w:val="auto"/>
    <w:pitch w:val="default"/>
    <w:sig w:usb0="00000000" w:usb1="00000000" w:usb2="00000000" w:usb3="00000000" w:csb0="00040001" w:csb1="00000000"/>
  </w:font>
  <w:font w:name="Corbel">
    <w:panose1 w:val="020B0503020204020204"/>
    <w:charset w:val="00"/>
    <w:family w:val="swiss"/>
    <w:pitch w:val="default"/>
    <w:sig w:usb0="A00002EF" w:usb1="4000A44B" w:usb2="00000000" w:usb3="00000000" w:csb0="2000019F" w:csb1="00000000"/>
  </w:font>
  <w:font w:name="MS Mincho">
    <w:panose1 w:val="02020609040205080304"/>
    <w:charset w:val="80"/>
    <w:family w:val="modern"/>
    <w:pitch w:val="default"/>
    <w:sig w:usb0="E00002FF" w:usb1="6AC7FDFB" w:usb2="00000012" w:usb3="00000000" w:csb0="4002009F" w:csb1="DFD7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L+UoUq8BAABL&#10;AwAADgAAAAAAAAABACAAAAAeAQAAZHJzL2Uyb0RvYy54bWxQSwUGAAAAAAYABgBZAQAAPwUAAAAA&#10;">
              <v:fill on="f" focussize="0,0"/>
              <v:stroke on="f"/>
              <v:imagedata o:title=""/>
              <o:lock v:ext="edit" aspectratio="f"/>
              <v:textbox inset="0mm,0mm,0mm,0mm" style="mso-fit-shape-to-text:t;">
                <w:txbxContent>
                  <w:p>
                    <w:pPr>
                      <w:pStyle w:val="1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13"/>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矩形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3"/>
                            <w:rPr>
                              <w:rFonts w:hint="eastAsia"/>
                            </w:rPr>
                          </w:pPr>
                        </w:p>
                      </w:txbxContent>
                    </wps:txbx>
                    <wps:bodyPr wrap="none" lIns="0" tIns="0" rIns="0" bIns="0" upright="1">
                      <a:spAutoFit/>
                    </wps:bodyPr>
                  </wps:wsp>
                </a:graphicData>
              </a:graphic>
            </wp:anchor>
          </w:drawing>
        </mc:Choice>
        <mc:Fallback>
          <w:pict>
            <v:rect id="矩形 8" o:spid="_x0000_s1026" o:spt="1"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l1uVLQAAAABQEAAA8AAAAAAAAAAQAg&#10;AAAAIgAAAGRycy9kb3ducmV2LnhtbFBLAQIUABQAAAAIAIdO4kBvfvJlpAEAAD4DAAAOAAAAAAAA&#10;AAEAIAAAAB8BAABkcnMvZTJvRG9jLnhtbFBLBQYAAAAABgAGAFkBAAA1BQAAAAA=&#10;">
              <v:fill on="f" focussize="0,0"/>
              <v:stroke on="f"/>
              <v:imagedata o:title=""/>
              <o:lock v:ext="edit" aspectratio="f"/>
              <v:textbox inset="0mm,0mm,0mm,0mm" style="mso-fit-shape-to-text:t;">
                <w:txbxContent>
                  <w:p>
                    <w:pPr>
                      <w:pStyle w:val="13"/>
                      <w:rPr>
                        <w:rFonts w:hint="eastAsia"/>
                      </w:rPr>
                    </w:pP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-89535</wp:posOffset>
              </wp:positionV>
              <wp:extent cx="622935" cy="350520"/>
              <wp:effectExtent l="0" t="0" r="0" b="0"/>
              <wp:wrapNone/>
              <wp:docPr id="5" name="矩形 3"/>
              <wp:cNvGraphicFramePr/>
              <a:graphic xmlns:a="http://schemas.openxmlformats.org/drawingml/2006/main">
                <a:graphicData uri="http://schemas.microsoft.com/office/word/2010/wordprocessingShape">
                  <wps:wsp>
                    <wps:cNvSpPr/>
                    <wps:spPr>
                      <a:xfrm>
                        <a:off x="0" y="0"/>
                        <a:ext cx="622935" cy="350520"/>
                      </a:xfrm>
                      <a:prstGeom prst="rect">
                        <a:avLst/>
                      </a:prstGeom>
                      <a:noFill/>
                      <a:ln>
                        <a:noFill/>
                      </a:ln>
                      <a:effectLst/>
                    </wps:spPr>
                    <wps:txbx>
                      <w:txbxContent>
                        <w:p>
                          <w:pPr>
                            <w:pStyle w:val="13"/>
                            <w:jc w:val="center"/>
                            <w:rPr>
                              <w:rFonts w:ascii="宋体" w:hAnsi="宋体"/>
                              <w:sz w:val="28"/>
                              <w:szCs w:val="28"/>
                            </w:rPr>
                          </w:pPr>
                        </w:p>
                      </w:txbxContent>
                    </wps:txbx>
                    <wps:bodyPr wrap="none" lIns="0" tIns="0" rIns="0" bIns="0" upright="1"/>
                  </wps:wsp>
                </a:graphicData>
              </a:graphic>
            </wp:anchor>
          </w:drawing>
        </mc:Choice>
        <mc:Fallback>
          <w:pict>
            <v:rect id="矩形 3" o:spid="_x0000_s1026" o:spt="1" style="position:absolute;left:0pt;margin-top:-7.05pt;height:27.6pt;width:49.05pt;mso-position-horizontal:outside;mso-position-horizontal-relative:margin;mso-wrap-style:none;z-index:251659264;mso-width-relative:page;mso-height-relative:page;" filled="f" stroked="f" coordsize="21600,21600" o:gfxdata="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3+1bkdUAAAAGAQAADwAAAAAAAAAB&#10;ACAAAAAiAAAAZHJzL2Rvd25yZXYueG1sUEsBAhQAFAAAAAgAh07iQPy0mNKhAQAAMAMAAA4AAAAA&#10;AAAAAQAgAAAAJAEAAGRycy9lMm9Eb2MueG1sUEsFBgAAAAAGAAYAWQEAADcFAAAAAA==&#10;">
              <v:fill on="f" focussize="0,0"/>
              <v:stroke on="f"/>
              <v:imagedata o:title=""/>
              <o:lock v:ext="edit" aspectratio="f"/>
              <v:textbox inset="0mm,0mm,0mm,0mm">
                <w:txbxContent>
                  <w:p>
                    <w:pPr>
                      <w:pStyle w:val="13"/>
                      <w:jc w:val="center"/>
                      <w:rPr>
                        <w:rFonts w:ascii="宋体" w:hAnsi="宋体"/>
                        <w:sz w:val="28"/>
                        <w:szCs w:val="28"/>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9"/>
  <w:displayHorizontalDrawingGridEvery w:val="1"/>
  <w:displayVerticalDrawingGridEvery w:val="1"/>
  <w:doNotShadeFormData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OGI4Y2U2YzdmMGMwOTFjMjA3NDY2OGE3OGMzZmUifQ=="/>
  </w:docVars>
  <w:rsids>
    <w:rsidRoot w:val="00172A27"/>
    <w:rsid w:val="001309B1"/>
    <w:rsid w:val="00172A27"/>
    <w:rsid w:val="00215F2A"/>
    <w:rsid w:val="00225EE7"/>
    <w:rsid w:val="00271A5D"/>
    <w:rsid w:val="00441213"/>
    <w:rsid w:val="004601B9"/>
    <w:rsid w:val="0048594F"/>
    <w:rsid w:val="0049746F"/>
    <w:rsid w:val="004B5487"/>
    <w:rsid w:val="005423FD"/>
    <w:rsid w:val="00556C1B"/>
    <w:rsid w:val="00617533"/>
    <w:rsid w:val="00635706"/>
    <w:rsid w:val="00650CAD"/>
    <w:rsid w:val="0069447D"/>
    <w:rsid w:val="007371B9"/>
    <w:rsid w:val="00745C96"/>
    <w:rsid w:val="00771600"/>
    <w:rsid w:val="007D65BF"/>
    <w:rsid w:val="007E0F62"/>
    <w:rsid w:val="007E7BE0"/>
    <w:rsid w:val="007F5BAF"/>
    <w:rsid w:val="0080424B"/>
    <w:rsid w:val="00832354"/>
    <w:rsid w:val="00842C5C"/>
    <w:rsid w:val="0084490B"/>
    <w:rsid w:val="00856E68"/>
    <w:rsid w:val="008B0B4E"/>
    <w:rsid w:val="008D2954"/>
    <w:rsid w:val="009C6855"/>
    <w:rsid w:val="00A02D90"/>
    <w:rsid w:val="00A3323E"/>
    <w:rsid w:val="00A56F0C"/>
    <w:rsid w:val="00A82938"/>
    <w:rsid w:val="00B348E7"/>
    <w:rsid w:val="00C62B28"/>
    <w:rsid w:val="00CD3EFA"/>
    <w:rsid w:val="00CD5C64"/>
    <w:rsid w:val="00DC0EB0"/>
    <w:rsid w:val="00E16CEB"/>
    <w:rsid w:val="00E812C3"/>
    <w:rsid w:val="00F41A98"/>
    <w:rsid w:val="00F9760C"/>
    <w:rsid w:val="01293A88"/>
    <w:rsid w:val="01456F31"/>
    <w:rsid w:val="01C40C09"/>
    <w:rsid w:val="01E908E7"/>
    <w:rsid w:val="01EA7ADB"/>
    <w:rsid w:val="024021C0"/>
    <w:rsid w:val="025E3C3C"/>
    <w:rsid w:val="02757B17"/>
    <w:rsid w:val="02822138"/>
    <w:rsid w:val="028561B7"/>
    <w:rsid w:val="0295526B"/>
    <w:rsid w:val="02BC7CCE"/>
    <w:rsid w:val="02D47D1B"/>
    <w:rsid w:val="02D7491D"/>
    <w:rsid w:val="02E80D50"/>
    <w:rsid w:val="02F035E9"/>
    <w:rsid w:val="03216AE7"/>
    <w:rsid w:val="03290731"/>
    <w:rsid w:val="032C6D63"/>
    <w:rsid w:val="03AA4EA3"/>
    <w:rsid w:val="03AE3DD3"/>
    <w:rsid w:val="03DC3538"/>
    <w:rsid w:val="03DF64D2"/>
    <w:rsid w:val="03F76E9B"/>
    <w:rsid w:val="043A5FF2"/>
    <w:rsid w:val="043F5CF7"/>
    <w:rsid w:val="04675ABC"/>
    <w:rsid w:val="04AE1D5B"/>
    <w:rsid w:val="04E81452"/>
    <w:rsid w:val="04F43C6C"/>
    <w:rsid w:val="05024E20"/>
    <w:rsid w:val="05145DE5"/>
    <w:rsid w:val="05500EB1"/>
    <w:rsid w:val="05523CF4"/>
    <w:rsid w:val="057D7CFD"/>
    <w:rsid w:val="058B2787"/>
    <w:rsid w:val="05D07895"/>
    <w:rsid w:val="05E0320F"/>
    <w:rsid w:val="05EF34CA"/>
    <w:rsid w:val="06436553"/>
    <w:rsid w:val="064F224A"/>
    <w:rsid w:val="06893960"/>
    <w:rsid w:val="06990034"/>
    <w:rsid w:val="06E85543"/>
    <w:rsid w:val="06FE4EB4"/>
    <w:rsid w:val="07277725"/>
    <w:rsid w:val="07461211"/>
    <w:rsid w:val="077851EC"/>
    <w:rsid w:val="07B37F53"/>
    <w:rsid w:val="07CB58F1"/>
    <w:rsid w:val="07E06F0C"/>
    <w:rsid w:val="07F2582F"/>
    <w:rsid w:val="0832724E"/>
    <w:rsid w:val="083D0683"/>
    <w:rsid w:val="08475D24"/>
    <w:rsid w:val="08834E54"/>
    <w:rsid w:val="08911ED9"/>
    <w:rsid w:val="08AA2334"/>
    <w:rsid w:val="08D67D29"/>
    <w:rsid w:val="08ED40F0"/>
    <w:rsid w:val="090150C2"/>
    <w:rsid w:val="096A7CD0"/>
    <w:rsid w:val="0977341A"/>
    <w:rsid w:val="09BA3AEC"/>
    <w:rsid w:val="09D205C7"/>
    <w:rsid w:val="0A3F5DE3"/>
    <w:rsid w:val="0A8B1A1F"/>
    <w:rsid w:val="0AF0075C"/>
    <w:rsid w:val="0B0F4F5C"/>
    <w:rsid w:val="0B9161F2"/>
    <w:rsid w:val="0B942F0D"/>
    <w:rsid w:val="0B966A04"/>
    <w:rsid w:val="0BA651F9"/>
    <w:rsid w:val="0BF45A16"/>
    <w:rsid w:val="0C263F05"/>
    <w:rsid w:val="0C3017D5"/>
    <w:rsid w:val="0C4F3640"/>
    <w:rsid w:val="0C553D97"/>
    <w:rsid w:val="0C584020"/>
    <w:rsid w:val="0C634984"/>
    <w:rsid w:val="0C6631E2"/>
    <w:rsid w:val="0C786D39"/>
    <w:rsid w:val="0CAB605A"/>
    <w:rsid w:val="0D2B72D0"/>
    <w:rsid w:val="0D585D9B"/>
    <w:rsid w:val="0D6815A5"/>
    <w:rsid w:val="0D837ECF"/>
    <w:rsid w:val="0DB75589"/>
    <w:rsid w:val="0DBA1585"/>
    <w:rsid w:val="0DBEAE69"/>
    <w:rsid w:val="0DC4382F"/>
    <w:rsid w:val="0DD83EE7"/>
    <w:rsid w:val="0DED5304"/>
    <w:rsid w:val="0E2B6E8D"/>
    <w:rsid w:val="0E41023D"/>
    <w:rsid w:val="0E654747"/>
    <w:rsid w:val="0E8678CA"/>
    <w:rsid w:val="0EB952C2"/>
    <w:rsid w:val="0EE5573B"/>
    <w:rsid w:val="0EEE6EB1"/>
    <w:rsid w:val="0F054419"/>
    <w:rsid w:val="0F155B32"/>
    <w:rsid w:val="0F6A1B52"/>
    <w:rsid w:val="0F837157"/>
    <w:rsid w:val="0F9B5883"/>
    <w:rsid w:val="0FAA23AD"/>
    <w:rsid w:val="0FD92BB7"/>
    <w:rsid w:val="100F2390"/>
    <w:rsid w:val="104E0DF6"/>
    <w:rsid w:val="10876E44"/>
    <w:rsid w:val="10932565"/>
    <w:rsid w:val="10AE6C95"/>
    <w:rsid w:val="10C63206"/>
    <w:rsid w:val="10D874D8"/>
    <w:rsid w:val="11223B28"/>
    <w:rsid w:val="11351F31"/>
    <w:rsid w:val="114104B6"/>
    <w:rsid w:val="11534135"/>
    <w:rsid w:val="11875C51"/>
    <w:rsid w:val="11B33893"/>
    <w:rsid w:val="11E051E0"/>
    <w:rsid w:val="122E5CB7"/>
    <w:rsid w:val="12316F42"/>
    <w:rsid w:val="125D139A"/>
    <w:rsid w:val="126A2AE0"/>
    <w:rsid w:val="127C4189"/>
    <w:rsid w:val="128B5539"/>
    <w:rsid w:val="12C00D8B"/>
    <w:rsid w:val="12D51F5B"/>
    <w:rsid w:val="13002972"/>
    <w:rsid w:val="1305056A"/>
    <w:rsid w:val="1317033A"/>
    <w:rsid w:val="13955567"/>
    <w:rsid w:val="13DB46AB"/>
    <w:rsid w:val="13DE46E3"/>
    <w:rsid w:val="13E34D8D"/>
    <w:rsid w:val="13EA319A"/>
    <w:rsid w:val="14022AEC"/>
    <w:rsid w:val="14547C97"/>
    <w:rsid w:val="14824C13"/>
    <w:rsid w:val="149F1A7D"/>
    <w:rsid w:val="14A13868"/>
    <w:rsid w:val="14A36A41"/>
    <w:rsid w:val="14B861EE"/>
    <w:rsid w:val="14D90C0B"/>
    <w:rsid w:val="14E17104"/>
    <w:rsid w:val="14F70502"/>
    <w:rsid w:val="14F80385"/>
    <w:rsid w:val="15153B9D"/>
    <w:rsid w:val="151A626E"/>
    <w:rsid w:val="15360CA5"/>
    <w:rsid w:val="153C449D"/>
    <w:rsid w:val="153E618E"/>
    <w:rsid w:val="154C24EB"/>
    <w:rsid w:val="15612E93"/>
    <w:rsid w:val="15A3768D"/>
    <w:rsid w:val="15A42019"/>
    <w:rsid w:val="15B7232D"/>
    <w:rsid w:val="15BB52CB"/>
    <w:rsid w:val="15CB5C3D"/>
    <w:rsid w:val="15EF3578"/>
    <w:rsid w:val="166F4E5F"/>
    <w:rsid w:val="16772EEC"/>
    <w:rsid w:val="167765D2"/>
    <w:rsid w:val="16A2593B"/>
    <w:rsid w:val="16AE748F"/>
    <w:rsid w:val="16B1161B"/>
    <w:rsid w:val="16BD4DDA"/>
    <w:rsid w:val="16CA1456"/>
    <w:rsid w:val="16D97EAA"/>
    <w:rsid w:val="16DA74C2"/>
    <w:rsid w:val="16E50381"/>
    <w:rsid w:val="16EA6FAB"/>
    <w:rsid w:val="171B4160"/>
    <w:rsid w:val="171E1FEB"/>
    <w:rsid w:val="174309B5"/>
    <w:rsid w:val="174D0B2A"/>
    <w:rsid w:val="175327D5"/>
    <w:rsid w:val="175A32DA"/>
    <w:rsid w:val="178126D2"/>
    <w:rsid w:val="17AC116F"/>
    <w:rsid w:val="17B2410B"/>
    <w:rsid w:val="17C14673"/>
    <w:rsid w:val="18204A0B"/>
    <w:rsid w:val="188D46DE"/>
    <w:rsid w:val="18BE3416"/>
    <w:rsid w:val="190F7C70"/>
    <w:rsid w:val="194442C1"/>
    <w:rsid w:val="19565DE7"/>
    <w:rsid w:val="197A737B"/>
    <w:rsid w:val="198A61AD"/>
    <w:rsid w:val="19922FEA"/>
    <w:rsid w:val="1A2B20D2"/>
    <w:rsid w:val="1A322187"/>
    <w:rsid w:val="1A813589"/>
    <w:rsid w:val="1ADE4940"/>
    <w:rsid w:val="1AE623B2"/>
    <w:rsid w:val="1B206291"/>
    <w:rsid w:val="1B6D2E0F"/>
    <w:rsid w:val="1BD82C09"/>
    <w:rsid w:val="1BEC6F1F"/>
    <w:rsid w:val="1C44694B"/>
    <w:rsid w:val="1C4C3EAD"/>
    <w:rsid w:val="1C524FBD"/>
    <w:rsid w:val="1CBA6AF2"/>
    <w:rsid w:val="1CE60C51"/>
    <w:rsid w:val="1CEA3533"/>
    <w:rsid w:val="1CF05E17"/>
    <w:rsid w:val="1D04045D"/>
    <w:rsid w:val="1D0C0129"/>
    <w:rsid w:val="1D15606E"/>
    <w:rsid w:val="1DBD4338"/>
    <w:rsid w:val="1DBF7DEC"/>
    <w:rsid w:val="1DE42376"/>
    <w:rsid w:val="1DE82AC7"/>
    <w:rsid w:val="1E06032E"/>
    <w:rsid w:val="1E164EDA"/>
    <w:rsid w:val="1E44224E"/>
    <w:rsid w:val="1E565162"/>
    <w:rsid w:val="1EDB465D"/>
    <w:rsid w:val="1EDD662B"/>
    <w:rsid w:val="1EFC1910"/>
    <w:rsid w:val="1F443C2A"/>
    <w:rsid w:val="1F8F3DA7"/>
    <w:rsid w:val="1FAD00C5"/>
    <w:rsid w:val="1FB820DC"/>
    <w:rsid w:val="1FCD75C1"/>
    <w:rsid w:val="1FD26AB4"/>
    <w:rsid w:val="200517B1"/>
    <w:rsid w:val="201F1580"/>
    <w:rsid w:val="20203259"/>
    <w:rsid w:val="20425237"/>
    <w:rsid w:val="20525F14"/>
    <w:rsid w:val="205A5280"/>
    <w:rsid w:val="20BD7A46"/>
    <w:rsid w:val="20DF7719"/>
    <w:rsid w:val="211B2851"/>
    <w:rsid w:val="21255EA8"/>
    <w:rsid w:val="213222FA"/>
    <w:rsid w:val="21497507"/>
    <w:rsid w:val="21610A62"/>
    <w:rsid w:val="21617485"/>
    <w:rsid w:val="21A52C0B"/>
    <w:rsid w:val="21AA7961"/>
    <w:rsid w:val="21B040DD"/>
    <w:rsid w:val="2207238D"/>
    <w:rsid w:val="2219698C"/>
    <w:rsid w:val="221D5A19"/>
    <w:rsid w:val="22787355"/>
    <w:rsid w:val="22862CCC"/>
    <w:rsid w:val="229756C8"/>
    <w:rsid w:val="22CC27D9"/>
    <w:rsid w:val="22D918B0"/>
    <w:rsid w:val="232D79A1"/>
    <w:rsid w:val="23393CAD"/>
    <w:rsid w:val="237E7618"/>
    <w:rsid w:val="23831E92"/>
    <w:rsid w:val="23870B3F"/>
    <w:rsid w:val="241A3B4F"/>
    <w:rsid w:val="244A59CE"/>
    <w:rsid w:val="244F5052"/>
    <w:rsid w:val="246456E8"/>
    <w:rsid w:val="248677F7"/>
    <w:rsid w:val="24C52FE2"/>
    <w:rsid w:val="24DE3C79"/>
    <w:rsid w:val="24DF013B"/>
    <w:rsid w:val="250B77D7"/>
    <w:rsid w:val="25560DF0"/>
    <w:rsid w:val="258107BD"/>
    <w:rsid w:val="258431CB"/>
    <w:rsid w:val="25E703CA"/>
    <w:rsid w:val="260C73CE"/>
    <w:rsid w:val="267959F0"/>
    <w:rsid w:val="26991444"/>
    <w:rsid w:val="26BF078A"/>
    <w:rsid w:val="26BF7D07"/>
    <w:rsid w:val="2737086C"/>
    <w:rsid w:val="27543735"/>
    <w:rsid w:val="277C0545"/>
    <w:rsid w:val="27B039EA"/>
    <w:rsid w:val="28241B97"/>
    <w:rsid w:val="287A72FF"/>
    <w:rsid w:val="28B97840"/>
    <w:rsid w:val="28F7072F"/>
    <w:rsid w:val="29084683"/>
    <w:rsid w:val="291D029D"/>
    <w:rsid w:val="29215A22"/>
    <w:rsid w:val="293068A4"/>
    <w:rsid w:val="2931328F"/>
    <w:rsid w:val="296C3D51"/>
    <w:rsid w:val="29782031"/>
    <w:rsid w:val="29E3509E"/>
    <w:rsid w:val="2A1935E9"/>
    <w:rsid w:val="2A2678E1"/>
    <w:rsid w:val="2A505D53"/>
    <w:rsid w:val="2A511D4D"/>
    <w:rsid w:val="2AF32E00"/>
    <w:rsid w:val="2B143A63"/>
    <w:rsid w:val="2B1E335F"/>
    <w:rsid w:val="2B2A113C"/>
    <w:rsid w:val="2B7322E4"/>
    <w:rsid w:val="2B93020F"/>
    <w:rsid w:val="2BB13BF1"/>
    <w:rsid w:val="2BB239D1"/>
    <w:rsid w:val="2BB47CFC"/>
    <w:rsid w:val="2BDE2EC9"/>
    <w:rsid w:val="2C064C83"/>
    <w:rsid w:val="2C331C82"/>
    <w:rsid w:val="2C4402BC"/>
    <w:rsid w:val="2C46263D"/>
    <w:rsid w:val="2CC34809"/>
    <w:rsid w:val="2CDD7B66"/>
    <w:rsid w:val="2D4932FE"/>
    <w:rsid w:val="2D932D03"/>
    <w:rsid w:val="2D990D5C"/>
    <w:rsid w:val="2DCE3DB2"/>
    <w:rsid w:val="2E5214BB"/>
    <w:rsid w:val="2ED674ED"/>
    <w:rsid w:val="2EFE56A9"/>
    <w:rsid w:val="2F1D78C2"/>
    <w:rsid w:val="2F287FEA"/>
    <w:rsid w:val="2F351D79"/>
    <w:rsid w:val="2F362F0F"/>
    <w:rsid w:val="2F430131"/>
    <w:rsid w:val="2F4B4CBD"/>
    <w:rsid w:val="2F591426"/>
    <w:rsid w:val="2F7242F3"/>
    <w:rsid w:val="2F8B0C84"/>
    <w:rsid w:val="2F8C2D0A"/>
    <w:rsid w:val="2FDB092B"/>
    <w:rsid w:val="2FF44A4E"/>
    <w:rsid w:val="3063009C"/>
    <w:rsid w:val="30C115DB"/>
    <w:rsid w:val="30D44FBD"/>
    <w:rsid w:val="30D72CAD"/>
    <w:rsid w:val="31211992"/>
    <w:rsid w:val="315B989D"/>
    <w:rsid w:val="31630320"/>
    <w:rsid w:val="31B41510"/>
    <w:rsid w:val="31C44AF8"/>
    <w:rsid w:val="31D41719"/>
    <w:rsid w:val="31DB633A"/>
    <w:rsid w:val="31E22167"/>
    <w:rsid w:val="31E691BF"/>
    <w:rsid w:val="31F22BDD"/>
    <w:rsid w:val="32005AC0"/>
    <w:rsid w:val="320F0455"/>
    <w:rsid w:val="321121AE"/>
    <w:rsid w:val="32215BDA"/>
    <w:rsid w:val="32780921"/>
    <w:rsid w:val="328E6660"/>
    <w:rsid w:val="32B145B3"/>
    <w:rsid w:val="32BA15C0"/>
    <w:rsid w:val="32E60487"/>
    <w:rsid w:val="3341120A"/>
    <w:rsid w:val="336B24D3"/>
    <w:rsid w:val="33747E76"/>
    <w:rsid w:val="33A26558"/>
    <w:rsid w:val="33A879E0"/>
    <w:rsid w:val="33BC46B7"/>
    <w:rsid w:val="33D02320"/>
    <w:rsid w:val="33D3F3AF"/>
    <w:rsid w:val="33E63100"/>
    <w:rsid w:val="340409F8"/>
    <w:rsid w:val="346D6FE9"/>
    <w:rsid w:val="34862D71"/>
    <w:rsid w:val="34895A89"/>
    <w:rsid w:val="349940BB"/>
    <w:rsid w:val="349F82DB"/>
    <w:rsid w:val="34B83D0D"/>
    <w:rsid w:val="34CA38E8"/>
    <w:rsid w:val="34CD7A6C"/>
    <w:rsid w:val="34EB55D9"/>
    <w:rsid w:val="351C799E"/>
    <w:rsid w:val="35444422"/>
    <w:rsid w:val="35513267"/>
    <w:rsid w:val="3557777B"/>
    <w:rsid w:val="35747E74"/>
    <w:rsid w:val="35A23951"/>
    <w:rsid w:val="35F66132"/>
    <w:rsid w:val="360C2A42"/>
    <w:rsid w:val="36176694"/>
    <w:rsid w:val="3650117E"/>
    <w:rsid w:val="36572887"/>
    <w:rsid w:val="36774992"/>
    <w:rsid w:val="36B47C0E"/>
    <w:rsid w:val="36DF41E6"/>
    <w:rsid w:val="37103CC1"/>
    <w:rsid w:val="371D336E"/>
    <w:rsid w:val="373C1656"/>
    <w:rsid w:val="375E0C59"/>
    <w:rsid w:val="376B6814"/>
    <w:rsid w:val="37F73DBF"/>
    <w:rsid w:val="38060F82"/>
    <w:rsid w:val="38135AC0"/>
    <w:rsid w:val="3826446A"/>
    <w:rsid w:val="385068F2"/>
    <w:rsid w:val="38623DFC"/>
    <w:rsid w:val="387C04CE"/>
    <w:rsid w:val="38924941"/>
    <w:rsid w:val="38A97CB4"/>
    <w:rsid w:val="38E23D1A"/>
    <w:rsid w:val="394A4C7E"/>
    <w:rsid w:val="3957487F"/>
    <w:rsid w:val="397636DE"/>
    <w:rsid w:val="3A0B05A0"/>
    <w:rsid w:val="3A212C08"/>
    <w:rsid w:val="3A25570A"/>
    <w:rsid w:val="3A5709AD"/>
    <w:rsid w:val="3A8839D7"/>
    <w:rsid w:val="3AAE3F3F"/>
    <w:rsid w:val="3AB51373"/>
    <w:rsid w:val="3ADB31A3"/>
    <w:rsid w:val="3AE67DCD"/>
    <w:rsid w:val="3AEC523D"/>
    <w:rsid w:val="3B42705D"/>
    <w:rsid w:val="3B6B534E"/>
    <w:rsid w:val="3B872057"/>
    <w:rsid w:val="3B953CBB"/>
    <w:rsid w:val="3BBC306A"/>
    <w:rsid w:val="3BCC3854"/>
    <w:rsid w:val="3BE450E6"/>
    <w:rsid w:val="3BE82827"/>
    <w:rsid w:val="3BE97AF3"/>
    <w:rsid w:val="3BF85DAA"/>
    <w:rsid w:val="3C0D5909"/>
    <w:rsid w:val="3C1A1959"/>
    <w:rsid w:val="3C39301A"/>
    <w:rsid w:val="3C597D99"/>
    <w:rsid w:val="3C5D4072"/>
    <w:rsid w:val="3C8B6B22"/>
    <w:rsid w:val="3CA57435"/>
    <w:rsid w:val="3D79518E"/>
    <w:rsid w:val="3D883E24"/>
    <w:rsid w:val="3D9D1FB2"/>
    <w:rsid w:val="3DB97219"/>
    <w:rsid w:val="3DC1298A"/>
    <w:rsid w:val="3E0A2E58"/>
    <w:rsid w:val="3E13023B"/>
    <w:rsid w:val="3E5A50C7"/>
    <w:rsid w:val="3E7D55FE"/>
    <w:rsid w:val="3E8756D1"/>
    <w:rsid w:val="3EA000B1"/>
    <w:rsid w:val="3EE07EBC"/>
    <w:rsid w:val="3EEB30B8"/>
    <w:rsid w:val="3EEF3D75"/>
    <w:rsid w:val="3F3A1A7F"/>
    <w:rsid w:val="3F3E787A"/>
    <w:rsid w:val="3F752357"/>
    <w:rsid w:val="3FCB62F7"/>
    <w:rsid w:val="3FFE25E0"/>
    <w:rsid w:val="3FFF42A2"/>
    <w:rsid w:val="40272FF0"/>
    <w:rsid w:val="40310565"/>
    <w:rsid w:val="40351ED4"/>
    <w:rsid w:val="408510C6"/>
    <w:rsid w:val="40913A19"/>
    <w:rsid w:val="40CB3953"/>
    <w:rsid w:val="40D73934"/>
    <w:rsid w:val="40E13050"/>
    <w:rsid w:val="40E88A7F"/>
    <w:rsid w:val="411E655F"/>
    <w:rsid w:val="413A1861"/>
    <w:rsid w:val="41462837"/>
    <w:rsid w:val="41507A91"/>
    <w:rsid w:val="417B51FF"/>
    <w:rsid w:val="41B8065F"/>
    <w:rsid w:val="41C40C95"/>
    <w:rsid w:val="41EA03D1"/>
    <w:rsid w:val="41EC114A"/>
    <w:rsid w:val="4234404F"/>
    <w:rsid w:val="425804ED"/>
    <w:rsid w:val="425E4557"/>
    <w:rsid w:val="42662060"/>
    <w:rsid w:val="4295678A"/>
    <w:rsid w:val="42EA0D1C"/>
    <w:rsid w:val="42FC7648"/>
    <w:rsid w:val="4338685E"/>
    <w:rsid w:val="436A6EC8"/>
    <w:rsid w:val="43B05EC3"/>
    <w:rsid w:val="43BC507E"/>
    <w:rsid w:val="43DB7841"/>
    <w:rsid w:val="43E375F9"/>
    <w:rsid w:val="440542CF"/>
    <w:rsid w:val="440ECA87"/>
    <w:rsid w:val="440F2BE6"/>
    <w:rsid w:val="441A09E5"/>
    <w:rsid w:val="443DC988"/>
    <w:rsid w:val="44441399"/>
    <w:rsid w:val="445A8DB2"/>
    <w:rsid w:val="44C03011"/>
    <w:rsid w:val="44EA520C"/>
    <w:rsid w:val="45072BDB"/>
    <w:rsid w:val="45622D17"/>
    <w:rsid w:val="45A93C60"/>
    <w:rsid w:val="460E6EDE"/>
    <w:rsid w:val="4636529A"/>
    <w:rsid w:val="463B5350"/>
    <w:rsid w:val="46785B3B"/>
    <w:rsid w:val="467C0F75"/>
    <w:rsid w:val="469835F1"/>
    <w:rsid w:val="46A86309"/>
    <w:rsid w:val="46F66F2D"/>
    <w:rsid w:val="470C0BC0"/>
    <w:rsid w:val="4743AD21"/>
    <w:rsid w:val="47462010"/>
    <w:rsid w:val="47521D9A"/>
    <w:rsid w:val="47594788"/>
    <w:rsid w:val="477D094D"/>
    <w:rsid w:val="477E7509"/>
    <w:rsid w:val="47D51C6F"/>
    <w:rsid w:val="47E61298"/>
    <w:rsid w:val="4819306C"/>
    <w:rsid w:val="48886BA8"/>
    <w:rsid w:val="48DE5F28"/>
    <w:rsid w:val="48F42F34"/>
    <w:rsid w:val="48FB5352"/>
    <w:rsid w:val="491E03A6"/>
    <w:rsid w:val="49305C02"/>
    <w:rsid w:val="4932675D"/>
    <w:rsid w:val="4934056E"/>
    <w:rsid w:val="49641B17"/>
    <w:rsid w:val="497932F6"/>
    <w:rsid w:val="497D2BDD"/>
    <w:rsid w:val="4991337C"/>
    <w:rsid w:val="49B66EEE"/>
    <w:rsid w:val="49D43E05"/>
    <w:rsid w:val="49F42EAF"/>
    <w:rsid w:val="49F71F59"/>
    <w:rsid w:val="4A150F13"/>
    <w:rsid w:val="4A1611F8"/>
    <w:rsid w:val="4A46148E"/>
    <w:rsid w:val="4AAC6EC4"/>
    <w:rsid w:val="4AB62222"/>
    <w:rsid w:val="4ACC5E49"/>
    <w:rsid w:val="4AE8CE96"/>
    <w:rsid w:val="4B123684"/>
    <w:rsid w:val="4B134EFD"/>
    <w:rsid w:val="4B2F254A"/>
    <w:rsid w:val="4B315961"/>
    <w:rsid w:val="4B533728"/>
    <w:rsid w:val="4BA616E2"/>
    <w:rsid w:val="4BA70C3E"/>
    <w:rsid w:val="4C0B003B"/>
    <w:rsid w:val="4C0F339D"/>
    <w:rsid w:val="4C3214F8"/>
    <w:rsid w:val="4CB51915"/>
    <w:rsid w:val="4CBF0DE1"/>
    <w:rsid w:val="4CC05EC9"/>
    <w:rsid w:val="4CCA376B"/>
    <w:rsid w:val="4D1578DB"/>
    <w:rsid w:val="4D187DFB"/>
    <w:rsid w:val="4D1B7D8F"/>
    <w:rsid w:val="4D816C71"/>
    <w:rsid w:val="4D8F5351"/>
    <w:rsid w:val="4D996878"/>
    <w:rsid w:val="4D9C4DE5"/>
    <w:rsid w:val="4DB54820"/>
    <w:rsid w:val="4DB81E61"/>
    <w:rsid w:val="4DC02E46"/>
    <w:rsid w:val="4DC279DB"/>
    <w:rsid w:val="4DCA3E08"/>
    <w:rsid w:val="4DE313AF"/>
    <w:rsid w:val="4E060700"/>
    <w:rsid w:val="4E1136D5"/>
    <w:rsid w:val="4E3F2303"/>
    <w:rsid w:val="4E916778"/>
    <w:rsid w:val="4EF575B0"/>
    <w:rsid w:val="4F25110C"/>
    <w:rsid w:val="4F28486E"/>
    <w:rsid w:val="4F642EA7"/>
    <w:rsid w:val="4F8C1F82"/>
    <w:rsid w:val="4FC24638"/>
    <w:rsid w:val="4FE3F533"/>
    <w:rsid w:val="4FEB6F0E"/>
    <w:rsid w:val="502633D7"/>
    <w:rsid w:val="503B1156"/>
    <w:rsid w:val="503F6A00"/>
    <w:rsid w:val="506813A9"/>
    <w:rsid w:val="507D592A"/>
    <w:rsid w:val="50C1476A"/>
    <w:rsid w:val="50D222D8"/>
    <w:rsid w:val="50D51ED1"/>
    <w:rsid w:val="50DD06D4"/>
    <w:rsid w:val="512E783F"/>
    <w:rsid w:val="513E6226"/>
    <w:rsid w:val="515936D1"/>
    <w:rsid w:val="516E3313"/>
    <w:rsid w:val="51EB5D4F"/>
    <w:rsid w:val="51EF7BAB"/>
    <w:rsid w:val="51FB1A83"/>
    <w:rsid w:val="52044FB2"/>
    <w:rsid w:val="52241756"/>
    <w:rsid w:val="523C2A16"/>
    <w:rsid w:val="52487C2C"/>
    <w:rsid w:val="52886DC4"/>
    <w:rsid w:val="528A46C1"/>
    <w:rsid w:val="52C906FB"/>
    <w:rsid w:val="52DB2382"/>
    <w:rsid w:val="530C6952"/>
    <w:rsid w:val="531A6050"/>
    <w:rsid w:val="53B366E8"/>
    <w:rsid w:val="53D14BF6"/>
    <w:rsid w:val="53E90A8A"/>
    <w:rsid w:val="541E41B5"/>
    <w:rsid w:val="54657E78"/>
    <w:rsid w:val="549E6372"/>
    <w:rsid w:val="54A4641E"/>
    <w:rsid w:val="54FA301A"/>
    <w:rsid w:val="55130C6B"/>
    <w:rsid w:val="554934AF"/>
    <w:rsid w:val="556C25A1"/>
    <w:rsid w:val="557137B3"/>
    <w:rsid w:val="55DC2BF6"/>
    <w:rsid w:val="56094EC2"/>
    <w:rsid w:val="562C761E"/>
    <w:rsid w:val="568415AF"/>
    <w:rsid w:val="569A64DF"/>
    <w:rsid w:val="56C0573E"/>
    <w:rsid w:val="57206A72"/>
    <w:rsid w:val="57604ADF"/>
    <w:rsid w:val="57A476DD"/>
    <w:rsid w:val="57BA74D7"/>
    <w:rsid w:val="57D3738E"/>
    <w:rsid w:val="57D80401"/>
    <w:rsid w:val="57EC52D2"/>
    <w:rsid w:val="57FEB363"/>
    <w:rsid w:val="580355C3"/>
    <w:rsid w:val="580B27B4"/>
    <w:rsid w:val="5828119F"/>
    <w:rsid w:val="58332B1D"/>
    <w:rsid w:val="585F1BC2"/>
    <w:rsid w:val="58646FB8"/>
    <w:rsid w:val="58903A36"/>
    <w:rsid w:val="593631CF"/>
    <w:rsid w:val="593C4E30"/>
    <w:rsid w:val="594435C1"/>
    <w:rsid w:val="59593E89"/>
    <w:rsid w:val="59BC6661"/>
    <w:rsid w:val="59C65E27"/>
    <w:rsid w:val="59E6000A"/>
    <w:rsid w:val="59EC06A4"/>
    <w:rsid w:val="59EE0E3B"/>
    <w:rsid w:val="5A3A357A"/>
    <w:rsid w:val="5A4C2C97"/>
    <w:rsid w:val="5A4D132C"/>
    <w:rsid w:val="5A5D639F"/>
    <w:rsid w:val="5A772FE1"/>
    <w:rsid w:val="5AF03E3F"/>
    <w:rsid w:val="5B307242"/>
    <w:rsid w:val="5B482DDD"/>
    <w:rsid w:val="5B4A7705"/>
    <w:rsid w:val="5B89318B"/>
    <w:rsid w:val="5BBC19D3"/>
    <w:rsid w:val="5BC81E3E"/>
    <w:rsid w:val="5BE00A2D"/>
    <w:rsid w:val="5BEF0BB2"/>
    <w:rsid w:val="5C283FA0"/>
    <w:rsid w:val="5C306AAF"/>
    <w:rsid w:val="5C5617A7"/>
    <w:rsid w:val="5C5A57B7"/>
    <w:rsid w:val="5C651820"/>
    <w:rsid w:val="5C692D6D"/>
    <w:rsid w:val="5C974738"/>
    <w:rsid w:val="5CB51EF3"/>
    <w:rsid w:val="5CBC2EE2"/>
    <w:rsid w:val="5CC75978"/>
    <w:rsid w:val="5CD81525"/>
    <w:rsid w:val="5CF01E16"/>
    <w:rsid w:val="5E3C3B89"/>
    <w:rsid w:val="5E4A3F9E"/>
    <w:rsid w:val="5E4C3151"/>
    <w:rsid w:val="5E690933"/>
    <w:rsid w:val="5E6A4F21"/>
    <w:rsid w:val="5EEF7EA3"/>
    <w:rsid w:val="5F1F3E99"/>
    <w:rsid w:val="5F3C5126"/>
    <w:rsid w:val="5FBC0EA5"/>
    <w:rsid w:val="5FF4552E"/>
    <w:rsid w:val="60672D29"/>
    <w:rsid w:val="60870D71"/>
    <w:rsid w:val="60D6660A"/>
    <w:rsid w:val="60F6753D"/>
    <w:rsid w:val="6106051C"/>
    <w:rsid w:val="611555FE"/>
    <w:rsid w:val="6135138D"/>
    <w:rsid w:val="618B719C"/>
    <w:rsid w:val="61BDF20B"/>
    <w:rsid w:val="620208C1"/>
    <w:rsid w:val="620E2ADC"/>
    <w:rsid w:val="62234ADD"/>
    <w:rsid w:val="62331BDA"/>
    <w:rsid w:val="62483C24"/>
    <w:rsid w:val="62966BD3"/>
    <w:rsid w:val="62C0575E"/>
    <w:rsid w:val="62E738CE"/>
    <w:rsid w:val="62ED74DF"/>
    <w:rsid w:val="63030F85"/>
    <w:rsid w:val="63315561"/>
    <w:rsid w:val="633D0000"/>
    <w:rsid w:val="636A7919"/>
    <w:rsid w:val="63A27AAF"/>
    <w:rsid w:val="63B3126D"/>
    <w:rsid w:val="63C63E52"/>
    <w:rsid w:val="63CD661B"/>
    <w:rsid w:val="63DD3D6A"/>
    <w:rsid w:val="64454CCB"/>
    <w:rsid w:val="648D7EF0"/>
    <w:rsid w:val="64914909"/>
    <w:rsid w:val="649471DB"/>
    <w:rsid w:val="6497182D"/>
    <w:rsid w:val="64A48512"/>
    <w:rsid w:val="64FB6329"/>
    <w:rsid w:val="64FD6507"/>
    <w:rsid w:val="65087D19"/>
    <w:rsid w:val="651B4A97"/>
    <w:rsid w:val="653649D0"/>
    <w:rsid w:val="65460DAA"/>
    <w:rsid w:val="65572020"/>
    <w:rsid w:val="65CBCAE4"/>
    <w:rsid w:val="65DA17BB"/>
    <w:rsid w:val="65DC4FD6"/>
    <w:rsid w:val="65FA0D69"/>
    <w:rsid w:val="65FC1453"/>
    <w:rsid w:val="660218F6"/>
    <w:rsid w:val="660C498C"/>
    <w:rsid w:val="66393F9D"/>
    <w:rsid w:val="66452A5A"/>
    <w:rsid w:val="666809D0"/>
    <w:rsid w:val="667227B8"/>
    <w:rsid w:val="66E17D16"/>
    <w:rsid w:val="66EB500C"/>
    <w:rsid w:val="66FB6FA9"/>
    <w:rsid w:val="67162843"/>
    <w:rsid w:val="67907DA5"/>
    <w:rsid w:val="679443ED"/>
    <w:rsid w:val="67D75216"/>
    <w:rsid w:val="67F018D9"/>
    <w:rsid w:val="67F02C74"/>
    <w:rsid w:val="6802547D"/>
    <w:rsid w:val="683362B8"/>
    <w:rsid w:val="6850108F"/>
    <w:rsid w:val="68A27081"/>
    <w:rsid w:val="68C17B9B"/>
    <w:rsid w:val="692B05E9"/>
    <w:rsid w:val="694036F5"/>
    <w:rsid w:val="69797FA1"/>
    <w:rsid w:val="6986514E"/>
    <w:rsid w:val="69AB2D6B"/>
    <w:rsid w:val="69BE12DF"/>
    <w:rsid w:val="69C4205E"/>
    <w:rsid w:val="6A0D5F00"/>
    <w:rsid w:val="6A2E6E24"/>
    <w:rsid w:val="6A3A2E24"/>
    <w:rsid w:val="6A47359A"/>
    <w:rsid w:val="6A6D4276"/>
    <w:rsid w:val="6A8969AF"/>
    <w:rsid w:val="6AB80C0D"/>
    <w:rsid w:val="6B556B84"/>
    <w:rsid w:val="6B96B5EB"/>
    <w:rsid w:val="6BA166AB"/>
    <w:rsid w:val="6BE7364F"/>
    <w:rsid w:val="6BE836D5"/>
    <w:rsid w:val="6BEB4E8C"/>
    <w:rsid w:val="6BFF19EF"/>
    <w:rsid w:val="6C3B4D24"/>
    <w:rsid w:val="6C4B16C9"/>
    <w:rsid w:val="6CB36306"/>
    <w:rsid w:val="6CBD6C3E"/>
    <w:rsid w:val="6CE8214A"/>
    <w:rsid w:val="6D0C1C58"/>
    <w:rsid w:val="6D1335E6"/>
    <w:rsid w:val="6D8765EE"/>
    <w:rsid w:val="6D900ECF"/>
    <w:rsid w:val="6D961BD3"/>
    <w:rsid w:val="6E186EFA"/>
    <w:rsid w:val="6E187F04"/>
    <w:rsid w:val="6E294F18"/>
    <w:rsid w:val="6E5F3C3B"/>
    <w:rsid w:val="6ED63A05"/>
    <w:rsid w:val="6EE35E3B"/>
    <w:rsid w:val="6F043844"/>
    <w:rsid w:val="6F121D86"/>
    <w:rsid w:val="6F157CE7"/>
    <w:rsid w:val="6F3620AB"/>
    <w:rsid w:val="6F477DE5"/>
    <w:rsid w:val="6F4A7968"/>
    <w:rsid w:val="6F7D07D3"/>
    <w:rsid w:val="6F902165"/>
    <w:rsid w:val="6FAB4C7B"/>
    <w:rsid w:val="6FC00E0A"/>
    <w:rsid w:val="6FD347CA"/>
    <w:rsid w:val="70027213"/>
    <w:rsid w:val="7021544E"/>
    <w:rsid w:val="70840C06"/>
    <w:rsid w:val="708C79C9"/>
    <w:rsid w:val="70CC1E00"/>
    <w:rsid w:val="712B4185"/>
    <w:rsid w:val="716D5CB7"/>
    <w:rsid w:val="71CF7766"/>
    <w:rsid w:val="71FA2C8D"/>
    <w:rsid w:val="720D6E33"/>
    <w:rsid w:val="72394922"/>
    <w:rsid w:val="724E7B4B"/>
    <w:rsid w:val="72731116"/>
    <w:rsid w:val="72754E4A"/>
    <w:rsid w:val="72AE3941"/>
    <w:rsid w:val="72BD0342"/>
    <w:rsid w:val="72E43D9B"/>
    <w:rsid w:val="72F4296E"/>
    <w:rsid w:val="730F1532"/>
    <w:rsid w:val="7329574C"/>
    <w:rsid w:val="7335340F"/>
    <w:rsid w:val="7335654C"/>
    <w:rsid w:val="737920F0"/>
    <w:rsid w:val="73AC684E"/>
    <w:rsid w:val="73C82268"/>
    <w:rsid w:val="741761A8"/>
    <w:rsid w:val="741929F6"/>
    <w:rsid w:val="743E1E62"/>
    <w:rsid w:val="745A6714"/>
    <w:rsid w:val="74C444E4"/>
    <w:rsid w:val="74EF1C58"/>
    <w:rsid w:val="7506577A"/>
    <w:rsid w:val="75332036"/>
    <w:rsid w:val="753BB9B1"/>
    <w:rsid w:val="758B7940"/>
    <w:rsid w:val="758C8C0D"/>
    <w:rsid w:val="75BD2138"/>
    <w:rsid w:val="75C236B3"/>
    <w:rsid w:val="763A2301"/>
    <w:rsid w:val="764324C1"/>
    <w:rsid w:val="764E9001"/>
    <w:rsid w:val="765F3203"/>
    <w:rsid w:val="7663354C"/>
    <w:rsid w:val="766F6525"/>
    <w:rsid w:val="7681258F"/>
    <w:rsid w:val="772A2A6A"/>
    <w:rsid w:val="7750702C"/>
    <w:rsid w:val="775B52BD"/>
    <w:rsid w:val="776A4349"/>
    <w:rsid w:val="777E64CF"/>
    <w:rsid w:val="778A4647"/>
    <w:rsid w:val="77B52D0E"/>
    <w:rsid w:val="785645F0"/>
    <w:rsid w:val="7865092C"/>
    <w:rsid w:val="78755B75"/>
    <w:rsid w:val="789D0D2B"/>
    <w:rsid w:val="789D5DF7"/>
    <w:rsid w:val="78B0390F"/>
    <w:rsid w:val="78B466DB"/>
    <w:rsid w:val="78E8B87E"/>
    <w:rsid w:val="78FF3931"/>
    <w:rsid w:val="79157CC7"/>
    <w:rsid w:val="7934724A"/>
    <w:rsid w:val="79684E88"/>
    <w:rsid w:val="79B81ECE"/>
    <w:rsid w:val="79D76D5A"/>
    <w:rsid w:val="79D80585"/>
    <w:rsid w:val="79ED691A"/>
    <w:rsid w:val="7A175BE0"/>
    <w:rsid w:val="7A26083A"/>
    <w:rsid w:val="7A3E446E"/>
    <w:rsid w:val="7A537A9A"/>
    <w:rsid w:val="7A97384B"/>
    <w:rsid w:val="7AC6705C"/>
    <w:rsid w:val="7ADC2F04"/>
    <w:rsid w:val="7B2AAD78"/>
    <w:rsid w:val="7B36789F"/>
    <w:rsid w:val="7B3779EB"/>
    <w:rsid w:val="7B5C031D"/>
    <w:rsid w:val="7B7C71D9"/>
    <w:rsid w:val="7BC862C6"/>
    <w:rsid w:val="7C727266"/>
    <w:rsid w:val="7C7B5690"/>
    <w:rsid w:val="7C853C16"/>
    <w:rsid w:val="7C932F71"/>
    <w:rsid w:val="7CAA58D3"/>
    <w:rsid w:val="7CB63092"/>
    <w:rsid w:val="7CBD31E9"/>
    <w:rsid w:val="7CCF4EF2"/>
    <w:rsid w:val="7CDE2EC5"/>
    <w:rsid w:val="7D405B4E"/>
    <w:rsid w:val="7D4D1531"/>
    <w:rsid w:val="7D9319FD"/>
    <w:rsid w:val="7DB26FB7"/>
    <w:rsid w:val="7DC401E0"/>
    <w:rsid w:val="7E280D09"/>
    <w:rsid w:val="7E54208E"/>
    <w:rsid w:val="7E6016B0"/>
    <w:rsid w:val="7E630902"/>
    <w:rsid w:val="7E88712F"/>
    <w:rsid w:val="7E8D5AAF"/>
    <w:rsid w:val="7EC840D6"/>
    <w:rsid w:val="7ED64486"/>
    <w:rsid w:val="7EDC760C"/>
    <w:rsid w:val="7EE770CE"/>
    <w:rsid w:val="7F1A490C"/>
    <w:rsid w:val="7F2A13DC"/>
    <w:rsid w:val="7F481232"/>
    <w:rsid w:val="7F545C52"/>
    <w:rsid w:val="7F622843"/>
    <w:rsid w:val="7F71415D"/>
    <w:rsid w:val="7F8465C8"/>
    <w:rsid w:val="7F9F35DB"/>
    <w:rsid w:val="7FCE8E3E"/>
    <w:rsid w:val="7FD21E71"/>
    <w:rsid w:val="7FFB4215"/>
    <w:rsid w:val="7FFC4B49"/>
    <w:rsid w:val="8083C72F"/>
    <w:rsid w:val="8428E68A"/>
    <w:rsid w:val="8542A00F"/>
    <w:rsid w:val="868F4873"/>
    <w:rsid w:val="8E0B452D"/>
    <w:rsid w:val="92EBA0FA"/>
    <w:rsid w:val="98C7BD60"/>
    <w:rsid w:val="999750B1"/>
    <w:rsid w:val="9D2EABD3"/>
    <w:rsid w:val="A05D96F2"/>
    <w:rsid w:val="A6C8B33C"/>
    <w:rsid w:val="A880581D"/>
    <w:rsid w:val="A9F91305"/>
    <w:rsid w:val="AEE0E925"/>
    <w:rsid w:val="B0449C50"/>
    <w:rsid w:val="B053A0D8"/>
    <w:rsid w:val="B4894B3C"/>
    <w:rsid w:val="B4FD3F11"/>
    <w:rsid w:val="BC0E87C0"/>
    <w:rsid w:val="C22AB71C"/>
    <w:rsid w:val="C963E943"/>
    <w:rsid w:val="CB7BC049"/>
    <w:rsid w:val="CC8C5DB4"/>
    <w:rsid w:val="D7C016CC"/>
    <w:rsid w:val="DD66BFC0"/>
    <w:rsid w:val="DFA0C095"/>
    <w:rsid w:val="E40C8ECC"/>
    <w:rsid w:val="E6970485"/>
    <w:rsid w:val="EABCB003"/>
    <w:rsid w:val="EB6A51A6"/>
    <w:rsid w:val="EDB241FF"/>
    <w:rsid w:val="EDF791CE"/>
    <w:rsid w:val="F0111E6D"/>
    <w:rsid w:val="F1A2930D"/>
    <w:rsid w:val="F3044FF6"/>
    <w:rsid w:val="F6A1C700"/>
    <w:rsid w:val="FA5B2E3B"/>
    <w:rsid w:val="FBA0185C"/>
    <w:rsid w:val="FF043C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0" w:after="0"/>
      <w:ind w:left="0" w:right="0"/>
      <w:jc w:val="both"/>
    </w:pPr>
    <w:rPr>
      <w:rFonts w:ascii="Times New Roman" w:hAnsi="Times New Roman" w:eastAsia="宋体" w:cs="Calibri"/>
      <w:kern w:val="2"/>
      <w:sz w:val="21"/>
      <w:lang w:val="en-US" w:eastAsia="zh-CN" w:bidi="ar-SA"/>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cs="Times New Roman"/>
      <w:b/>
      <w:sz w:val="32"/>
    </w:rPr>
  </w:style>
  <w:style w:type="paragraph" w:styleId="4">
    <w:name w:val="heading 6"/>
    <w:basedOn w:val="1"/>
    <w:next w:val="1"/>
    <w:qFormat/>
    <w:uiPriority w:val="0"/>
    <w:pPr>
      <w:keepNext/>
      <w:keepLines/>
      <w:spacing w:line="317" w:lineRule="auto"/>
      <w:outlineLvl w:val="5"/>
    </w:pPr>
    <w:rPr>
      <w:rFonts w:ascii="Arial" w:hAnsi="Arial" w:eastAsia="黑体" w:cs="Times New Roman"/>
      <w:b/>
      <w:bCs/>
      <w:sz w:val="24"/>
      <w:szCs w:val="20"/>
    </w:rPr>
  </w:style>
  <w:style w:type="character" w:default="1" w:styleId="20">
    <w:name w:val="Default Paragraph Font"/>
    <w:qFormat/>
    <w:uiPriority w:val="0"/>
    <w:rPr>
      <w:rFonts w:ascii="Calibri" w:hAnsi="Calibri" w:eastAsia="宋体" w:cs="Times New Roman"/>
    </w:rPr>
  </w:style>
  <w:style w:type="table" w:default="1" w:styleId="19">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_GB2312" w:hAnsi="Calibri" w:eastAsia="Times New Roman" w:cs="??_GB2312"/>
      <w:color w:val="000000"/>
      <w:sz w:val="24"/>
      <w:szCs w:val="24"/>
      <w:lang w:val="en-US" w:eastAsia="zh-CN" w:bidi="ar-SA"/>
    </w:rPr>
  </w:style>
  <w:style w:type="paragraph" w:styleId="5">
    <w:name w:val="table of authorities"/>
    <w:basedOn w:val="1"/>
    <w:next w:val="1"/>
    <w:qFormat/>
    <w:uiPriority w:val="0"/>
    <w:pPr>
      <w:ind w:left="420" w:leftChars="200"/>
    </w:pPr>
    <w:rPr>
      <w:rFonts w:ascii="Calibri" w:hAnsi="Calibri" w:eastAsia="宋体" w:cs="Times New Roman"/>
      <w:sz w:val="32"/>
      <w:szCs w:val="32"/>
    </w:rPr>
  </w:style>
  <w:style w:type="paragraph" w:styleId="6">
    <w:name w:val="Normal Indent"/>
    <w:basedOn w:val="1"/>
    <w:next w:val="7"/>
    <w:qFormat/>
    <w:uiPriority w:val="0"/>
    <w:pPr>
      <w:ind w:firstLine="420"/>
    </w:pPr>
    <w:rPr>
      <w:rFonts w:ascii="Calibri" w:hAnsi="Calibri" w:eastAsia="宋体" w:cs="Times New Roman"/>
      <w:szCs w:val="20"/>
    </w:rPr>
  </w:style>
  <w:style w:type="paragraph" w:styleId="7">
    <w:name w:val="Body Text Indent"/>
    <w:basedOn w:val="1"/>
    <w:next w:val="6"/>
    <w:qFormat/>
    <w:uiPriority w:val="0"/>
    <w:pPr>
      <w:suppressAutoHyphens/>
      <w:spacing w:line="460" w:lineRule="exact"/>
      <w:ind w:left="1285" w:hanging="1285"/>
    </w:pPr>
    <w:rPr>
      <w:rFonts w:ascii="仿宋_GB2312" w:hAnsi="仿宋_GB2312" w:eastAsia="仿宋_GB2312" w:cs="Times New Roman"/>
      <w:b/>
      <w:bCs/>
      <w:kern w:val="1"/>
      <w:sz w:val="32"/>
      <w:lang w:eastAsia="ar-SA"/>
    </w:rPr>
  </w:style>
  <w:style w:type="paragraph" w:styleId="8">
    <w:name w:val="Body Text"/>
    <w:basedOn w:val="1"/>
    <w:qFormat/>
    <w:uiPriority w:val="0"/>
    <w:rPr>
      <w:rFonts w:ascii="Times New Roman" w:hAnsi="Times New Roman" w:eastAsia="宋体" w:cs="Times New Roman"/>
      <w:snapToGrid w:val="0"/>
      <w:sz w:val="32"/>
      <w:szCs w:val="32"/>
      <w:lang w:val="en-US" w:eastAsia="zh-CN" w:bidi="ar-SA"/>
    </w:rPr>
  </w:style>
  <w:style w:type="paragraph" w:styleId="9">
    <w:name w:val="Block Text"/>
    <w:basedOn w:val="1"/>
    <w:qFormat/>
    <w:uiPriority w:val="0"/>
    <w:pPr>
      <w:spacing w:after="120"/>
      <w:ind w:left="1440" w:leftChars="700" w:right="1440" w:rightChars="700"/>
    </w:pPr>
    <w:rPr>
      <w:rFonts w:ascii="Times New Roman" w:hAnsi="Times New Roman"/>
    </w:rPr>
  </w:style>
  <w:style w:type="paragraph" w:styleId="10">
    <w:name w:val="Plain Text"/>
    <w:basedOn w:val="1"/>
    <w:next w:val="1"/>
    <w:qFormat/>
    <w:uiPriority w:val="0"/>
    <w:rPr>
      <w:rFonts w:ascii="宋体" w:hAnsi="Courier New" w:eastAsia="宋体" w:cs="Courier New"/>
      <w:szCs w:val="21"/>
    </w:rPr>
  </w:style>
  <w:style w:type="paragraph" w:styleId="11">
    <w:name w:val="Date"/>
    <w:basedOn w:val="1"/>
    <w:next w:val="1"/>
    <w:link w:val="41"/>
    <w:qFormat/>
    <w:uiPriority w:val="0"/>
    <w:pPr>
      <w:ind w:left="100" w:leftChars="2500"/>
    </w:pPr>
    <w:rPr>
      <w:rFonts w:ascii="Calibri" w:hAnsi="Calibri" w:eastAsia="宋体" w:cs="Times New Roman"/>
      <w:kern w:val="0"/>
      <w:sz w:val="20"/>
    </w:rPr>
  </w:style>
  <w:style w:type="paragraph" w:styleId="12">
    <w:name w:val="Body Text Indent 2"/>
    <w:basedOn w:val="1"/>
    <w:qFormat/>
    <w:uiPriority w:val="0"/>
    <w:pPr>
      <w:spacing w:line="560" w:lineRule="exact"/>
      <w:ind w:firstLine="643" w:firstLineChars="200"/>
    </w:pPr>
    <w:rPr>
      <w:rFonts w:eastAsia="仿宋_GB2312"/>
      <w:b/>
      <w:bCs/>
      <w:sz w:val="32"/>
    </w:rPr>
  </w:style>
  <w:style w:type="paragraph" w:styleId="13">
    <w:name w:val="footer"/>
    <w:basedOn w:val="1"/>
    <w:next w:val="1"/>
    <w:link w:val="42"/>
    <w:qFormat/>
    <w:uiPriority w:val="0"/>
    <w:pPr>
      <w:tabs>
        <w:tab w:val="center" w:pos="4153"/>
        <w:tab w:val="right" w:pos="8306"/>
      </w:tabs>
      <w:snapToGrid w:val="0"/>
      <w:jc w:val="left"/>
    </w:pPr>
    <w:rPr>
      <w:rFonts w:ascii="Calibri" w:hAnsi="Calibri" w:eastAsia="宋体" w:cs="Times New Roman"/>
      <w:kern w:val="0"/>
      <w:sz w:val="18"/>
      <w:szCs w:val="18"/>
    </w:rPr>
  </w:style>
  <w:style w:type="paragraph" w:styleId="14">
    <w:name w:val="header"/>
    <w:basedOn w:val="1"/>
    <w:link w:val="43"/>
    <w:qFormat/>
    <w:uiPriority w:val="0"/>
    <w:pPr>
      <w:pBdr>
        <w:bottom w:val="single" w:color="auto" w:sz="6" w:space="1"/>
      </w:pBdr>
      <w:tabs>
        <w:tab w:val="center" w:pos="4153"/>
        <w:tab w:val="right" w:pos="8306"/>
      </w:tabs>
      <w:snapToGrid w:val="0"/>
      <w:jc w:val="center"/>
    </w:pPr>
    <w:rPr>
      <w:rFonts w:ascii="Calibri" w:hAnsi="Calibri" w:eastAsia="宋体" w:cs="Times New Roman"/>
      <w:kern w:val="0"/>
      <w:sz w:val="18"/>
      <w:szCs w:val="18"/>
    </w:rPr>
  </w:style>
  <w:style w:type="paragraph" w:styleId="15">
    <w:name w:val="toc 1"/>
    <w:basedOn w:val="1"/>
    <w:next w:val="1"/>
    <w:qFormat/>
    <w:uiPriority w:val="0"/>
    <w:pPr>
      <w:tabs>
        <w:tab w:val="right" w:leader="dot" w:pos="8364"/>
      </w:tabs>
      <w:snapToGrid w:val="0"/>
      <w:jc w:val="center"/>
    </w:pPr>
    <w:rPr>
      <w:rFonts w:ascii="黑体" w:hAnsi="宋体" w:eastAsia="黑体" w:cs="Times New Roman"/>
      <w:bCs/>
      <w:caps/>
      <w:sz w:val="32"/>
      <w:szCs w:val="32"/>
    </w:rPr>
  </w:style>
  <w:style w:type="paragraph" w:styleId="16">
    <w:name w:val="HTML Preformatted"/>
    <w:basedOn w:val="1"/>
    <w:link w:val="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17">
    <w:name w:val="Normal (Web)"/>
    <w:basedOn w:val="1"/>
    <w:qFormat/>
    <w:uiPriority w:val="0"/>
    <w:pPr>
      <w:widowControl/>
      <w:jc w:val="left"/>
    </w:pPr>
    <w:rPr>
      <w:rFonts w:ascii="宋体" w:hAnsi="宋体" w:eastAsia="宋体" w:cs="宋体"/>
      <w:color w:val="000000"/>
      <w:kern w:val="0"/>
      <w:sz w:val="24"/>
    </w:rPr>
  </w:style>
  <w:style w:type="paragraph" w:styleId="18">
    <w:name w:val="Body Text First Indent 2"/>
    <w:basedOn w:val="7"/>
    <w:qFormat/>
    <w:uiPriority w:val="0"/>
    <w:pPr>
      <w:spacing w:line="560" w:lineRule="exact"/>
      <w:ind w:firstLine="420" w:firstLineChars="200"/>
    </w:pPr>
    <w:rPr>
      <w:rFonts w:ascii="Calibri" w:hAnsi="Calibri" w:eastAsia="宋体" w:cs="Times New Roman"/>
    </w:rPr>
  </w:style>
  <w:style w:type="character" w:styleId="21">
    <w:name w:val="Strong"/>
    <w:basedOn w:val="20"/>
    <w:qFormat/>
    <w:uiPriority w:val="0"/>
    <w:rPr>
      <w:b/>
    </w:rPr>
  </w:style>
  <w:style w:type="character" w:styleId="22">
    <w:name w:val="page number"/>
    <w:basedOn w:val="20"/>
    <w:qFormat/>
    <w:uiPriority w:val="0"/>
    <w:rPr>
      <w:rFonts w:ascii="Calibri" w:hAnsi="Calibri" w:eastAsia="宋体" w:cs="Times New Roman"/>
    </w:rPr>
  </w:style>
  <w:style w:type="character" w:styleId="23">
    <w:name w:val="Hyperlink"/>
    <w:basedOn w:val="20"/>
    <w:qFormat/>
    <w:uiPriority w:val="0"/>
    <w:rPr>
      <w:rFonts w:ascii="Calibri" w:hAnsi="Calibri" w:eastAsia="宋体" w:cs="Times New Roman"/>
      <w:color w:val="284C6F"/>
      <w:u w:val="none"/>
    </w:rPr>
  </w:style>
  <w:style w:type="paragraph" w:customStyle="1" w:styleId="24">
    <w:name w:val="材料标题"/>
    <w:basedOn w:val="1"/>
    <w:next w:val="8"/>
    <w:qFormat/>
    <w:uiPriority w:val="0"/>
    <w:pPr>
      <w:widowControl/>
      <w:spacing w:line="600" w:lineRule="exact"/>
      <w:jc w:val="center"/>
    </w:pPr>
    <w:rPr>
      <w:rFonts w:hint="eastAsia" w:ascii="方正小标宋简体" w:hAnsi="方正小标宋简体" w:eastAsia="方正小标宋简体" w:cs="方正小标宋简体"/>
      <w:color w:val="000000"/>
      <w:sz w:val="44"/>
      <w:szCs w:val="44"/>
    </w:rPr>
  </w:style>
  <w:style w:type="paragraph" w:customStyle="1" w:styleId="25">
    <w:name w:val="正文（缩进）"/>
    <w:basedOn w:val="1"/>
    <w:qFormat/>
    <w:uiPriority w:val="0"/>
    <w:pPr>
      <w:spacing w:beforeLines="50" w:afterLines="50" w:line="360" w:lineRule="auto"/>
      <w:ind w:firstLine="480" w:firstLineChars="200"/>
    </w:pPr>
    <w:rPr>
      <w:rFonts w:ascii="Calibri" w:hAnsi="Calibri" w:eastAsia="宋体" w:cs="Times New Roman"/>
    </w:rPr>
  </w:style>
  <w:style w:type="paragraph" w:customStyle="1" w:styleId="26">
    <w:name w:val="UserStyle_16"/>
    <w:basedOn w:val="1"/>
    <w:link w:val="45"/>
    <w:qFormat/>
    <w:uiPriority w:val="0"/>
    <w:pPr>
      <w:spacing w:line="360" w:lineRule="auto"/>
      <w:jc w:val="both"/>
      <w:textAlignment w:val="baseline"/>
    </w:pPr>
    <w:rPr>
      <w:rFonts w:ascii="Calibri" w:hAnsi="Calibri" w:eastAsia="宋体" w:cs="Times New Roman"/>
    </w:rPr>
  </w:style>
  <w:style w:type="paragraph" w:customStyle="1" w:styleId="27">
    <w:name w:val="_Style 4"/>
    <w:basedOn w:val="1"/>
    <w:qFormat/>
    <w:uiPriority w:val="0"/>
    <w:pPr>
      <w:ind w:left="720"/>
      <w:contextualSpacing/>
    </w:pPr>
    <w:rPr>
      <w:rFonts w:ascii="Calibri" w:hAnsi="Calibri" w:eastAsia="宋体" w:cs="Times New Roman"/>
    </w:rPr>
  </w:style>
  <w:style w:type="paragraph" w:customStyle="1" w:styleId="28">
    <w:name w:val="样式 文字 + 首行缩进:  2 字符3"/>
    <w:basedOn w:val="1"/>
    <w:qFormat/>
    <w:uiPriority w:val="0"/>
    <w:pPr>
      <w:spacing w:line="360" w:lineRule="auto"/>
      <w:jc w:val="left"/>
    </w:pPr>
    <w:rPr>
      <w:rFonts w:ascii="Calibri" w:hAnsi="Calibri" w:eastAsia="宋体" w:cs="Times New Roman"/>
      <w:sz w:val="28"/>
      <w:szCs w:val="28"/>
    </w:rPr>
  </w:style>
  <w:style w:type="paragraph" w:customStyle="1" w:styleId="29">
    <w:name w:val="文字"/>
    <w:basedOn w:val="1"/>
    <w:qFormat/>
    <w:uiPriority w:val="0"/>
    <w:pPr>
      <w:widowControl/>
      <w:spacing w:after="120" w:afterLines="50" w:line="360" w:lineRule="auto"/>
      <w:ind w:firstLine="420"/>
    </w:pPr>
    <w:rPr>
      <w:rFonts w:ascii="Times New Roman" w:hAnsi="Times New Roman" w:eastAsia="宋体" w:cs="Times New Roman"/>
      <w:kern w:val="0"/>
      <w:sz w:val="24"/>
      <w:szCs w:val="24"/>
    </w:rPr>
  </w:style>
  <w:style w:type="paragraph" w:customStyle="1" w:styleId="30">
    <w:name w:val="样式 首行缩进:  1.27 厘米"/>
    <w:basedOn w:val="1"/>
    <w:qFormat/>
    <w:uiPriority w:val="0"/>
    <w:pPr>
      <w:ind w:firstLine="986" w:firstLineChars="224"/>
      <w:jc w:val="both"/>
    </w:pPr>
    <w:rPr>
      <w:rFonts w:ascii="黑体" w:hAnsi="Times New Roman" w:eastAsia="黑体" w:cs="Times New Roman"/>
      <w:sz w:val="44"/>
      <w:szCs w:val="44"/>
    </w:rPr>
  </w:style>
  <w:style w:type="paragraph" w:customStyle="1" w:styleId="31">
    <w:name w:val="列出段落1"/>
    <w:basedOn w:val="1"/>
    <w:qFormat/>
    <w:uiPriority w:val="0"/>
    <w:pPr>
      <w:ind w:firstLine="420" w:firstLineChars="200"/>
    </w:pPr>
    <w:rPr>
      <w:rFonts w:ascii="Calibri" w:hAnsi="Calibri" w:eastAsia="宋体" w:cs="Times New Roman"/>
    </w:rPr>
  </w:style>
  <w:style w:type="paragraph" w:styleId="32">
    <w:name w:val="List Paragraph"/>
    <w:basedOn w:val="1"/>
    <w:qFormat/>
    <w:uiPriority w:val="0"/>
    <w:pPr>
      <w:ind w:firstLine="420" w:firstLineChars="200"/>
    </w:pPr>
    <w:rPr>
      <w:rFonts w:ascii="Calibri" w:hAnsi="Calibri" w:eastAsia="宋体" w:cs="Calibri"/>
      <w:szCs w:val="21"/>
    </w:rPr>
  </w:style>
  <w:style w:type="paragraph" w:customStyle="1" w:styleId="33">
    <w:name w:val="[Basic Paragraph]"/>
    <w:basedOn w:val="1"/>
    <w:qFormat/>
    <w:uiPriority w:val="0"/>
    <w:pPr>
      <w:widowControl w:val="0"/>
      <w:autoSpaceDE w:val="0"/>
      <w:autoSpaceDN w:val="0"/>
      <w:adjustRightInd w:val="0"/>
      <w:spacing w:line="288" w:lineRule="auto"/>
      <w:textAlignment w:val="center"/>
    </w:pPr>
    <w:rPr>
      <w:rFonts w:ascii="MinionPro-Regular" w:hAnsi="MinionPro-Regular" w:eastAsia="宋体" w:cs="MinionPro-Regular"/>
      <w:color w:val="000000"/>
      <w:lang w:val="en-GB"/>
    </w:rPr>
  </w:style>
  <w:style w:type="paragraph" w:customStyle="1" w:styleId="34">
    <w:name w:val="Body 1"/>
    <w:qFormat/>
    <w:uiPriority w:val="0"/>
    <w:rPr>
      <w:rFonts w:ascii="Helvetica" w:hAnsi="Helvetica" w:eastAsia="ヒラギノ角ゴ Pro W3" w:cs="Times New Roman"/>
      <w:color w:val="000000"/>
      <w:sz w:val="24"/>
      <w:lang w:val="en-US" w:eastAsia="zh-CN" w:bidi="ar-SA"/>
    </w:rPr>
  </w:style>
  <w:style w:type="paragraph" w:customStyle="1" w:styleId="35">
    <w:name w:val="标准"/>
    <w:qFormat/>
    <w:uiPriority w:val="0"/>
    <w:pPr>
      <w:widowControl w:val="0"/>
      <w:autoSpaceDE w:val="0"/>
      <w:autoSpaceDN w:val="0"/>
      <w:adjustRightInd w:val="0"/>
      <w:jc w:val="both"/>
    </w:pPr>
    <w:rPr>
      <w:rFonts w:ascii="Times New Roman" w:hAnsi="Times New Roman" w:eastAsia="宋体" w:cs="Calibri"/>
      <w:sz w:val="21"/>
      <w:lang w:val="en-US" w:eastAsia="zh-CN" w:bidi="ar-SA"/>
    </w:rPr>
  </w:style>
  <w:style w:type="paragraph" w:customStyle="1" w:styleId="36">
    <w:name w:val="LQ Body"/>
    <w:basedOn w:val="33"/>
    <w:qFormat/>
    <w:uiPriority w:val="0"/>
    <w:pPr>
      <w:widowControl w:val="0"/>
      <w:suppressAutoHyphens/>
      <w:autoSpaceDE w:val="0"/>
      <w:autoSpaceDN w:val="0"/>
      <w:adjustRightInd w:val="0"/>
      <w:spacing w:after="120" w:line="288" w:lineRule="auto"/>
    </w:pPr>
    <w:rPr>
      <w:rFonts w:ascii="Corbel" w:hAnsi="Corbel" w:eastAsia="MS Mincho" w:cs="Corbel"/>
      <w:color w:val="4D4D51"/>
      <w:sz w:val="20"/>
      <w:szCs w:val="20"/>
      <w:lang w:val="en-US"/>
    </w:rPr>
  </w:style>
  <w:style w:type="paragraph" w:customStyle="1" w:styleId="37">
    <w:name w:val="List Paragraph1"/>
    <w:basedOn w:val="1"/>
    <w:qFormat/>
    <w:uiPriority w:val="0"/>
    <w:pPr>
      <w:ind w:firstLine="420" w:firstLineChars="200"/>
    </w:pPr>
    <w:rPr>
      <w:rFonts w:ascii="Calibri" w:hAnsi="Calibri" w:eastAsia="宋体" w:cs="Times New Roman"/>
    </w:rPr>
  </w:style>
  <w:style w:type="paragraph" w:customStyle="1" w:styleId="38">
    <w:name w:val="_Style 6"/>
    <w:basedOn w:val="1"/>
    <w:qFormat/>
    <w:uiPriority w:val="0"/>
    <w:pPr>
      <w:ind w:firstLine="420" w:firstLineChars="200"/>
    </w:pPr>
    <w:rPr>
      <w:rFonts w:ascii="Calibri" w:hAnsi="Calibri" w:eastAsia="宋体" w:cs="Times New Roman"/>
      <w:szCs w:val="21"/>
    </w:rPr>
  </w:style>
  <w:style w:type="paragraph" w:customStyle="1" w:styleId="3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40">
    <w:name w:val="列表段落1"/>
    <w:basedOn w:val="1"/>
    <w:qFormat/>
    <w:uiPriority w:val="0"/>
    <w:pPr>
      <w:ind w:firstLine="420" w:firstLineChars="200"/>
    </w:pPr>
    <w:rPr>
      <w:rFonts w:ascii="Times New Roman" w:hAnsi="Times New Roman" w:eastAsia="宋体" w:cs="Times New Roman"/>
      <w:szCs w:val="24"/>
    </w:rPr>
  </w:style>
  <w:style w:type="character" w:customStyle="1" w:styleId="41">
    <w:name w:val="日期 Char"/>
    <w:link w:val="11"/>
    <w:qFormat/>
    <w:uiPriority w:val="0"/>
    <w:rPr>
      <w:rFonts w:ascii="Times New Roman" w:hAnsi="Times New Roman" w:eastAsia="宋体" w:cs="Times New Roman"/>
      <w:sz w:val="20"/>
      <w:szCs w:val="20"/>
    </w:rPr>
  </w:style>
  <w:style w:type="character" w:customStyle="1" w:styleId="42">
    <w:name w:val="页脚 Char"/>
    <w:link w:val="13"/>
    <w:qFormat/>
    <w:uiPriority w:val="0"/>
    <w:rPr>
      <w:rFonts w:ascii="Times New Roman" w:hAnsi="Times New Roman" w:eastAsia="宋体" w:cs="Times New Roman"/>
      <w:sz w:val="18"/>
      <w:szCs w:val="18"/>
    </w:rPr>
  </w:style>
  <w:style w:type="character" w:customStyle="1" w:styleId="43">
    <w:name w:val="页眉 Char"/>
    <w:link w:val="14"/>
    <w:qFormat/>
    <w:uiPriority w:val="0"/>
    <w:rPr>
      <w:rFonts w:ascii="Times New Roman" w:hAnsi="Times New Roman" w:eastAsia="宋体" w:cs="Times New Roman"/>
      <w:sz w:val="18"/>
      <w:szCs w:val="18"/>
    </w:rPr>
  </w:style>
  <w:style w:type="character" w:customStyle="1" w:styleId="44">
    <w:name w:val="HTML 预设格式 Char"/>
    <w:link w:val="16"/>
    <w:qFormat/>
    <w:uiPriority w:val="0"/>
    <w:rPr>
      <w:rFonts w:ascii="宋体" w:hAnsi="宋体" w:eastAsia="宋体" w:cs="宋体"/>
      <w:kern w:val="0"/>
      <w:sz w:val="24"/>
      <w:szCs w:val="24"/>
    </w:rPr>
  </w:style>
  <w:style w:type="character" w:customStyle="1" w:styleId="45">
    <w:name w:val="NormalCharacter"/>
    <w:link w:val="26"/>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7601</Words>
  <Characters>7998</Characters>
  <Lines>3</Lines>
  <Paragraphs>1</Paragraphs>
  <TotalTime>302</TotalTime>
  <ScaleCrop>false</ScaleCrop>
  <LinksUpToDate>false</LinksUpToDate>
  <CharactersWithSpaces>8236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2022-07-29T02:49:00Z</dcterms:created>
  <dc:creator>微软用户</dc:creator>
  <cp:lastModifiedBy>影子</cp:lastModifiedBy>
  <cp:lastPrinted>2025-02-13T09:07:00Z</cp:lastPrinted>
  <dcterms:modified xsi:type="dcterms:W3CDTF">2025-04-02T09:10:16Z</dcterms:modified>
  <dc:title>北京市昌平区投资促进局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852651D89F6A47C0BF5EFA38C223BD9F_13</vt:lpwstr>
  </property>
</Properties>
</file>