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8" w:line="520" w:lineRule="exact"/>
        <w:ind w:left="9" w:right="133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0"/>
          <w:kern w:val="0"/>
          <w:sz w:val="44"/>
          <w:szCs w:val="44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0"/>
          <w:kern w:val="0"/>
          <w:sz w:val="44"/>
          <w:szCs w:val="44"/>
          <w:lang w:val="en-US" w:eastAsia="en-US" w:bidi="ar-SA"/>
        </w:rPr>
        <w:t>开展2025年“营”在校园平衡膳食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8" w:line="520" w:lineRule="exact"/>
        <w:ind w:left="9" w:right="133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0"/>
          <w:kern w:val="0"/>
          <w:sz w:val="44"/>
          <w:szCs w:val="44"/>
          <w:lang w:val="en-US" w:eastAsia="en-US" w:bidi="ar-SA"/>
        </w:rPr>
        <w:t>校园健康促进行动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0"/>
          <w:kern w:val="0"/>
          <w:sz w:val="44"/>
          <w:szCs w:val="44"/>
          <w:lang w:val="en-US" w:eastAsia="zh-CN" w:bidi="ar-SA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8" w:line="520" w:lineRule="exact"/>
        <w:ind w:left="9" w:right="133"/>
        <w:jc w:val="center"/>
        <w:textAlignment w:val="baseline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（征求意见稿）</w:t>
      </w:r>
    </w:p>
    <w:p>
      <w:pPr>
        <w:spacing w:after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为深入推进学生营养宣传教育及饮食行为干预，促进儿童青</w:t>
      </w:r>
      <w:bookmarkStart w:id="1" w:name="_GoBack"/>
      <w:bookmarkEnd w:id="1"/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少年健康成长，根据《“营”在校园—北京市平衡膳食校园健康促进行动工作方案（2021年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2025年）》，按照北京市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疾控局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和北京市教委的工作部署，结合石景山区自身情况，石景山区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卫生健康委联合区教委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制定了20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年石景山区“营”在校园平衡膳食校园健康促进行动工作方案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，重点内容通知如下：</w:t>
      </w:r>
    </w:p>
    <w:p>
      <w:pPr>
        <w:keepNext w:val="0"/>
        <w:keepLines w:val="0"/>
        <w:pageBreakBefore w:val="0"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一、活动时间</w:t>
      </w:r>
    </w:p>
    <w:p>
      <w:pPr>
        <w:keepNext w:val="0"/>
        <w:keepLines w:val="0"/>
        <w:pageBreakBefore w:val="0"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2025年3月-12月。</w:t>
      </w:r>
    </w:p>
    <w:p>
      <w:pPr>
        <w:keepNext w:val="0"/>
        <w:keepLines w:val="0"/>
        <w:pageBreakBefore w:val="0"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二、活动对象</w:t>
      </w:r>
    </w:p>
    <w:p>
      <w:pPr>
        <w:keepNext w:val="0"/>
        <w:keepLines w:val="0"/>
        <w:pageBreakBefore w:val="0"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default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全区中小学校。</w:t>
      </w:r>
    </w:p>
    <w:p>
      <w:pPr>
        <w:keepNext w:val="0"/>
        <w:keepLines w:val="0"/>
        <w:pageBreakBefore w:val="0"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三、活动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内容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与方式</w:t>
      </w:r>
    </w:p>
    <w:p>
      <w:pPr>
        <w:pStyle w:val="16"/>
        <w:keepNext w:val="0"/>
        <w:keepLines w:val="0"/>
        <w:pageBreakBefore w:val="0"/>
        <w:overflowPunct/>
        <w:topLinePunct w:val="0"/>
        <w:bidi w:val="0"/>
        <w:spacing w:after="0" w:line="520" w:lineRule="exact"/>
        <w:ind w:firstLine="640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（一）营养与食品安全知识宣传</w:t>
      </w:r>
    </w:p>
    <w:p>
      <w:pPr>
        <w:keepNext w:val="0"/>
        <w:keepLines w:val="0"/>
        <w:pageBreakBefore w:val="0"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积极宣贯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《北京市中小学生健康膳食指引》，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充分利用全民营养周、520中国学生营养日、食品安全宣传周等契机，开展校园营养宣教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主题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，并举办学生营养健康知识竞赛活动（附件1）。</w:t>
      </w:r>
    </w:p>
    <w:p>
      <w:pPr>
        <w:keepNext w:val="0"/>
        <w:keepLines w:val="0"/>
        <w:pageBreakBefore w:val="0"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区内继续推广“营在校园平衡膳食行动”微信公众号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开展膳食营养知识宣传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，同时利用市级宣传教育材料以及我区自行开发设计的宣传课件、宣传资料开设家长微课堂，指导家庭提升学生餐食营养健康水平。因地制宜开展爱粮节粮宣传，倡导养成科学健康的膳食营养习惯。</w:t>
      </w:r>
    </w:p>
    <w:p>
      <w:pPr>
        <w:pStyle w:val="16"/>
        <w:keepNext w:val="0"/>
        <w:keepLines w:val="0"/>
        <w:pageBreakBefore w:val="0"/>
        <w:numPr>
          <w:ilvl w:val="0"/>
          <w:numId w:val="1"/>
        </w:numPr>
        <w:overflowPunct/>
        <w:topLinePunct w:val="0"/>
        <w:bidi w:val="0"/>
        <w:spacing w:after="0" w:line="520" w:lineRule="exact"/>
        <w:ind w:firstLine="640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营养知识宣传短片展播</w:t>
      </w:r>
    </w:p>
    <w:p>
      <w:pPr>
        <w:keepNext w:val="0"/>
        <w:keepLines w:val="0"/>
        <w:pageBreakBefore w:val="0"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面向区教委、区疾控中心、辖区中小学校及学生征集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营养知识宣传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短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区教委积极组织并广泛动员全区中小学校、学生积极参与。区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卫健委、区教委分别对拟报送的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短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审核把关，并按要求（附件2）择优推荐。</w:t>
      </w:r>
    </w:p>
    <w:p>
      <w:pPr>
        <w:pStyle w:val="16"/>
        <w:keepNext w:val="0"/>
        <w:keepLines w:val="0"/>
        <w:pageBreakBefore w:val="0"/>
        <w:overflowPunct/>
        <w:topLinePunct w:val="0"/>
        <w:bidi w:val="0"/>
        <w:spacing w:after="0" w:line="520" w:lineRule="exact"/>
        <w:ind w:firstLine="640"/>
        <w:rPr>
          <w:rFonts w:hint="eastAsia" w:ascii="CESI楷体-GB2312" w:hAnsi="CESI楷体-GB2312" w:eastAsia="CESI楷体-GB2312" w:cs="CESI楷体-GB2312"/>
          <w:color w:val="auto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三</w:t>
      </w:r>
      <w:r>
        <w:rPr>
          <w:rFonts w:hint="default" w:ascii="楷体" w:hAnsi="楷体" w:eastAsia="楷体" w:cs="楷体"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校园营养健康管理队伍提升行动</w:t>
      </w:r>
    </w:p>
    <w:p>
      <w:pPr>
        <w:keepNext w:val="0"/>
        <w:keepLines w:val="0"/>
        <w:pageBreakBefore w:val="0"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面向全区中小学校和配餐单位营养健康管理人员，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重点针对营养知识、食品安全、学生营养配餐、烹饪技能等内容，通过现场或在线培训等方式，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开展膳食营养相关知识和实用技能培训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，推动中小学校专（兼）职校园营养健康专业人员全覆盖，提高中小学校营养健康管理水平。</w:t>
      </w:r>
    </w:p>
    <w:p>
      <w:pPr>
        <w:pStyle w:val="16"/>
        <w:keepNext w:val="0"/>
        <w:keepLines w:val="0"/>
        <w:pageBreakBefore w:val="0"/>
        <w:overflowPunct/>
        <w:topLinePunct w:val="0"/>
        <w:bidi w:val="0"/>
        <w:spacing w:after="0" w:line="520" w:lineRule="exact"/>
        <w:ind w:firstLine="640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（四）开展2021-2025年“营”在校园行动终期评估</w:t>
      </w:r>
    </w:p>
    <w:p>
      <w:pPr>
        <w:keepNext w:val="0"/>
        <w:keepLines w:val="0"/>
        <w:pageBreakBefore w:val="0"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根据《“营”在校园—北京市平衡膳食校园健康促进行动工作方案（2021-2025年）》，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区卫健委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牵头会同区教委组织开展终期评估，对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“营”在校园实施情况、效果、特色亮点等进行调研和评估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，完成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自评报告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（附件3）。</w:t>
      </w:r>
    </w:p>
    <w:p>
      <w:pPr>
        <w:keepNext w:val="0"/>
        <w:keepLines w:val="0"/>
        <w:pageBreakBefore w:val="0"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工作要求</w:t>
      </w:r>
    </w:p>
    <w:p>
      <w:pPr>
        <w:keepNext w:val="0"/>
        <w:keepLines w:val="0"/>
        <w:pageBreakBefore w:val="0"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区卫健委、区教委的统筹协调下，区疾控中心、区中小学卫生保健机构要高度重视，加强推进，组织学校积极参与，充分发挥各级专家作用，持续推进“营”在校园行动深入开展。</w:t>
      </w:r>
    </w:p>
    <w:p>
      <w:pPr>
        <w:keepNext w:val="0"/>
        <w:keepLines w:val="0"/>
        <w:pageBreakBefore w:val="0"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（二）“营”在校园健康促进行动是国民营养计划和健康北京行动（2020-2030年）的重要工作内容，各学校要高度重视，周密组织实施，促进中小学生养成健康饮食行为习惯，提高营养健康素质。</w:t>
      </w:r>
    </w:p>
    <w:p>
      <w:pPr>
        <w:keepNext w:val="0"/>
        <w:keepLines w:val="0"/>
        <w:pageBreakBefore w:val="0"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（三）区疾控中心、辖区中小学校请于5月20日</w:t>
      </w:r>
      <w:bookmarkStart w:id="0" w:name="OLE_LINK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将宣传短片分别报送至区卫生健康委和区教委邮箱；终期评估自评报告于8月15日前分别报送至区卫生健康委和区教委邮箱（见附件4）。</w:t>
      </w:r>
    </w:p>
    <w:p>
      <w:pPr>
        <w:keepNext w:val="0"/>
        <w:keepLines w:val="0"/>
        <w:pageBreakBefore w:val="0"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（四）2025年现场宣传活动、学生营养健康知识竞赛、校园营养健康管理人员培训等根据市级具体安排将另行通知。中小学校要按照通知要求及时组织开展活动。</w:t>
      </w:r>
    </w:p>
    <w:p>
      <w:pPr>
        <w:pStyle w:val="6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附件：1.2025年学生营养健康知识竞赛活动方案</w:t>
      </w:r>
    </w:p>
    <w:p>
      <w:pPr>
        <w:keepNext w:val="0"/>
        <w:keepLines w:val="0"/>
        <w:pageBreakBefore w:val="0"/>
        <w:numPr>
          <w:ilvl w:val="0"/>
          <w:numId w:val="0"/>
        </w:numPr>
        <w:overflowPunct/>
        <w:topLinePunct w:val="0"/>
        <w:bidi w:val="0"/>
        <w:spacing w:after="0" w:line="520" w:lineRule="exact"/>
        <w:ind w:left="1916" w:leftChars="760" w:hanging="320" w:hangingChars="1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2.石景山区“营”在校园学生营养知识宣传短片征集工作方案</w:t>
      </w:r>
    </w:p>
    <w:p>
      <w:pPr>
        <w:pStyle w:val="16"/>
        <w:keepNext w:val="0"/>
        <w:keepLines w:val="0"/>
        <w:pageBreakBefore w:val="0"/>
        <w:overflowPunct/>
        <w:topLinePunct w:val="0"/>
        <w:bidi w:val="0"/>
        <w:spacing w:after="0" w:line="52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3.2021-2025年“营”在校园行动终期评估</w:t>
      </w:r>
    </w:p>
    <w:p>
      <w:pPr>
        <w:pStyle w:val="16"/>
        <w:keepNext w:val="0"/>
        <w:keepLines w:val="0"/>
        <w:pageBreakBefore w:val="0"/>
        <w:overflowPunct/>
        <w:topLinePunct w:val="0"/>
        <w:bidi w:val="0"/>
        <w:spacing w:after="0" w:line="52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4.“营”在校园活动区级联系人信息表</w:t>
      </w:r>
    </w:p>
    <w:p>
      <w:pPr>
        <w:keepNext w:val="0"/>
        <w:keepLines w:val="0"/>
        <w:pageBreakBefore w:val="0"/>
        <w:overflowPunct/>
        <w:topLinePunct w:val="0"/>
        <w:bidi w:val="0"/>
        <w:spacing w:after="0" w:line="52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after="0" w:line="52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after="0" w:line="52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石景山区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卫生健康委员会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北京市石景山区教育委员会</w:t>
      </w:r>
    </w:p>
    <w:p>
      <w:pPr>
        <w:keepNext w:val="0"/>
        <w:keepLines w:val="0"/>
        <w:pageBreakBefore w:val="0"/>
        <w:overflowPunct/>
        <w:topLinePunct w:val="0"/>
        <w:bidi w:val="0"/>
        <w:spacing w:after="0" w:line="520" w:lineRule="exact"/>
        <w:ind w:firstLine="6400" w:firstLineChars="2000"/>
        <w:jc w:val="both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2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2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2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2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2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2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2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2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2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2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2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附件1</w:t>
      </w:r>
    </w:p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2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overflowPunct/>
        <w:topLinePunct w:val="0"/>
        <w:bidi w:val="0"/>
        <w:spacing w:beforeAutospacing="0" w:after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2025年学生营养健康知识竞赛活动方案</w:t>
      </w:r>
    </w:p>
    <w:p>
      <w:pPr>
        <w:keepNext w:val="0"/>
        <w:keepLines w:val="0"/>
        <w:pageBreakBefore w:val="0"/>
        <w:overflowPunct/>
        <w:topLinePunct w:val="0"/>
        <w:bidi w:val="0"/>
        <w:spacing w:after="0" w:line="52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一、活动目的</w:t>
      </w:r>
    </w:p>
    <w:p>
      <w:pPr>
        <w:keepNext w:val="0"/>
        <w:keepLines w:val="0"/>
        <w:pageBreakBefore w:val="0"/>
        <w:overflowPunct/>
        <w:topLinePunct w:val="0"/>
        <w:bidi w:val="0"/>
        <w:spacing w:beforeAutospacing="0" w:after="0" w:afterAutospacing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开展营养健康科普知识竞赛，旨在提高学生营养健康素养水平，培养健康的饮食行为习惯，形成自己是健康“第一责任人”的良好氛围，助力学生健康成长。</w:t>
      </w:r>
    </w:p>
    <w:p>
      <w:pPr>
        <w:keepNext w:val="0"/>
        <w:keepLines w:val="0"/>
        <w:pageBreakBefore w:val="0"/>
        <w:numPr>
          <w:ilvl w:val="0"/>
          <w:numId w:val="0"/>
        </w:numPr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二、参赛对象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本区具有正式学籍的小学和初中学生。</w:t>
      </w:r>
    </w:p>
    <w:p>
      <w:pPr>
        <w:keepNext w:val="0"/>
        <w:keepLines w:val="0"/>
        <w:pageBreakBefore w:val="0"/>
        <w:numPr>
          <w:ilvl w:val="0"/>
          <w:numId w:val="0"/>
        </w:numPr>
        <w:overflowPunct/>
        <w:topLinePunct w:val="0"/>
        <w:bidi w:val="0"/>
        <w:adjustRightInd/>
        <w:snapToGrid/>
        <w:spacing w:beforeAutospacing="0" w:after="0" w:afterAutospacing="0" w:line="520" w:lineRule="exact"/>
        <w:ind w:left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  <w:lang w:eastAsia="zh-CN"/>
        </w:rPr>
        <w:t>三、竞赛内容</w:t>
      </w: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after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营养健康科普知识，可扫描二维码关注“营”在校园微信公众号相关栏目，提前在线学习。</w:t>
      </w:r>
    </w:p>
    <w:p>
      <w:pPr>
        <w:keepNext w:val="0"/>
        <w:keepLines w:val="0"/>
        <w:pageBreakBefore w:val="0"/>
        <w:numPr>
          <w:ilvl w:val="0"/>
          <w:numId w:val="0"/>
        </w:numPr>
        <w:overflowPunct/>
        <w:topLinePunct w:val="0"/>
        <w:bidi w:val="0"/>
        <w:spacing w:beforeAutospacing="0" w:after="0" w:afterAutospacing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9525</wp:posOffset>
            </wp:positionV>
            <wp:extent cx="1931035" cy="1719580"/>
            <wp:effectExtent l="0" t="0" r="12065" b="13970"/>
            <wp:wrapTopAndBottom/>
            <wp:docPr id="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四、竞赛形式</w:t>
      </w:r>
    </w:p>
    <w:p>
      <w:pPr>
        <w:keepNext w:val="0"/>
        <w:keepLines w:val="0"/>
        <w:pageBreakBefore w:val="0"/>
        <w:numPr>
          <w:ilvl w:val="0"/>
          <w:numId w:val="0"/>
        </w:numPr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本次活动分为线上知识竞赛和现场知识竞赛两种形式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线上知识竞赛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“营”在校园微信公众号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答题，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学生自愿参加；比赛分设小学组、初中组两个组别，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各组别前200名学生获得荣誉证书。现场知识竞赛以学校为单位，根据全市线上知识竞赛答题排名情况确定参赛学校，参赛学校自行选定3名学生参加现场比赛。</w:t>
      </w:r>
    </w:p>
    <w:p>
      <w:pPr>
        <w:keepNext w:val="0"/>
        <w:keepLines w:val="0"/>
        <w:pageBreakBefore w:val="0"/>
        <w:numPr>
          <w:ilvl w:val="0"/>
          <w:numId w:val="0"/>
        </w:numPr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  <w:lang w:eastAsia="zh-CN"/>
        </w:rPr>
        <w:t>五、时间安排</w:t>
      </w:r>
    </w:p>
    <w:p>
      <w:pPr>
        <w:keepNext w:val="0"/>
        <w:keepLines w:val="0"/>
        <w:pageBreakBefore w:val="0"/>
        <w:numPr>
          <w:ilvl w:val="0"/>
          <w:numId w:val="0"/>
        </w:numPr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4月中旬-5月中旬，“营”在校园微信公众号上线营养健康知识供学生学习，并公布知识竞赛具体安排和比赛规则。</w:t>
      </w:r>
    </w:p>
    <w:p>
      <w:pPr>
        <w:keepNext w:val="0"/>
        <w:keepLines w:val="0"/>
        <w:pageBreakBefore w:val="0"/>
        <w:numPr>
          <w:ilvl w:val="0"/>
          <w:numId w:val="0"/>
        </w:numPr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5月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-6月中旬，“营”在校园微信公众号开展线上知识竞赛，要积极动员、组织学校学生踊跃参加。</w:t>
      </w:r>
    </w:p>
    <w:p>
      <w:pPr>
        <w:keepNext w:val="0"/>
        <w:keepLines w:val="0"/>
        <w:pageBreakBefore w:val="0"/>
        <w:numPr>
          <w:ilvl w:val="0"/>
          <w:numId w:val="0"/>
        </w:numPr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6月中旬-7月上旬，公布线上知识竞赛参与情况及入围现场知识竞赛的学校名单。</w:t>
      </w:r>
    </w:p>
    <w:p>
      <w:pPr>
        <w:keepNext w:val="0"/>
        <w:keepLines w:val="0"/>
        <w:pageBreakBefore w:val="0"/>
        <w:numPr>
          <w:ilvl w:val="0"/>
          <w:numId w:val="0"/>
        </w:numPr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9月中旬-10月中旬，举办营养健康现场知识竞赛，为获奖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的学生个人和学校团队颁发荣誉证书。</w:t>
      </w:r>
    </w:p>
    <w:p>
      <w:pPr>
        <w:keepNext w:val="0"/>
        <w:keepLines w:val="0"/>
        <w:pageBreakBefore w:val="0"/>
        <w:numPr>
          <w:ilvl w:val="0"/>
          <w:numId w:val="0"/>
        </w:numPr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六、奖项设置</w:t>
      </w:r>
    </w:p>
    <w:p>
      <w:pPr>
        <w:keepNext w:val="0"/>
        <w:keepLines w:val="0"/>
        <w:pageBreakBefore w:val="0"/>
        <w:numPr>
          <w:ilvl w:val="0"/>
          <w:numId w:val="0"/>
        </w:numPr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线上知识竞赛：全市各组别设优秀奖200个。</w:t>
      </w:r>
    </w:p>
    <w:p>
      <w:pPr>
        <w:keepNext w:val="0"/>
        <w:keepLines w:val="0"/>
        <w:pageBreakBefore w:val="0"/>
        <w:numPr>
          <w:ilvl w:val="0"/>
          <w:numId w:val="0"/>
        </w:numPr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现场知识竞赛：全市各组别设一等奖、二等奖、三等奖。</w:t>
      </w:r>
    </w:p>
    <w:p>
      <w:pPr>
        <w:keepNext w:val="0"/>
        <w:keepLines w:val="0"/>
        <w:pageBreakBefore w:val="0"/>
        <w:numPr>
          <w:ilvl w:val="0"/>
          <w:numId w:val="0"/>
        </w:numPr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七、其他事项</w:t>
      </w:r>
    </w:p>
    <w:p>
      <w:pPr>
        <w:keepNext w:val="0"/>
        <w:keepLines w:val="0"/>
        <w:pageBreakBefore w:val="0"/>
        <w:numPr>
          <w:ilvl w:val="0"/>
          <w:numId w:val="0"/>
        </w:numPr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线上知识竞赛启动前，“营”在校园微信公众号将提前推文通知。请及时关注公众号相关信息。</w:t>
      </w:r>
    </w:p>
    <w:p>
      <w:pPr>
        <w:pStyle w:val="3"/>
        <w:keepNext w:val="0"/>
        <w:keepLines w:val="0"/>
        <w:pageBreakBefore w:val="0"/>
        <w:overflowPunct/>
        <w:topLinePunct w:val="0"/>
        <w:bidi w:val="0"/>
        <w:spacing w:line="52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line="52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overflowPunct/>
        <w:topLinePunct w:val="0"/>
        <w:bidi w:val="0"/>
        <w:spacing w:line="52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keepNext w:val="0"/>
        <w:keepLines w:val="0"/>
        <w:pageBreakBefore w:val="0"/>
        <w:overflowPunct/>
        <w:topLinePunct w:val="0"/>
        <w:bidi w:val="0"/>
        <w:spacing w:line="52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line="52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overflowPunct/>
        <w:topLinePunct w:val="0"/>
        <w:bidi w:val="0"/>
        <w:spacing w:line="52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3"/>
        <w:keepNext w:val="0"/>
        <w:keepLines w:val="0"/>
        <w:pageBreakBefore w:val="0"/>
        <w:overflowPunct/>
        <w:topLinePunct w:val="0"/>
        <w:bidi w:val="0"/>
        <w:spacing w:line="520" w:lineRule="exac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6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6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2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附件2</w:t>
      </w:r>
    </w:p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2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石景山区“营”在校园</w:t>
      </w:r>
      <w:r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  <w:t>学生营养知识宣传短片征集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</w:t>
      </w:r>
      <w:r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  <w:t>方案</w:t>
      </w:r>
    </w:p>
    <w:p>
      <w:pPr>
        <w:pStyle w:val="3"/>
        <w:keepNext w:val="0"/>
        <w:keepLines w:val="0"/>
        <w:pageBreakBefore w:val="0"/>
        <w:overflowPunct/>
        <w:topLinePunct w:val="0"/>
        <w:bidi w:val="0"/>
        <w:spacing w:after="0" w:line="520" w:lineRule="exact"/>
        <w:ind w:right="0" w:firstLine="632" w:firstLineChars="200"/>
        <w:rPr>
          <w:rFonts w:hint="eastAsia" w:ascii="仿宋_GB2312" w:hAnsi="仿宋_GB2312" w:eastAsia="仿宋_GB2312" w:cs="仿宋_GB2312"/>
          <w:snapToGrid w:val="0"/>
          <w:color w:val="000000"/>
          <w:spacing w:val="-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sz w:val="32"/>
          <w:szCs w:val="32"/>
          <w:lang w:val="en-US" w:eastAsia="zh-CN" w:bidi="ar-SA"/>
        </w:rPr>
        <w:t>为持续深入推进学生营养健康宣传教育，丰富宣传教育渠道，提高学生营养知识水平，引导其树立健康的饮食观念，现征集学生营养知识宣传短片，特制定本方案。</w:t>
      </w:r>
    </w:p>
    <w:p>
      <w:pPr>
        <w:pStyle w:val="3"/>
        <w:keepNext w:val="0"/>
        <w:keepLines w:val="0"/>
        <w:pageBreakBefore w:val="0"/>
        <w:overflowPunct/>
        <w:topLinePunct w:val="0"/>
        <w:bidi w:val="0"/>
        <w:spacing w:after="0" w:line="520" w:lineRule="exact"/>
        <w:ind w:right="0" w:firstLine="640" w:firstLineChars="200"/>
        <w:rPr>
          <w:rFonts w:hint="eastAsia" w:ascii="仿宋_GB2312" w:hAnsi="仿宋_GB2312" w:eastAsia="仿宋_GB2312" w:cs="仿宋_GB2312"/>
          <w:snapToGrid w:val="0"/>
          <w:color w:val="000000"/>
          <w:spacing w:val="-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  <w:lang w:val="en-US" w:eastAsia="zh-CN" w:bidi="ar-SA"/>
        </w:rPr>
        <w:t>一、征集内容</w:t>
      </w:r>
    </w:p>
    <w:p>
      <w:pPr>
        <w:pStyle w:val="3"/>
        <w:keepNext w:val="0"/>
        <w:keepLines w:val="0"/>
        <w:pageBreakBefore w:val="0"/>
        <w:overflowPunct/>
        <w:topLinePunct w:val="0"/>
        <w:bidi w:val="0"/>
        <w:spacing w:after="0" w:line="520" w:lineRule="exact"/>
        <w:ind w:right="0" w:firstLine="632" w:firstLineChars="200"/>
        <w:rPr>
          <w:rFonts w:hint="eastAsia" w:ascii="仿宋_GB2312" w:hAnsi="仿宋_GB2312" w:eastAsia="仿宋_GB2312" w:cs="仿宋_GB2312"/>
          <w:snapToGrid w:val="0"/>
          <w:color w:val="000000"/>
          <w:spacing w:val="-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sz w:val="32"/>
          <w:szCs w:val="32"/>
          <w:lang w:val="en-US" w:eastAsia="zh-CN" w:bidi="ar-SA"/>
        </w:rPr>
        <w:t>宣传短片应紧密结合中小学生日常生活，以生动有趣的方式展现均衡饮食的重要性，传递科学的营养知识，鼓励养成良好的饮食习惯，引导学生积极参与营养健康实践活动，共同营造健康、快乐的校园生活环境。</w:t>
      </w:r>
    </w:p>
    <w:p>
      <w:pPr>
        <w:pStyle w:val="3"/>
        <w:keepNext w:val="0"/>
        <w:keepLines w:val="0"/>
        <w:pageBreakBefore w:val="0"/>
        <w:overflowPunct/>
        <w:topLinePunct w:val="0"/>
        <w:bidi w:val="0"/>
        <w:spacing w:after="0" w:line="520" w:lineRule="exact"/>
        <w:ind w:right="0" w:firstLine="640" w:firstLineChars="200"/>
        <w:rPr>
          <w:rFonts w:hint="eastAsia" w:ascii="黑体" w:hAnsi="黑体" w:eastAsia="黑体" w:cs="黑体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  <w:lang w:val="en-US" w:eastAsia="zh-CN" w:bidi="ar-SA"/>
        </w:rPr>
        <w:t>二、征集对象</w:t>
      </w:r>
    </w:p>
    <w:p>
      <w:pPr>
        <w:pStyle w:val="3"/>
        <w:keepNext w:val="0"/>
        <w:keepLines w:val="0"/>
        <w:pageBreakBefore w:val="0"/>
        <w:overflowPunct/>
        <w:topLinePunct w:val="0"/>
        <w:bidi w:val="0"/>
        <w:spacing w:after="0" w:line="520" w:lineRule="exact"/>
        <w:ind w:right="0" w:firstLine="632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  <w:lang w:eastAsia="zh-CN"/>
        </w:rPr>
        <w:t>向区教委、区疾控中心、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全区各中小学校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  <w:lang w:eastAsia="zh-CN"/>
        </w:rPr>
        <w:t>及学生征集。</w:t>
      </w:r>
    </w:p>
    <w:p>
      <w:pPr>
        <w:pStyle w:val="3"/>
        <w:keepNext w:val="0"/>
        <w:keepLines w:val="0"/>
        <w:pageBreakBefore w:val="0"/>
        <w:overflowPunct/>
        <w:topLinePunct w:val="0"/>
        <w:bidi w:val="0"/>
        <w:spacing w:after="0" w:line="520" w:lineRule="exact"/>
        <w:ind w:right="0" w:firstLine="640" w:firstLineChars="200"/>
        <w:rPr>
          <w:rFonts w:hint="eastAsia" w:ascii="黑体" w:hAnsi="黑体" w:eastAsia="黑体" w:cs="黑体"/>
          <w:snapToGrid w:val="0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  <w:highlight w:val="none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活动安排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学校审核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（4月1日-5月20日）：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学生制作的宣传短片由学校审核把关后，由学校统一报送至区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教委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1108"/>
        </w:tabs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区级审核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（5月20日-6月1日）：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区教委、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</w:rPr>
        <w:t>区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  <w:lang w:eastAsia="zh-CN"/>
        </w:rPr>
        <w:t>卫健委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</w:rPr>
        <w:t>各自审核把关后，择优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  <w:lang w:eastAsia="zh-CN"/>
        </w:rPr>
        <w:t>分别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</w:rPr>
        <w:t>报送至市级部门。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1108"/>
        </w:tabs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</w:rPr>
        <w:t>市级审核：市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  <w:lang w:eastAsia="zh-CN"/>
        </w:rPr>
        <w:t>疾控中心将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</w:rPr>
        <w:t>组织专家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  <w:lang w:eastAsia="zh-CN"/>
        </w:rPr>
        <w:t>对各区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</w:rPr>
        <w:t>宣传短片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</w:rPr>
        <w:t>审核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</w:rPr>
        <w:t>推送至“营”在校园微信公众号进行播放宣传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  <w:lang w:eastAsia="zh-CN"/>
        </w:rPr>
        <w:t>。市级部门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</w:rPr>
        <w:t>择优向更高平台进行推广展播，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扩大营养教育的覆盖面和影响力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overflowPunct/>
        <w:topLinePunct w:val="0"/>
        <w:bidi w:val="0"/>
        <w:spacing w:after="0" w:line="520" w:lineRule="exact"/>
        <w:ind w:right="0" w:firstLine="640" w:firstLineChars="20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四、征集要求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1108"/>
        </w:tabs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highlight w:val="none"/>
        </w:rPr>
        <w:t>征集数量：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highlight w:val="none"/>
          <w:lang w:eastAsia="zh-CN"/>
        </w:rPr>
        <w:t>鼓励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全区中小学校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highlight w:val="none"/>
          <w:lang w:eastAsia="zh-CN"/>
        </w:rPr>
        <w:t>踊跃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参与活动，我区将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highlight w:val="none"/>
        </w:rPr>
        <w:t>择优报送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highlight w:val="none"/>
          <w:lang w:eastAsia="zh-CN"/>
        </w:rPr>
        <w:t>市级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（其中，学校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学生制作的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highlight w:val="none"/>
        </w:rPr>
        <w:t>短片不少于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highlight w:val="none"/>
        </w:rPr>
        <w:t>部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highlight w:val="none"/>
          <w:lang w:eastAsia="zh-CN"/>
        </w:rPr>
        <w:t>，区疾控中心不少于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highlight w:val="none"/>
          <w:lang w:val="en-US" w:eastAsia="zh-CN"/>
        </w:rPr>
        <w:t>1部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eastAsia="zh-CN"/>
        </w:rPr>
        <w:t>作品，根据报送视频质量，上报数量不设上限。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1113"/>
        </w:tabs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视频格式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视频作品要求在2分钟以内，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便于在学校课堂、网络平台等多种渠道传播。提交格式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高清MP4，分辨率不低于1920x1080，且需附带字幕。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（三）知识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版权：短片中涉及的所有营养知识均需基于最新的权威科学依据，确保信息的准确性和正面导向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提交作品需为原创，未侵犯他人知识产权和肖像权，涉及的音乐、图片、文字等素材需获得合法授权。</w:t>
      </w:r>
    </w:p>
    <w:p>
      <w:pPr>
        <w:pStyle w:val="16"/>
        <w:keepNext w:val="0"/>
        <w:keepLines w:val="0"/>
        <w:pageBreakBefore w:val="0"/>
        <w:widowControl w:val="0"/>
        <w:tabs>
          <w:tab w:val="left" w:pos="1108"/>
        </w:tabs>
        <w:kinsoku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napToGrid w:val="0"/>
          <w:color w:val="000000"/>
          <w:sz w:val="32"/>
          <w:szCs w:val="32"/>
          <w:lang w:val="en-US" w:eastAsia="zh-CN" w:bidi="ar-SA"/>
        </w:rPr>
        <w:t>审核与展播</w:t>
      </w:r>
    </w:p>
    <w:p>
      <w:pPr>
        <w:pStyle w:val="16"/>
        <w:keepNext w:val="0"/>
        <w:keepLines w:val="0"/>
        <w:pageBreakBefore w:val="0"/>
        <w:widowControl w:val="0"/>
        <w:tabs>
          <w:tab w:val="left" w:pos="1108"/>
        </w:tabs>
        <w:kinsoku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（一）机构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审核：学生制作的宣传短片由学校审核把关后，由学校统一报送至区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教委；疾控中心制作的宣传短片报至区卫生健康委。</w:t>
      </w:r>
    </w:p>
    <w:p>
      <w:pPr>
        <w:pStyle w:val="16"/>
        <w:keepNext w:val="0"/>
        <w:keepLines w:val="0"/>
        <w:pageBreakBefore w:val="0"/>
        <w:widowControl w:val="0"/>
        <w:tabs>
          <w:tab w:val="left" w:pos="1108"/>
        </w:tabs>
        <w:kinsoku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区级审核：区教委、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卫生健康委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各自审核把关后，择优报送至市级部门。</w:t>
      </w:r>
    </w:p>
    <w:p>
      <w:pPr>
        <w:pStyle w:val="16"/>
        <w:keepNext w:val="0"/>
        <w:keepLines w:val="0"/>
        <w:pageBreakBefore w:val="0"/>
        <w:widowControl w:val="0"/>
        <w:tabs>
          <w:tab w:val="left" w:pos="1108"/>
        </w:tabs>
        <w:kinsoku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市级审核：市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eastAsia="zh-CN"/>
        </w:rPr>
        <w:t>疾控中心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组织专家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eastAsia="zh-CN"/>
        </w:rPr>
        <w:t>对各区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宣传短片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推送至“营”在校园微信公众号进行播放宣传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eastAsia="zh-CN"/>
        </w:rPr>
        <w:t>。市级部门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择优向更高平台进行推广展播，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扩大营养教育的覆盖面和影响力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right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六、报送途径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2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highlight w:val="none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"mailto:（二）各参赛学校汇总本校作品，填写推选作品汇总表（见附表），6月20日前将参赛作品及汇总表打包发送至邮箱sjszybyhjwsk2025@163.com，参赛作品均以\“石景山区+学校名称视频名称\”命名。"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各参赛学校汇总本单位作品，填写推选作品汇总表（见附表），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5月20日前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将参赛作品及汇总表（附件）压缩打包发送至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教委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邮箱，参赛作品均以</w:t>
      </w:r>
      <w:r>
        <w:rPr>
          <w:rFonts w:hint="eastAsia" w:ascii="仿宋_GB2312" w:hAnsi="仿宋_GB2312" w:eastAsia="仿宋_GB2312" w:cs="仿宋_GB2312"/>
          <w:color w:val="000000"/>
          <w:spacing w:val="-27"/>
          <w:sz w:val="32"/>
          <w:szCs w:val="32"/>
          <w:lang w:eastAsia="zh-CN"/>
        </w:rPr>
        <w:t>压缩包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命名规则：【石景山区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xx学校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-宣传短片】，其中压缩包内每个宣传短片命名规则：【石景山区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xx学校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-宣传片名称】，相关联系人及报送邮箱见附件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overflowPunct/>
        <w:topLinePunct w:val="0"/>
        <w:bidi w:val="0"/>
        <w:spacing w:beforeAutospacing="0" w:after="0" w:afterAutospacing="0" w:line="52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overflowPunct/>
        <w:topLinePunct w:val="0"/>
        <w:bidi w:val="0"/>
        <w:spacing w:beforeAutospacing="0" w:after="0" w:afterAutospacing="0" w:line="5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附表</w:t>
      </w:r>
    </w:p>
    <w:p>
      <w:pPr>
        <w:pStyle w:val="8"/>
        <w:keepNext w:val="0"/>
        <w:keepLines w:val="0"/>
        <w:pageBreakBefore w:val="0"/>
        <w:overflowPunct/>
        <w:topLinePunct w:val="0"/>
        <w:bidi w:val="0"/>
        <w:spacing w:beforeAutospacing="0" w:after="0" w:afterAutospacing="0" w:line="52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overflowPunct/>
        <w:topLinePunct w:val="0"/>
        <w:bidi w:val="0"/>
        <w:spacing w:before="49"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5"/>
          <w:sz w:val="44"/>
          <w:szCs w:val="44"/>
          <w:lang w:eastAsia="zh-CN"/>
        </w:rPr>
        <w:t>营养知识宣传短片征集汇总表</w:t>
      </w:r>
    </w:p>
    <w:tbl>
      <w:tblPr>
        <w:tblStyle w:val="11"/>
        <w:tblW w:w="96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595"/>
        <w:gridCol w:w="2722"/>
        <w:gridCol w:w="3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1659"/>
                <w:tab w:val="left" w:pos="2780"/>
                <w:tab w:val="left" w:pos="5259"/>
                <w:tab w:val="left" w:pos="5499"/>
                <w:tab w:val="left" w:pos="8298"/>
              </w:tabs>
              <w:overflowPunct/>
              <w:topLinePunct w:val="0"/>
              <w:bidi w:val="0"/>
              <w:spacing w:before="55" w:after="22" w:line="5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5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1659"/>
                <w:tab w:val="left" w:pos="2780"/>
                <w:tab w:val="left" w:pos="5259"/>
                <w:tab w:val="left" w:pos="5499"/>
                <w:tab w:val="left" w:pos="8298"/>
              </w:tabs>
              <w:overflowPunct/>
              <w:topLinePunct w:val="0"/>
              <w:bidi w:val="0"/>
              <w:spacing w:before="55" w:after="22" w:line="5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val="en" w:eastAsia="zh-CN"/>
              </w:rPr>
              <w:t>/学校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27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1659"/>
                <w:tab w:val="left" w:pos="2780"/>
                <w:tab w:val="left" w:pos="5259"/>
                <w:tab w:val="left" w:pos="5499"/>
                <w:tab w:val="left" w:pos="8298"/>
              </w:tabs>
              <w:overflowPunct/>
              <w:topLinePunct w:val="0"/>
              <w:bidi w:val="0"/>
              <w:spacing w:before="55" w:after="22" w:line="5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eastAsia="zh-CN"/>
              </w:rPr>
              <w:t>宣传短片名称</w:t>
            </w:r>
          </w:p>
        </w:tc>
        <w:tc>
          <w:tcPr>
            <w:tcW w:w="35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1659"/>
                <w:tab w:val="left" w:pos="2780"/>
                <w:tab w:val="left" w:pos="5259"/>
                <w:tab w:val="left" w:pos="5499"/>
                <w:tab w:val="left" w:pos="8298"/>
              </w:tabs>
              <w:overflowPunct/>
              <w:topLinePunct w:val="0"/>
              <w:bidi w:val="0"/>
              <w:spacing w:before="55" w:after="22" w:line="5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eastAsia="zh-CN"/>
              </w:rPr>
              <w:t>年级、班级、姓名（学生制作的短片填写此栏）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1659"/>
                <w:tab w:val="left" w:pos="2780"/>
                <w:tab w:val="left" w:pos="5259"/>
                <w:tab w:val="left" w:pos="5499"/>
                <w:tab w:val="left" w:pos="8298"/>
              </w:tabs>
              <w:overflowPunct/>
              <w:topLinePunct w:val="0"/>
              <w:bidi w:val="0"/>
              <w:spacing w:before="55" w:after="22" w:line="5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25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1659"/>
                <w:tab w:val="left" w:pos="2780"/>
                <w:tab w:val="left" w:pos="5259"/>
                <w:tab w:val="left" w:pos="5499"/>
                <w:tab w:val="left" w:pos="8298"/>
              </w:tabs>
              <w:overflowPunct/>
              <w:topLinePunct w:val="0"/>
              <w:bidi w:val="0"/>
              <w:spacing w:before="55" w:after="22" w:line="520" w:lineRule="exact"/>
              <w:ind w:left="220"/>
              <w:jc w:val="center"/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</w:pPr>
          </w:p>
        </w:tc>
        <w:tc>
          <w:tcPr>
            <w:tcW w:w="27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1659"/>
                <w:tab w:val="left" w:pos="2780"/>
                <w:tab w:val="left" w:pos="5259"/>
                <w:tab w:val="left" w:pos="5499"/>
                <w:tab w:val="left" w:pos="8298"/>
              </w:tabs>
              <w:overflowPunct/>
              <w:topLinePunct w:val="0"/>
              <w:bidi w:val="0"/>
              <w:spacing w:before="55" w:after="22" w:line="520" w:lineRule="exact"/>
              <w:ind w:left="220"/>
              <w:jc w:val="center"/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</w:pPr>
          </w:p>
        </w:tc>
        <w:tc>
          <w:tcPr>
            <w:tcW w:w="35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522"/>
                <w:tab w:val="left" w:pos="1659"/>
                <w:tab w:val="left" w:pos="2780"/>
                <w:tab w:val="left" w:pos="5259"/>
                <w:tab w:val="left" w:pos="5499"/>
                <w:tab w:val="left" w:pos="8298"/>
              </w:tabs>
              <w:overflowPunct/>
              <w:topLinePunct w:val="0"/>
              <w:bidi w:val="0"/>
              <w:spacing w:before="55" w:after="22" w:line="520" w:lineRule="exact"/>
              <w:ind w:left="220"/>
              <w:jc w:val="left"/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1659"/>
                <w:tab w:val="left" w:pos="2780"/>
                <w:tab w:val="left" w:pos="5259"/>
                <w:tab w:val="left" w:pos="5499"/>
                <w:tab w:val="left" w:pos="8298"/>
              </w:tabs>
              <w:overflowPunct/>
              <w:topLinePunct w:val="0"/>
              <w:bidi w:val="0"/>
              <w:spacing w:before="55" w:after="22" w:line="5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5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1659"/>
                <w:tab w:val="left" w:pos="2780"/>
                <w:tab w:val="left" w:pos="5259"/>
                <w:tab w:val="left" w:pos="5499"/>
                <w:tab w:val="left" w:pos="8298"/>
              </w:tabs>
              <w:overflowPunct/>
              <w:topLinePunct w:val="0"/>
              <w:bidi w:val="0"/>
              <w:spacing w:before="55" w:after="22" w:line="520" w:lineRule="exact"/>
              <w:ind w:left="220"/>
              <w:jc w:val="center"/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</w:pPr>
          </w:p>
        </w:tc>
        <w:tc>
          <w:tcPr>
            <w:tcW w:w="27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1659"/>
                <w:tab w:val="left" w:pos="2780"/>
                <w:tab w:val="left" w:pos="5259"/>
                <w:tab w:val="left" w:pos="5499"/>
                <w:tab w:val="left" w:pos="8298"/>
              </w:tabs>
              <w:overflowPunct/>
              <w:topLinePunct w:val="0"/>
              <w:bidi w:val="0"/>
              <w:spacing w:before="55" w:after="22" w:line="520" w:lineRule="exact"/>
              <w:ind w:left="220"/>
              <w:jc w:val="center"/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</w:pPr>
          </w:p>
        </w:tc>
        <w:tc>
          <w:tcPr>
            <w:tcW w:w="35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1659"/>
                <w:tab w:val="left" w:pos="2780"/>
                <w:tab w:val="left" w:pos="5259"/>
                <w:tab w:val="left" w:pos="5499"/>
                <w:tab w:val="left" w:pos="8298"/>
              </w:tabs>
              <w:overflowPunct/>
              <w:topLinePunct w:val="0"/>
              <w:bidi w:val="0"/>
              <w:spacing w:before="55" w:after="22" w:line="520" w:lineRule="exact"/>
              <w:ind w:left="220"/>
              <w:jc w:val="center"/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1659"/>
                <w:tab w:val="left" w:pos="2780"/>
                <w:tab w:val="left" w:pos="5259"/>
                <w:tab w:val="left" w:pos="5499"/>
                <w:tab w:val="left" w:pos="8298"/>
              </w:tabs>
              <w:overflowPunct/>
              <w:topLinePunct w:val="0"/>
              <w:bidi w:val="0"/>
              <w:spacing w:before="55" w:after="22" w:line="5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5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1659"/>
                <w:tab w:val="left" w:pos="2780"/>
                <w:tab w:val="left" w:pos="5259"/>
                <w:tab w:val="left" w:pos="5499"/>
                <w:tab w:val="left" w:pos="8298"/>
              </w:tabs>
              <w:overflowPunct/>
              <w:topLinePunct w:val="0"/>
              <w:bidi w:val="0"/>
              <w:spacing w:before="55" w:after="22" w:line="520" w:lineRule="exact"/>
              <w:ind w:left="220"/>
              <w:jc w:val="center"/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</w:pPr>
          </w:p>
        </w:tc>
        <w:tc>
          <w:tcPr>
            <w:tcW w:w="27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1659"/>
                <w:tab w:val="left" w:pos="2780"/>
                <w:tab w:val="left" w:pos="5259"/>
                <w:tab w:val="left" w:pos="5499"/>
                <w:tab w:val="left" w:pos="8298"/>
              </w:tabs>
              <w:overflowPunct/>
              <w:topLinePunct w:val="0"/>
              <w:bidi w:val="0"/>
              <w:spacing w:before="55" w:after="22" w:line="520" w:lineRule="exact"/>
              <w:ind w:left="220"/>
              <w:jc w:val="center"/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</w:pPr>
          </w:p>
        </w:tc>
        <w:tc>
          <w:tcPr>
            <w:tcW w:w="35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1659"/>
                <w:tab w:val="left" w:pos="2780"/>
                <w:tab w:val="left" w:pos="5259"/>
                <w:tab w:val="left" w:pos="5499"/>
                <w:tab w:val="left" w:pos="8298"/>
              </w:tabs>
              <w:overflowPunct/>
              <w:topLinePunct w:val="0"/>
              <w:bidi w:val="0"/>
              <w:spacing w:before="55" w:after="22" w:line="520" w:lineRule="exact"/>
              <w:ind w:left="220"/>
              <w:jc w:val="center"/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2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2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2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overflowPunct/>
        <w:topLinePunct w:val="0"/>
        <w:bidi w:val="0"/>
        <w:spacing w:line="520" w:lineRule="exact"/>
        <w:rPr>
          <w:lang w:eastAsia="zh-CN"/>
        </w:rPr>
      </w:pPr>
    </w:p>
    <w:p>
      <w:pPr>
        <w:pStyle w:val="3"/>
        <w:keepNext w:val="0"/>
        <w:keepLines w:val="0"/>
        <w:pageBreakBefore w:val="0"/>
        <w:overflowPunct/>
        <w:topLinePunct w:val="0"/>
        <w:bidi w:val="0"/>
        <w:spacing w:line="520" w:lineRule="exact"/>
        <w:rPr>
          <w:lang w:eastAsia="zh-CN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line="520" w:lineRule="exact"/>
        <w:rPr>
          <w:lang w:eastAsia="zh-CN"/>
        </w:rPr>
      </w:pPr>
    </w:p>
    <w:p>
      <w:pPr>
        <w:pStyle w:val="2"/>
        <w:keepNext w:val="0"/>
        <w:keepLines w:val="0"/>
        <w:pageBreakBefore w:val="0"/>
        <w:overflowPunct/>
        <w:topLinePunct w:val="0"/>
        <w:bidi w:val="0"/>
        <w:spacing w:line="520" w:lineRule="exact"/>
        <w:rPr>
          <w:lang w:eastAsia="zh-CN"/>
        </w:rPr>
      </w:pPr>
    </w:p>
    <w:p>
      <w:pPr>
        <w:pStyle w:val="3"/>
        <w:keepNext w:val="0"/>
        <w:keepLines w:val="0"/>
        <w:pageBreakBefore w:val="0"/>
        <w:overflowPunct/>
        <w:topLinePunct w:val="0"/>
        <w:bidi w:val="0"/>
        <w:spacing w:line="520" w:lineRule="exact"/>
        <w:rPr>
          <w:lang w:eastAsia="zh-CN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line="520" w:lineRule="exact"/>
        <w:rPr>
          <w:lang w:eastAsia="zh-CN"/>
        </w:rPr>
      </w:pPr>
    </w:p>
    <w:p>
      <w:pPr>
        <w:pStyle w:val="2"/>
        <w:keepNext w:val="0"/>
        <w:keepLines w:val="0"/>
        <w:pageBreakBefore w:val="0"/>
        <w:overflowPunct/>
        <w:topLinePunct w:val="0"/>
        <w:bidi w:val="0"/>
        <w:spacing w:line="520" w:lineRule="exact"/>
        <w:rPr>
          <w:lang w:eastAsia="zh-CN"/>
        </w:rPr>
      </w:pPr>
    </w:p>
    <w:p>
      <w:pPr>
        <w:pStyle w:val="8"/>
        <w:keepNext w:val="0"/>
        <w:keepLines w:val="0"/>
        <w:pageBreakBefore w:val="0"/>
        <w:overflowPunct/>
        <w:topLinePunct w:val="0"/>
        <w:bidi w:val="0"/>
        <w:spacing w:beforeAutospacing="0" w:after="0" w:afterAutospacing="0" w:line="52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overflowPunct/>
        <w:topLinePunct w:val="0"/>
        <w:bidi w:val="0"/>
        <w:spacing w:beforeAutospacing="0" w:after="0" w:afterAutospacing="0" w:line="52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附件3</w:t>
      </w:r>
    </w:p>
    <w:p>
      <w:pPr>
        <w:pStyle w:val="8"/>
        <w:keepNext w:val="0"/>
        <w:keepLines w:val="0"/>
        <w:pageBreakBefore w:val="0"/>
        <w:overflowPunct/>
        <w:topLinePunct w:val="0"/>
        <w:bidi w:val="0"/>
        <w:spacing w:beforeAutospacing="0" w:after="0" w:afterAutospacing="0" w:line="52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739" w:firstLineChars="168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2021-2025年“营”在校园行动终期评估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after="0" w:line="520" w:lineRule="exact"/>
        <w:ind w:firstLine="540" w:firstLineChars="168"/>
        <w:jc w:val="both"/>
        <w:rPr>
          <w:rFonts w:hint="eastAsia" w:ascii="仿宋_GB2312" w:hAnsi="宋体" w:eastAsia="仿宋_GB2312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after="0" w:line="520" w:lineRule="exact"/>
        <w:ind w:firstLine="537" w:firstLineChars="168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根据《“营”在校园—北京市平衡膳食校园健康促进行动工作方案（2021-2025年）》（以下简称《方案》）要求，2025年市疾控局和市教委将联合开展《方案》终期评估，</w:t>
      </w:r>
      <w:r>
        <w:rPr>
          <w:rFonts w:hint="eastAsia" w:ascii="仿宋_GB2312" w:eastAsia="仿宋_GB2312"/>
          <w:sz w:val="32"/>
          <w:szCs w:val="32"/>
          <w:lang w:eastAsia="zh-CN"/>
        </w:rPr>
        <w:t>评估采用区级自评和调研座谈相结合的方式进行，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具体安排如下：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after="0" w:line="520" w:lineRule="exact"/>
        <w:ind w:firstLine="537" w:firstLineChars="168"/>
        <w:jc w:val="both"/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一、评估内容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《方案》工作</w:t>
      </w:r>
      <w:r>
        <w:rPr>
          <w:rFonts w:hint="eastAsia" w:ascii="仿宋_GB2312" w:eastAsia="仿宋_GB2312"/>
          <w:sz w:val="32"/>
          <w:szCs w:val="32"/>
          <w:lang w:eastAsia="zh-CN"/>
        </w:rPr>
        <w:t>落实情况、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  <w:lang w:eastAsia="zh-CN"/>
        </w:rPr>
        <w:t>健康指标变化及学校营养环境改善情况、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工作经验与</w:t>
      </w:r>
      <w:r>
        <w:rPr>
          <w:rFonts w:hint="eastAsia" w:ascii="仿宋_GB2312" w:eastAsia="仿宋_GB2312"/>
          <w:sz w:val="32"/>
          <w:szCs w:val="32"/>
          <w:lang w:eastAsia="zh-CN"/>
        </w:rPr>
        <w:t>亮点、下一步工作计划等（报告格式附后，供参考）。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二、区级自评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石景山区卫健委牵头会同区教委</w:t>
      </w:r>
      <w:r>
        <w:rPr>
          <w:rFonts w:hint="eastAsia" w:ascii="仿宋_GB2312" w:eastAsia="仿宋_GB2312"/>
          <w:sz w:val="32"/>
          <w:szCs w:val="32"/>
          <w:lang w:eastAsia="zh-CN"/>
        </w:rPr>
        <w:t>对辖区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《方案》工作开展情况进行自评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汇总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2021-2025年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辖区内中小学生营养相关健康指标变化情况、中小学校营养环境改善情况，并总结本辖区开展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工作取得的经验与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亮点，形成本区自评报告。自</w:t>
      </w:r>
      <w:r>
        <w:rPr>
          <w:rFonts w:hint="eastAsia" w:ascii="仿宋_GB2312" w:eastAsia="仿宋_GB2312"/>
          <w:sz w:val="32"/>
          <w:szCs w:val="32"/>
          <w:lang w:eastAsia="zh-CN"/>
        </w:rPr>
        <w:t>评报告于8月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  <w:lang w:eastAsia="zh-CN"/>
        </w:rPr>
        <w:t>日前提交至市级邮箱。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after="0" w:line="520" w:lineRule="exact"/>
        <w:jc w:val="both"/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 xml:space="preserve">    三、专家调研座谈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市级层面组织召开专家调研座谈会，听取各区汇报营在校园工作以及下一阶段行动方案意见建议。</w:t>
      </w:r>
    </w:p>
    <w:p>
      <w:pPr>
        <w:pStyle w:val="6"/>
        <w:ind w:left="0" w:leftChars="0" w:firstLine="0" w:firstLineChars="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附件：“</w:t>
      </w:r>
      <w:r>
        <w:rPr>
          <w:rFonts w:hint="eastAsia" w:ascii="仿宋_GB2312" w:eastAsia="仿宋_GB2312"/>
          <w:sz w:val="32"/>
          <w:szCs w:val="32"/>
          <w:lang w:eastAsia="zh-CN"/>
        </w:rPr>
        <w:t>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lang w:eastAsia="zh-CN"/>
        </w:rPr>
        <w:t>在校园行动区级自评报告参考格式</w:t>
      </w:r>
    </w:p>
    <w:p>
      <w:pPr>
        <w:pStyle w:val="3"/>
        <w:keepNext w:val="0"/>
        <w:keepLines w:val="0"/>
        <w:pageBreakBefore w:val="0"/>
        <w:overflowPunct/>
        <w:topLinePunct w:val="0"/>
        <w:bidi w:val="0"/>
        <w:spacing w:line="52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line="520" w:lineRule="exact"/>
        <w:rPr>
          <w:rFonts w:hint="default"/>
          <w:lang w:val="en-US" w:eastAsia="zh-CN"/>
        </w:rPr>
      </w:pPr>
    </w:p>
    <w:p>
      <w:pPr>
        <w:pStyle w:val="8"/>
        <w:keepNext w:val="0"/>
        <w:keepLines w:val="0"/>
        <w:pageBreakBefore w:val="0"/>
        <w:overflowPunct/>
        <w:topLinePunct w:val="0"/>
        <w:bidi w:val="0"/>
        <w:spacing w:beforeAutospacing="0" w:after="0" w:afterAutospacing="0" w:line="52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after="0" w:line="5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石景山区关于“营”在校园—北京市平衡膳食</w:t>
      </w: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after="0" w:line="5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校园健康促进行动（2021-2025年）自评报告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overflowPunct/>
        <w:topLinePunct w:val="0"/>
        <w:bidi w:val="0"/>
        <w:spacing w:after="0" w:line="520" w:lineRule="exact"/>
        <w:ind w:firstLine="640" w:firstLineChars="200"/>
        <w:jc w:val="center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（供参考）</w:t>
      </w: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一、保障措施</w:t>
      </w: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楷体" w:hAnsi="楷体" w:eastAsia="楷体" w:cs="楷体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（一）组织保障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组织构成及分工、校园队伍建设、区级专家团队建设、利用专家团队开展工作情况等。</w:t>
      </w: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楷体" w:hAnsi="楷体" w:eastAsia="楷体" w:cs="楷体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（二）政策保障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建立完善区级《方案》各项制度，制定工作规范情况等。</w:t>
      </w: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楷体" w:hAnsi="楷体" w:eastAsia="楷体" w:cs="楷体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（三）经费保障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各级部门经费保障情况。</w:t>
      </w: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二、工作落实情况</w:t>
      </w: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楷体" w:hAnsi="楷体" w:eastAsia="楷体" w:cs="楷体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（一）宣传活动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营养健康主题宣传活动开展情况，包括围绕各主题的多种活动形式与传播媒介使用情况。辖区营养宣传志愿者活动开展情况等。</w:t>
      </w: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楷体" w:hAnsi="楷体" w:eastAsia="楷体" w:cs="楷体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（二）试点校建设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中小学营养教育试点建设情况，包括教育师资建立、营养教育教案与宣传材料的制作、课程开展及营养教育试点效果评估内容情况等。</w:t>
      </w: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楷体" w:hAnsi="楷体" w:eastAsia="楷体" w:cs="楷体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（三）营养状况调查工作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CESI楷体-GB2312" w:hAnsi="CESI楷体-GB2312" w:eastAsia="CESI楷体-GB2312" w:cs="CESI楷体-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石景山区</w:t>
      </w:r>
      <w:r>
        <w:rPr>
          <w:rFonts w:ascii="仿宋_GB2312" w:hAnsi="宋体" w:eastAsia="仿宋_GB2312"/>
          <w:bCs/>
          <w:sz w:val="32"/>
          <w:szCs w:val="32"/>
          <w:lang w:eastAsia="zh-CN"/>
        </w:rPr>
        <w:t>学生营养素养调查和学龄儿童营养健康知识知晓率调查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情况。</w:t>
      </w: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三、健康指标状况</w:t>
      </w: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楷体" w:hAnsi="楷体" w:eastAsia="楷体" w:cs="楷体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（一）中小学生身体健康指标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身体健康指标变化情况，包含分学段、性别的身高、体重情况，超重、肥胖、营养不良率，血压、血红蛋白情况，贫血率等。</w:t>
      </w: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楷体" w:hAnsi="楷体" w:eastAsia="楷体" w:cs="楷体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（二）中小学生营养素养情况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32"/>
          <w:lang w:eastAsia="zh-CN"/>
        </w:rPr>
        <w:t>结合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辖区</w:t>
      </w:r>
      <w:r>
        <w:rPr>
          <w:rFonts w:ascii="仿宋_GB2312" w:hAnsi="宋体" w:eastAsia="仿宋_GB2312"/>
          <w:sz w:val="32"/>
          <w:szCs w:val="32"/>
          <w:lang w:eastAsia="zh-CN"/>
        </w:rPr>
        <w:t>学生营养素养调查和学龄儿童营养健康知识知晓率调查结果，分析</w:t>
      </w:r>
      <w:r>
        <w:rPr>
          <w:rFonts w:ascii="仿宋_GB2312" w:hAnsi="宋体" w:eastAsia="仿宋_GB2312"/>
          <w:sz w:val="32"/>
          <w:szCs w:val="32"/>
          <w:highlight w:val="none"/>
          <w:lang w:eastAsia="zh-CN"/>
        </w:rPr>
        <w:t>辖区</w:t>
      </w:r>
      <w:r>
        <w:rPr>
          <w:rFonts w:ascii="仿宋_GB2312" w:hAnsi="宋体" w:eastAsia="仿宋_GB2312"/>
          <w:sz w:val="32"/>
          <w:szCs w:val="32"/>
          <w:lang w:eastAsia="zh-CN"/>
        </w:rPr>
        <w:t>中小学生营养相关知识、行为改变情况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楷体" w:hAnsi="楷体" w:eastAsia="楷体" w:cs="楷体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eastAsia="zh-CN"/>
        </w:rPr>
        <w:t>（三）中小学校营养环境改善情况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包含营养环境氛围（校内张贴营养海报、广播营养知识、宣传各类营养主题等）、营养教育（开设营养课堂、发放资料等）、食堂营养健康环境（环境、餐食搭配及营养等）。</w:t>
      </w: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四、工作经验与亮点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阐述亮点工作和特色工作，全面总结工作内容及成果，阐释工作方法与关键要点等。</w:t>
      </w: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五、下一步工作计划</w:t>
      </w: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六、其他</w:t>
      </w: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line="520" w:lineRule="exact"/>
        <w:rPr>
          <w:lang w:eastAsia="zh-CN"/>
        </w:rPr>
      </w:pPr>
    </w:p>
    <w:p>
      <w:pPr>
        <w:pStyle w:val="3"/>
        <w:keepNext w:val="0"/>
        <w:keepLines w:val="0"/>
        <w:pageBreakBefore w:val="0"/>
        <w:widowControl/>
        <w:overflowPunct/>
        <w:topLinePunct w:val="0"/>
        <w:bidi w:val="0"/>
        <w:spacing w:line="520" w:lineRule="exact"/>
        <w:ind w:firstLine="640" w:firstLineChars="200"/>
        <w:rPr>
          <w:rFonts w:hint="eastAsia" w:ascii="仿宋_GB2312" w:hAnsi="Arial" w:eastAsia="仿宋_GB2312" w:cs="Arial"/>
          <w:snapToGrid w:val="0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snapToGrid w:val="0"/>
          <w:color w:val="000000"/>
          <w:sz w:val="32"/>
          <w:szCs w:val="32"/>
        </w:rPr>
        <w:t>（联系人：</w:t>
      </w:r>
      <w:r>
        <w:rPr>
          <w:rFonts w:ascii="仿宋_GB2312" w:hAnsi="Arial" w:eastAsia="仿宋_GB2312" w:cs="Arial"/>
          <w:snapToGrid w:val="0"/>
          <w:color w:val="000000"/>
          <w:sz w:val="32"/>
          <w:szCs w:val="32"/>
        </w:rPr>
        <w:t xml:space="preserve">         </w:t>
      </w:r>
      <w:r>
        <w:rPr>
          <w:rFonts w:hint="eastAsia" w:ascii="仿宋_GB2312" w:hAnsi="Arial" w:eastAsia="仿宋_GB2312" w:cs="Arial"/>
          <w:snapToGrid w:val="0"/>
          <w:color w:val="000000"/>
          <w:sz w:val="32"/>
          <w:szCs w:val="32"/>
        </w:rPr>
        <w:t xml:space="preserve"> ；联系方式：</w:t>
      </w:r>
      <w:r>
        <w:rPr>
          <w:rFonts w:ascii="仿宋_GB2312" w:hAnsi="Arial" w:eastAsia="仿宋_GB2312" w:cs="Arial"/>
          <w:snapToGrid w:val="0"/>
          <w:color w:val="000000"/>
          <w:sz w:val="32"/>
          <w:szCs w:val="32"/>
        </w:rPr>
        <w:t xml:space="preserve">             </w:t>
      </w:r>
      <w:r>
        <w:rPr>
          <w:rFonts w:hint="eastAsia" w:ascii="仿宋_GB2312" w:hAnsi="Arial" w:eastAsia="仿宋_GB2312" w:cs="Arial"/>
          <w:snapToGrid w:val="0"/>
          <w:color w:val="000000"/>
          <w:sz w:val="32"/>
          <w:szCs w:val="32"/>
        </w:rPr>
        <w:t>）</w:t>
      </w:r>
    </w:p>
    <w:p>
      <w:pPr>
        <w:rPr>
          <w:rFonts w:hint="eastAsia" w:ascii="仿宋_GB2312" w:hAnsi="Arial" w:eastAsia="仿宋_GB2312" w:cs="Arial"/>
          <w:snapToGrid w:val="0"/>
          <w:color w:val="000000"/>
          <w:sz w:val="32"/>
          <w:szCs w:val="32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8"/>
        <w:spacing w:beforeAutospacing="0" w:after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附件4</w:t>
      </w:r>
    </w:p>
    <w:p>
      <w:pPr>
        <w:pStyle w:val="8"/>
        <w:spacing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“营”在校园活动区级联系人信息表</w:t>
      </w:r>
    </w:p>
    <w:p>
      <w:pPr>
        <w:pStyle w:val="8"/>
        <w:spacing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11"/>
        <w:tblW w:w="9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946"/>
        <w:gridCol w:w="1678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top"/>
          </w:tcPr>
          <w:p>
            <w:pPr>
              <w:pStyle w:val="8"/>
              <w:spacing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1812" w:type="dxa"/>
            <w:vAlign w:val="top"/>
          </w:tcPr>
          <w:p>
            <w:pPr>
              <w:pStyle w:val="8"/>
              <w:spacing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部门</w:t>
            </w:r>
          </w:p>
        </w:tc>
        <w:tc>
          <w:tcPr>
            <w:tcW w:w="1946" w:type="dxa"/>
            <w:vAlign w:val="top"/>
          </w:tcPr>
          <w:p>
            <w:pPr>
              <w:pStyle w:val="8"/>
              <w:spacing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678" w:type="dxa"/>
            <w:vAlign w:val="top"/>
          </w:tcPr>
          <w:p>
            <w:pPr>
              <w:pStyle w:val="8"/>
              <w:spacing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固定电话</w:t>
            </w:r>
          </w:p>
        </w:tc>
        <w:tc>
          <w:tcPr>
            <w:tcW w:w="2175" w:type="dxa"/>
            <w:vAlign w:val="top"/>
          </w:tcPr>
          <w:p>
            <w:pPr>
              <w:pStyle w:val="8"/>
              <w:spacing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12" w:type="dxa"/>
            <w:vMerge w:val="restart"/>
            <w:vAlign w:val="top"/>
          </w:tcPr>
          <w:p>
            <w:pPr>
              <w:pStyle w:val="8"/>
              <w:spacing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卫生健康委</w:t>
            </w:r>
          </w:p>
        </w:tc>
        <w:tc>
          <w:tcPr>
            <w:tcW w:w="1812" w:type="dxa"/>
            <w:vAlign w:val="top"/>
          </w:tcPr>
          <w:p>
            <w:pPr>
              <w:pStyle w:val="8"/>
              <w:spacing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疾控科</w:t>
            </w:r>
          </w:p>
        </w:tc>
        <w:tc>
          <w:tcPr>
            <w:tcW w:w="1946" w:type="dxa"/>
            <w:vAlign w:val="top"/>
          </w:tcPr>
          <w:p>
            <w:pPr>
              <w:pStyle w:val="8"/>
              <w:spacing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孙霄</w:t>
            </w:r>
          </w:p>
        </w:tc>
        <w:tc>
          <w:tcPr>
            <w:tcW w:w="1678" w:type="dxa"/>
            <w:vAlign w:val="top"/>
          </w:tcPr>
          <w:p>
            <w:pPr>
              <w:pStyle w:val="8"/>
              <w:spacing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88605003</w:t>
            </w:r>
          </w:p>
        </w:tc>
        <w:tc>
          <w:tcPr>
            <w:tcW w:w="2175" w:type="dxa"/>
            <w:vMerge w:val="restart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sjswjwjkk@bjsjs.gov.cn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Merge w:val="continue"/>
            <w:vAlign w:val="top"/>
          </w:tcPr>
          <w:p>
            <w:pPr>
              <w:pStyle w:val="8"/>
              <w:spacing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2" w:type="dxa"/>
            <w:vAlign w:val="top"/>
          </w:tcPr>
          <w:p>
            <w:pPr>
              <w:pStyle w:val="8"/>
              <w:spacing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疾控科</w:t>
            </w:r>
          </w:p>
        </w:tc>
        <w:tc>
          <w:tcPr>
            <w:tcW w:w="1946" w:type="dxa"/>
            <w:vAlign w:val="top"/>
          </w:tcPr>
          <w:p>
            <w:pPr>
              <w:pStyle w:val="8"/>
              <w:spacing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张凌宇</w:t>
            </w:r>
          </w:p>
        </w:tc>
        <w:tc>
          <w:tcPr>
            <w:tcW w:w="1678" w:type="dxa"/>
            <w:vAlign w:val="top"/>
          </w:tcPr>
          <w:p>
            <w:pPr>
              <w:pStyle w:val="8"/>
              <w:spacing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59904806</w:t>
            </w:r>
          </w:p>
        </w:tc>
        <w:tc>
          <w:tcPr>
            <w:tcW w:w="2175" w:type="dxa"/>
            <w:vMerge w:val="continue"/>
            <w:vAlign w:val="top"/>
          </w:tcPr>
          <w:p>
            <w:pPr>
              <w:pStyle w:val="8"/>
              <w:spacing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Merge w:val="restart"/>
            <w:vAlign w:val="top"/>
          </w:tcPr>
          <w:p>
            <w:pPr>
              <w:pStyle w:val="8"/>
              <w:spacing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区教委</w:t>
            </w:r>
          </w:p>
          <w:p>
            <w:pPr>
              <w:pStyle w:val="8"/>
              <w:spacing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综合事务管理中心</w:t>
            </w:r>
          </w:p>
        </w:tc>
        <w:tc>
          <w:tcPr>
            <w:tcW w:w="1946" w:type="dxa"/>
            <w:vAlign w:val="top"/>
          </w:tcPr>
          <w:p>
            <w:pPr>
              <w:pStyle w:val="8"/>
              <w:spacing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刘伟</w:t>
            </w:r>
          </w:p>
        </w:tc>
        <w:tc>
          <w:tcPr>
            <w:tcW w:w="1678" w:type="dxa"/>
            <w:vAlign w:val="top"/>
          </w:tcPr>
          <w:p>
            <w:pPr>
              <w:pStyle w:val="8"/>
              <w:spacing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88931894</w:t>
            </w:r>
          </w:p>
        </w:tc>
        <w:tc>
          <w:tcPr>
            <w:tcW w:w="2175" w:type="dxa"/>
            <w:vMerge w:val="restart"/>
            <w:vAlign w:val="top"/>
          </w:tcPr>
          <w:p>
            <w:pPr>
              <w:pStyle w:val="8"/>
              <w:spacing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3863572873@qq.com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Merge w:val="continue"/>
            <w:vAlign w:val="top"/>
          </w:tcPr>
          <w:p>
            <w:pPr>
              <w:pStyle w:val="8"/>
              <w:spacing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综合事务管理中心</w:t>
            </w:r>
          </w:p>
        </w:tc>
        <w:tc>
          <w:tcPr>
            <w:tcW w:w="1946" w:type="dxa"/>
            <w:vAlign w:val="top"/>
          </w:tcPr>
          <w:p>
            <w:pPr>
              <w:pStyle w:val="8"/>
              <w:spacing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吴峥</w:t>
            </w:r>
          </w:p>
        </w:tc>
        <w:tc>
          <w:tcPr>
            <w:tcW w:w="1678" w:type="dxa"/>
            <w:vAlign w:val="top"/>
          </w:tcPr>
          <w:p>
            <w:pPr>
              <w:pStyle w:val="8"/>
              <w:spacing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88931894</w:t>
            </w:r>
          </w:p>
        </w:tc>
        <w:tc>
          <w:tcPr>
            <w:tcW w:w="2175" w:type="dxa"/>
            <w:vMerge w:val="continue"/>
            <w:vAlign w:val="top"/>
          </w:tcPr>
          <w:p>
            <w:pPr>
              <w:pStyle w:val="8"/>
              <w:spacing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区疾控中心</w:t>
            </w:r>
          </w:p>
        </w:tc>
        <w:tc>
          <w:tcPr>
            <w:tcW w:w="181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食品卫生科</w:t>
            </w:r>
          </w:p>
        </w:tc>
        <w:tc>
          <w:tcPr>
            <w:tcW w:w="1946" w:type="dxa"/>
            <w:vAlign w:val="top"/>
          </w:tcPr>
          <w:p>
            <w:pPr>
              <w:pStyle w:val="8"/>
              <w:spacing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王明良</w:t>
            </w:r>
          </w:p>
        </w:tc>
        <w:tc>
          <w:tcPr>
            <w:tcW w:w="1678" w:type="dxa"/>
            <w:vAlign w:val="top"/>
          </w:tcPr>
          <w:p>
            <w:pPr>
              <w:pStyle w:val="8"/>
              <w:spacing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88605033</w:t>
            </w:r>
          </w:p>
        </w:tc>
        <w:tc>
          <w:tcPr>
            <w:tcW w:w="2175" w:type="dxa"/>
            <w:vAlign w:val="top"/>
          </w:tcPr>
          <w:p>
            <w:pPr>
              <w:pStyle w:val="8"/>
              <w:spacing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pStyle w:val="2"/>
        <w:rPr>
          <w:rFonts w:hint="default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5EE818"/>
    <w:multiLevelType w:val="singleLevel"/>
    <w:tmpl w:val="FB5EE81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560"/>
    <w:rsid w:val="00033669"/>
    <w:rsid w:val="00086DBF"/>
    <w:rsid w:val="00090C3A"/>
    <w:rsid w:val="000D16AA"/>
    <w:rsid w:val="000D7CCD"/>
    <w:rsid w:val="000F4E3C"/>
    <w:rsid w:val="001318CB"/>
    <w:rsid w:val="001449E0"/>
    <w:rsid w:val="001D79EE"/>
    <w:rsid w:val="00217296"/>
    <w:rsid w:val="002242A7"/>
    <w:rsid w:val="002567C0"/>
    <w:rsid w:val="0029332A"/>
    <w:rsid w:val="002C692B"/>
    <w:rsid w:val="003626FF"/>
    <w:rsid w:val="003E65D5"/>
    <w:rsid w:val="003E749A"/>
    <w:rsid w:val="00444B4F"/>
    <w:rsid w:val="00454E74"/>
    <w:rsid w:val="004D17F0"/>
    <w:rsid w:val="004E4724"/>
    <w:rsid w:val="004F0DD9"/>
    <w:rsid w:val="004F6FF4"/>
    <w:rsid w:val="005B14DB"/>
    <w:rsid w:val="006401E7"/>
    <w:rsid w:val="006709C0"/>
    <w:rsid w:val="006757A1"/>
    <w:rsid w:val="006758BD"/>
    <w:rsid w:val="006A212B"/>
    <w:rsid w:val="00737C3D"/>
    <w:rsid w:val="007432E4"/>
    <w:rsid w:val="00763F5B"/>
    <w:rsid w:val="00782380"/>
    <w:rsid w:val="007B6FAC"/>
    <w:rsid w:val="007D6FD9"/>
    <w:rsid w:val="007E23F2"/>
    <w:rsid w:val="007E2AB6"/>
    <w:rsid w:val="007E62CC"/>
    <w:rsid w:val="008E3403"/>
    <w:rsid w:val="00942C20"/>
    <w:rsid w:val="00960B45"/>
    <w:rsid w:val="009804BF"/>
    <w:rsid w:val="00A04FD1"/>
    <w:rsid w:val="00A4463D"/>
    <w:rsid w:val="00A72EC0"/>
    <w:rsid w:val="00A958C3"/>
    <w:rsid w:val="00B94F1F"/>
    <w:rsid w:val="00BB0DE1"/>
    <w:rsid w:val="00BC2A52"/>
    <w:rsid w:val="00BE437B"/>
    <w:rsid w:val="00BF6CDC"/>
    <w:rsid w:val="00C228ED"/>
    <w:rsid w:val="00C63609"/>
    <w:rsid w:val="00CA03C6"/>
    <w:rsid w:val="00CF51C9"/>
    <w:rsid w:val="00D756D4"/>
    <w:rsid w:val="00DA659B"/>
    <w:rsid w:val="00DE1A91"/>
    <w:rsid w:val="00DF7F89"/>
    <w:rsid w:val="00E06758"/>
    <w:rsid w:val="00E302FF"/>
    <w:rsid w:val="00E35B3B"/>
    <w:rsid w:val="00EB32FF"/>
    <w:rsid w:val="00EB5D54"/>
    <w:rsid w:val="00EF5911"/>
    <w:rsid w:val="00F3233B"/>
    <w:rsid w:val="00F57D43"/>
    <w:rsid w:val="00F855C0"/>
    <w:rsid w:val="00F979D3"/>
    <w:rsid w:val="00FA269F"/>
    <w:rsid w:val="00FA56BC"/>
    <w:rsid w:val="00FE410A"/>
    <w:rsid w:val="01E85919"/>
    <w:rsid w:val="05CC3C71"/>
    <w:rsid w:val="065A736A"/>
    <w:rsid w:val="067B0CB4"/>
    <w:rsid w:val="06C2252D"/>
    <w:rsid w:val="08C242F8"/>
    <w:rsid w:val="098F5EC2"/>
    <w:rsid w:val="0A71400E"/>
    <w:rsid w:val="0B822883"/>
    <w:rsid w:val="0BE869AE"/>
    <w:rsid w:val="0C2D2F40"/>
    <w:rsid w:val="0C7B361D"/>
    <w:rsid w:val="0F754026"/>
    <w:rsid w:val="12492CEC"/>
    <w:rsid w:val="13B45277"/>
    <w:rsid w:val="164F10AA"/>
    <w:rsid w:val="16F27BC9"/>
    <w:rsid w:val="171B170F"/>
    <w:rsid w:val="1747664C"/>
    <w:rsid w:val="189505E3"/>
    <w:rsid w:val="1A687D04"/>
    <w:rsid w:val="1B8F5BB2"/>
    <w:rsid w:val="1D680EEC"/>
    <w:rsid w:val="222A2B08"/>
    <w:rsid w:val="25F24204"/>
    <w:rsid w:val="263D7047"/>
    <w:rsid w:val="26A45624"/>
    <w:rsid w:val="26CC3999"/>
    <w:rsid w:val="28050D33"/>
    <w:rsid w:val="297E2594"/>
    <w:rsid w:val="2D0B1DD8"/>
    <w:rsid w:val="2EF05AA8"/>
    <w:rsid w:val="300F5962"/>
    <w:rsid w:val="31E368D0"/>
    <w:rsid w:val="33532111"/>
    <w:rsid w:val="337E08F3"/>
    <w:rsid w:val="338D23D1"/>
    <w:rsid w:val="33DD50B4"/>
    <w:rsid w:val="34050182"/>
    <w:rsid w:val="34E866E2"/>
    <w:rsid w:val="35183E3C"/>
    <w:rsid w:val="35235A9E"/>
    <w:rsid w:val="361B2436"/>
    <w:rsid w:val="361E6F12"/>
    <w:rsid w:val="36771A5D"/>
    <w:rsid w:val="38A33DD6"/>
    <w:rsid w:val="3B1B3B0A"/>
    <w:rsid w:val="3B5296EA"/>
    <w:rsid w:val="3C546954"/>
    <w:rsid w:val="3D0222A9"/>
    <w:rsid w:val="3E3E1BEE"/>
    <w:rsid w:val="3EBA6205"/>
    <w:rsid w:val="41E401EA"/>
    <w:rsid w:val="437BE78D"/>
    <w:rsid w:val="453B3EB8"/>
    <w:rsid w:val="45487353"/>
    <w:rsid w:val="484D590C"/>
    <w:rsid w:val="493422C7"/>
    <w:rsid w:val="4BA85557"/>
    <w:rsid w:val="4D5E42B9"/>
    <w:rsid w:val="4DB65F5A"/>
    <w:rsid w:val="4EC502BD"/>
    <w:rsid w:val="4F3900A2"/>
    <w:rsid w:val="50CE5A86"/>
    <w:rsid w:val="51AE1E8B"/>
    <w:rsid w:val="51B86EA8"/>
    <w:rsid w:val="521935E1"/>
    <w:rsid w:val="541F0134"/>
    <w:rsid w:val="54D35040"/>
    <w:rsid w:val="58D551BD"/>
    <w:rsid w:val="5AA92D6F"/>
    <w:rsid w:val="5BFFF71F"/>
    <w:rsid w:val="5E352D54"/>
    <w:rsid w:val="5E700C8C"/>
    <w:rsid w:val="5ECF45D3"/>
    <w:rsid w:val="5EFC4967"/>
    <w:rsid w:val="5F443F91"/>
    <w:rsid w:val="61FA6EB6"/>
    <w:rsid w:val="65001D3E"/>
    <w:rsid w:val="67276685"/>
    <w:rsid w:val="683C75AF"/>
    <w:rsid w:val="68525C99"/>
    <w:rsid w:val="6A0D137B"/>
    <w:rsid w:val="6A8F252F"/>
    <w:rsid w:val="6BAE5B59"/>
    <w:rsid w:val="6E6EA793"/>
    <w:rsid w:val="6E77BE1C"/>
    <w:rsid w:val="6F7AFECD"/>
    <w:rsid w:val="6FB50ADE"/>
    <w:rsid w:val="6FBFC120"/>
    <w:rsid w:val="71C60644"/>
    <w:rsid w:val="71E87D58"/>
    <w:rsid w:val="720C3860"/>
    <w:rsid w:val="727B7A8E"/>
    <w:rsid w:val="739F1AE1"/>
    <w:rsid w:val="739FDBAD"/>
    <w:rsid w:val="73BB2BB6"/>
    <w:rsid w:val="74B61B73"/>
    <w:rsid w:val="74E63A6D"/>
    <w:rsid w:val="7627294B"/>
    <w:rsid w:val="77A7BB4D"/>
    <w:rsid w:val="77DB9629"/>
    <w:rsid w:val="77E60B26"/>
    <w:rsid w:val="77FE91E2"/>
    <w:rsid w:val="792613C0"/>
    <w:rsid w:val="793BBFD6"/>
    <w:rsid w:val="79A03005"/>
    <w:rsid w:val="79F05B4D"/>
    <w:rsid w:val="7A495A72"/>
    <w:rsid w:val="7B4C3B68"/>
    <w:rsid w:val="7BA7E9DB"/>
    <w:rsid w:val="7BE73669"/>
    <w:rsid w:val="7C394EC7"/>
    <w:rsid w:val="7D51D335"/>
    <w:rsid w:val="7DE73605"/>
    <w:rsid w:val="7EEF5A5B"/>
    <w:rsid w:val="7F164E01"/>
    <w:rsid w:val="7F678772"/>
    <w:rsid w:val="7F9D8E46"/>
    <w:rsid w:val="7FBF6386"/>
    <w:rsid w:val="87EF0CBA"/>
    <w:rsid w:val="9CFF2BFF"/>
    <w:rsid w:val="AD7FA255"/>
    <w:rsid w:val="ADF34649"/>
    <w:rsid w:val="B2D781D3"/>
    <w:rsid w:val="BDEFBAC7"/>
    <w:rsid w:val="BEBFF8D3"/>
    <w:rsid w:val="BFBF875D"/>
    <w:rsid w:val="CF896A2F"/>
    <w:rsid w:val="CFFB4420"/>
    <w:rsid w:val="D92F1FF0"/>
    <w:rsid w:val="DF7EB30C"/>
    <w:rsid w:val="DFDF5512"/>
    <w:rsid w:val="E7BF469F"/>
    <w:rsid w:val="ED9ACDA3"/>
    <w:rsid w:val="EF7D0FD6"/>
    <w:rsid w:val="EFE5022B"/>
    <w:rsid w:val="F1EF5AF5"/>
    <w:rsid w:val="F32FCC3C"/>
    <w:rsid w:val="F7DEB2E5"/>
    <w:rsid w:val="F9AF0AE8"/>
    <w:rsid w:val="FBFFCB42"/>
    <w:rsid w:val="FF3F6799"/>
    <w:rsid w:val="FF7A3FCF"/>
    <w:rsid w:val="FF7F9DF1"/>
    <w:rsid w:val="FFFC7341"/>
    <w:rsid w:val="FFFFA4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 w:eastAsia="宋体" w:cs="宋体"/>
      <w:sz w:val="55"/>
      <w:szCs w:val="55"/>
    </w:rPr>
  </w:style>
  <w:style w:type="paragraph" w:customStyle="1" w:styleId="3">
    <w:name w:val="目录 11"/>
    <w:next w:val="1"/>
    <w:qFormat/>
    <w:uiPriority w:val="0"/>
    <w:pPr>
      <w:wordWrap w:val="0"/>
      <w:spacing w:after="160" w:line="278" w:lineRule="auto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仿宋_GB2312" w:hAnsi="仿宋_GB2312" w:eastAsia="仿宋_GB2312" w:cs="Times New Roman"/>
      <w:kern w:val="2"/>
      <w:sz w:val="21"/>
      <w:szCs w:val="24"/>
      <w:lang w:val="en-US" w:eastAsia="zh-CN" w:bidi="ar-SA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6">
    <w:name w:val="_Style 1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17">
    <w:name w:val="List Paragraph"/>
    <w:basedOn w:val="1"/>
    <w:qFormat/>
    <w:uiPriority w:val="1"/>
    <w:pPr>
      <w:ind w:left="220" w:firstLine="640"/>
    </w:pPr>
    <w:rPr>
      <w:rFonts w:ascii="宋体" w:hAnsi="宋体" w:eastAsia="宋体" w:cs="宋体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sjscdc</Company>
  <Pages>12</Pages>
  <Words>254</Words>
  <Characters>1454</Characters>
  <Lines>12</Lines>
  <Paragraphs>3</Paragraphs>
  <ScaleCrop>false</ScaleCrop>
  <LinksUpToDate>false</LinksUpToDate>
  <CharactersWithSpaces>1705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2019-04-10T17:14:00Z</dcterms:created>
  <dc:creator>zxy</dc:creator>
  <cp:lastModifiedBy>孙霄</cp:lastModifiedBy>
  <cp:lastPrinted>2017-01-01T20:47:00Z</cp:lastPrinted>
  <dcterms:modified xsi:type="dcterms:W3CDTF">2025-03-31T12:28:51Z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EB6CA49322D0CA492727D167CF222034_42</vt:lpwstr>
  </property>
</Properties>
</file>