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60" w:lineRule="exact"/>
        <w:jc w:val="both"/>
        <w:textAlignment w:val="auto"/>
        <w:outlineLvl w:val="9"/>
        <w:rPr>
          <w:rStyle w:val="15"/>
          <w:rFonts w:hint="eastAsia" w:ascii="黑体" w:hAnsi="黑体" w:eastAsia="黑体" w:cs="黑体"/>
          <w:b w:val="0"/>
          <w:bCs/>
          <w:i w:val="0"/>
          <w:caps w:val="0"/>
          <w:color w:val="333333"/>
          <w:spacing w:val="0"/>
          <w:sz w:val="32"/>
          <w:szCs w:val="32"/>
          <w:highlight w:val="none"/>
          <w:shd w:val="clear" w:color="auto" w:fill="FFFFFF"/>
          <w:lang w:val="en-US" w:eastAsia="zh-CN"/>
        </w:rPr>
      </w:pPr>
      <w:r>
        <w:rPr>
          <w:rStyle w:val="15"/>
          <w:rFonts w:hint="eastAsia" w:ascii="黑体" w:hAnsi="黑体" w:eastAsia="黑体" w:cs="黑体"/>
          <w:b w:val="0"/>
          <w:bCs/>
          <w:i w:val="0"/>
          <w:caps w:val="0"/>
          <w:color w:val="333333"/>
          <w:spacing w:val="0"/>
          <w:sz w:val="32"/>
          <w:szCs w:val="32"/>
          <w:highlight w:val="none"/>
          <w:shd w:val="clear" w:color="auto" w:fill="FFFFFF"/>
          <w:lang w:eastAsia="zh-CN"/>
        </w:rPr>
        <w:t>附件</w:t>
      </w:r>
      <w:r>
        <w:rPr>
          <w:rStyle w:val="15"/>
          <w:rFonts w:hint="eastAsia" w:ascii="黑体" w:hAnsi="黑体" w:eastAsia="黑体" w:cs="黑体"/>
          <w:b w:val="0"/>
          <w:bCs/>
          <w:i w:val="0"/>
          <w:caps w:val="0"/>
          <w:color w:val="333333"/>
          <w:spacing w:val="0"/>
          <w:sz w:val="32"/>
          <w:szCs w:val="32"/>
          <w:highlight w:val="none"/>
          <w:shd w:val="clear" w:color="auto" w:fill="FFFFFF"/>
          <w:lang w:val="en-US" w:eastAsia="zh-CN"/>
        </w:rPr>
        <w:t>1</w:t>
      </w:r>
    </w:p>
    <w:p>
      <w:pPr>
        <w:snapToGrid w:val="0"/>
        <w:spacing w:line="560" w:lineRule="exact"/>
        <w:jc w:val="center"/>
        <w:rPr>
          <w:rFonts w:hint="eastAsia" w:ascii="方正小标宋简体" w:hAnsi="方正小标宋简体" w:eastAsia="方正小标宋简体" w:cs="方正小标宋简体"/>
          <w:kern w:val="0"/>
          <w:sz w:val="44"/>
          <w:szCs w:val="44"/>
          <w:lang w:eastAsia="zh-CN"/>
        </w:rPr>
      </w:pPr>
      <w:bookmarkStart w:id="16" w:name="_GoBack"/>
      <w:r>
        <w:rPr>
          <w:rFonts w:hint="eastAsia" w:ascii="方正小标宋简体" w:hAnsi="方正小标宋简体" w:eastAsia="方正小标宋简体" w:cs="方正小标宋简体"/>
          <w:kern w:val="0"/>
          <w:sz w:val="44"/>
          <w:szCs w:val="44"/>
        </w:rPr>
        <w:t>2024—2026年度北京市</w:t>
      </w:r>
      <w:r>
        <w:rPr>
          <w:rFonts w:hint="eastAsia" w:ascii="方正小标宋简体" w:hAnsi="方正小标宋简体" w:eastAsia="方正小标宋简体" w:cs="方正小标宋简体"/>
          <w:kern w:val="0"/>
          <w:sz w:val="44"/>
          <w:szCs w:val="44"/>
          <w:lang w:eastAsia="zh-CN"/>
        </w:rPr>
        <w:t>顺义区</w:t>
      </w:r>
    </w:p>
    <w:p>
      <w:pPr>
        <w:snapToGrid w:val="0"/>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农机购置与应用补贴实施方案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firstLine="0"/>
        <w:jc w:val="center"/>
        <w:textAlignment w:val="auto"/>
        <w:rPr>
          <w:rStyle w:val="15"/>
          <w:rFonts w:hint="eastAsia" w:ascii="楷体_GB2312" w:hAnsi="楷体_GB2312" w:eastAsia="楷体_GB2312" w:cs="楷体_GB2312"/>
          <w:b w:val="0"/>
          <w:bCs/>
          <w:i w:val="0"/>
          <w:caps w:val="0"/>
          <w:color w:val="333333"/>
          <w:spacing w:val="0"/>
          <w:sz w:val="28"/>
          <w:szCs w:val="28"/>
          <w:highlight w:val="none"/>
          <w:shd w:val="clear" w:color="auto" w:fill="FFFFFF"/>
          <w:lang w:eastAsia="zh-CN"/>
        </w:rPr>
      </w:pPr>
      <w:r>
        <w:rPr>
          <w:rStyle w:val="15"/>
          <w:rFonts w:hint="eastAsia" w:ascii="楷体_GB2312" w:hAnsi="楷体_GB2312" w:eastAsia="楷体_GB2312" w:cs="楷体_GB2312"/>
          <w:b w:val="0"/>
          <w:bCs/>
          <w:i w:val="0"/>
          <w:caps w:val="0"/>
          <w:color w:val="333333"/>
          <w:spacing w:val="0"/>
          <w:sz w:val="28"/>
          <w:szCs w:val="28"/>
          <w:highlight w:val="none"/>
          <w:shd w:val="clear" w:color="auto" w:fill="FFFFFF"/>
          <w:lang w:eastAsia="zh-CN"/>
        </w:rPr>
        <w:t>（</w:t>
      </w:r>
      <w:r>
        <w:rPr>
          <w:rStyle w:val="15"/>
          <w:rFonts w:hint="eastAsia" w:ascii="楷体_GB2312" w:hAnsi="楷体_GB2312" w:eastAsia="楷体_GB2312" w:cs="楷体_GB2312"/>
          <w:b w:val="0"/>
          <w:bCs/>
          <w:i w:val="0"/>
          <w:caps w:val="0"/>
          <w:color w:val="333333"/>
          <w:spacing w:val="0"/>
          <w:sz w:val="28"/>
          <w:szCs w:val="28"/>
          <w:highlight w:val="none"/>
          <w:shd w:val="clear" w:color="auto" w:fill="FFFFFF"/>
          <w:lang w:val="en-US" w:eastAsia="zh-CN"/>
        </w:rPr>
        <w:t>征求意见稿</w:t>
      </w:r>
      <w:r>
        <w:rPr>
          <w:rStyle w:val="15"/>
          <w:rFonts w:hint="eastAsia" w:ascii="楷体_GB2312" w:hAnsi="楷体_GB2312" w:eastAsia="楷体_GB2312" w:cs="楷体_GB2312"/>
          <w:b w:val="0"/>
          <w:bCs/>
          <w:i w:val="0"/>
          <w:caps w:val="0"/>
          <w:color w:val="333333"/>
          <w:spacing w:val="0"/>
          <w:sz w:val="28"/>
          <w:szCs w:val="28"/>
          <w:highlight w:val="none"/>
          <w:shd w:val="clear" w:color="auto" w:fill="FFFFFF"/>
          <w:lang w:eastAsia="zh-CN"/>
        </w:rPr>
        <w:t>）</w:t>
      </w:r>
    </w:p>
    <w:bookmarkEnd w:id="16"/>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leftChars="0" w:right="0" w:firstLine="0"/>
        <w:jc w:val="center"/>
        <w:textAlignment w:val="auto"/>
        <w:rPr>
          <w:rStyle w:val="15"/>
          <w:rFonts w:hint="eastAsia" w:ascii="楷体_GB2312" w:hAnsi="楷体_GB2312" w:eastAsia="楷体_GB2312" w:cs="楷体_GB2312"/>
          <w:b w:val="0"/>
          <w:bCs/>
          <w:i w:val="0"/>
          <w:caps w:val="0"/>
          <w:color w:val="333333"/>
          <w:spacing w:val="0"/>
          <w:sz w:val="28"/>
          <w:szCs w:val="28"/>
          <w:highlight w:val="none"/>
          <w:shd w:val="clear" w:color="auto" w:fill="FFFFFF"/>
          <w:lang w:eastAsia="zh-CN"/>
        </w:rPr>
      </w:pPr>
    </w:p>
    <w:p>
      <w:pPr>
        <w:snapToGrid w:val="0"/>
        <w:spacing w:beforeLines="0" w:afterLines="0" w:line="560" w:lineRule="exact"/>
        <w:ind w:firstLine="640" w:firstLineChars="20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为贯彻落实</w:t>
      </w:r>
      <w:r>
        <w:rPr>
          <w:rFonts w:hint="eastAsia" w:ascii="仿宋_GB2312" w:hAnsi="仿宋_GB2312" w:eastAsia="仿宋_GB2312" w:cs="仿宋_GB2312"/>
          <w:kern w:val="0"/>
          <w:sz w:val="32"/>
          <w:szCs w:val="32"/>
        </w:rPr>
        <w:t>《北京市农业农村局 北京市财政局关于印发〈2024—2026 年度北京市农机购置与应用补贴实施方案〉的通知》（京政农发〔2024〕70号）</w:t>
      </w:r>
      <w:r>
        <w:rPr>
          <w:rFonts w:hint="eastAsia" w:ascii="仿宋_GB2312" w:hAnsi="仿宋_GB2312" w:eastAsia="仿宋_GB2312" w:cs="仿宋_GB2312"/>
          <w:kern w:val="0"/>
          <w:sz w:val="32"/>
          <w:szCs w:val="32"/>
          <w:lang w:eastAsia="zh-CN"/>
        </w:rPr>
        <w:t>有关要求，加快推进我区</w:t>
      </w:r>
      <w:r>
        <w:rPr>
          <w:rFonts w:hint="eastAsia" w:ascii="仿宋_GB2312" w:hAnsi="仿宋_GB2312" w:eastAsia="仿宋_GB2312" w:cs="仿宋_GB2312"/>
          <w:kern w:val="0"/>
          <w:sz w:val="32"/>
          <w:szCs w:val="32"/>
        </w:rPr>
        <w:t>农业机械化全程全面高质量发展</w:t>
      </w:r>
      <w:r>
        <w:rPr>
          <w:rFonts w:hint="eastAsia" w:ascii="仿宋_GB2312" w:hAnsi="仿宋_GB2312" w:eastAsia="仿宋_GB2312" w:cs="仿宋_GB2312"/>
          <w:kern w:val="0"/>
          <w:sz w:val="32"/>
          <w:szCs w:val="32"/>
          <w:lang w:eastAsia="zh-CN"/>
        </w:rPr>
        <w:t>，更好发挥政策引导示范作用，制定本方案。</w:t>
      </w:r>
    </w:p>
    <w:p>
      <w:pPr>
        <w:snapToGrid w:val="0"/>
        <w:spacing w:beforeLines="0" w:afterLines="0" w:line="560" w:lineRule="exact"/>
        <w:ind w:firstLine="640" w:firstLineChars="200"/>
        <w:rPr>
          <w:rFonts w:hint="eastAsia" w:ascii="黑体" w:hAnsi="黑体" w:eastAsia="黑体" w:cs="仿宋_GB2312"/>
          <w:kern w:val="0"/>
          <w:sz w:val="32"/>
          <w:szCs w:val="32"/>
        </w:rPr>
      </w:pPr>
      <w:r>
        <w:rPr>
          <w:rFonts w:hint="eastAsia" w:ascii="黑体" w:hAnsi="黑体" w:eastAsia="黑体" w:cs="仿宋_GB2312"/>
          <w:kern w:val="0"/>
          <w:sz w:val="32"/>
          <w:szCs w:val="32"/>
          <w:lang w:eastAsia="zh-CN"/>
        </w:rPr>
        <w:t>一</w:t>
      </w:r>
      <w:r>
        <w:rPr>
          <w:rFonts w:hint="eastAsia" w:ascii="黑体" w:hAnsi="黑体" w:eastAsia="黑体" w:cs="仿宋_GB2312"/>
          <w:kern w:val="0"/>
          <w:sz w:val="32"/>
          <w:szCs w:val="32"/>
        </w:rPr>
        <w:t>、实施重点</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突出稳产保供。以保障粮食和重要农产品稳定安全供给为着力点，将粮食、蔬菜、生猪等重要农畜产品生产所需机具全部列入补贴范围，应补尽补。聚焦机播增产和机收减损，重点支持高性能播种机、高端联合收获机、辅助驾驶系统等主要粮食作物大面积单产提升、山区农业生产急需、农机智能装备、农机补短板装备、农业其他领域发展急需，</w:t>
      </w:r>
      <w:r>
        <w:rPr>
          <w:rFonts w:hint="eastAsia" w:ascii="仿宋_GB2312" w:hAnsi="仿宋_GB2312" w:eastAsia="仿宋_GB2312" w:cs="仿宋_GB2312"/>
          <w:color w:val="000000"/>
          <w:kern w:val="0"/>
          <w:sz w:val="32"/>
          <w:szCs w:val="32"/>
        </w:rPr>
        <w:t>以及事关</w:t>
      </w:r>
      <w:r>
        <w:rPr>
          <w:rFonts w:hint="eastAsia" w:ascii="仿宋_GB2312" w:hAnsi="仿宋_GB2312" w:eastAsia="仿宋_GB2312" w:cs="仿宋_GB2312"/>
          <w:color w:val="000000"/>
          <w:kern w:val="0"/>
          <w:sz w:val="32"/>
          <w:szCs w:val="32"/>
          <w:lang w:val="en-US" w:eastAsia="zh-CN"/>
        </w:rPr>
        <w:t>我区</w:t>
      </w:r>
      <w:r>
        <w:rPr>
          <w:rFonts w:hint="eastAsia" w:ascii="仿宋_GB2312" w:hAnsi="仿宋_GB2312" w:eastAsia="仿宋_GB2312" w:cs="仿宋_GB2312"/>
          <w:color w:val="000000"/>
          <w:kern w:val="0"/>
          <w:sz w:val="32"/>
          <w:szCs w:val="32"/>
        </w:rPr>
        <w:t>重大战略实施的农业机械</w:t>
      </w:r>
      <w:r>
        <w:rPr>
          <w:rFonts w:hint="eastAsia" w:ascii="仿宋_GB2312" w:hAnsi="仿宋_GB2312" w:eastAsia="仿宋_GB2312" w:cs="仿宋_GB2312"/>
          <w:kern w:val="0"/>
          <w:sz w:val="32"/>
          <w:szCs w:val="32"/>
        </w:rPr>
        <w:t>（以下统称“重点机具”）的推广应用。探索将设施农业、粮食烘干、智能农机装备集成应用等方面的成套设施装备按规定纳入农机创新产品范围，加快推广应用步伐。保障重要农产品供应，提升</w:t>
      </w:r>
      <w:r>
        <w:rPr>
          <w:rFonts w:hint="eastAsia" w:ascii="仿宋_GB2312" w:hAnsi="仿宋_GB2312" w:eastAsia="仿宋_GB2312" w:cs="仿宋_GB2312"/>
          <w:kern w:val="0"/>
          <w:sz w:val="32"/>
          <w:szCs w:val="32"/>
          <w:lang w:eastAsia="zh-CN"/>
        </w:rPr>
        <w:t>我区</w:t>
      </w:r>
      <w:r>
        <w:rPr>
          <w:rFonts w:hint="eastAsia" w:ascii="仿宋_GB2312" w:hAnsi="仿宋_GB2312" w:eastAsia="仿宋_GB2312" w:cs="仿宋_GB2312"/>
          <w:kern w:val="0"/>
          <w:sz w:val="32"/>
          <w:szCs w:val="32"/>
        </w:rPr>
        <w:t>农业生产经营组织自有外埠基地的机械化水平。</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（二）突出科技创新和引领。</w:t>
      </w:r>
      <w:r>
        <w:rPr>
          <w:rFonts w:hint="eastAsia" w:ascii="仿宋_GB2312" w:hAnsi="仿宋_GB2312" w:eastAsia="仿宋_GB2312" w:cs="仿宋_GB2312"/>
          <w:kern w:val="0"/>
          <w:sz w:val="32"/>
          <w:szCs w:val="32"/>
        </w:rPr>
        <w:t>聚焦科技创新，推动</w:t>
      </w:r>
      <w:r>
        <w:rPr>
          <w:rFonts w:hint="eastAsia" w:ascii="仿宋_GB2312" w:hAnsi="仿宋_GB2312" w:eastAsia="仿宋_GB2312" w:cs="仿宋_GB2312"/>
          <w:kern w:val="0"/>
          <w:sz w:val="32"/>
          <w:szCs w:val="32"/>
          <w:lang w:eastAsia="zh-CN"/>
        </w:rPr>
        <w:t>我区</w:t>
      </w:r>
      <w:r>
        <w:rPr>
          <w:rFonts w:hint="eastAsia" w:ascii="仿宋_GB2312" w:hAnsi="仿宋_GB2312" w:eastAsia="仿宋_GB2312" w:cs="仿宋_GB2312"/>
          <w:kern w:val="0"/>
          <w:sz w:val="32"/>
          <w:szCs w:val="32"/>
        </w:rPr>
        <w:t>农机研产推用一体化试点建设，加快先进适用短板创新机具引进改进、熟化定型和推广应用。鼓励企业和科研院所联合从“小切口”形成突破，解决</w:t>
      </w:r>
      <w:r>
        <w:rPr>
          <w:rFonts w:hint="eastAsia" w:ascii="仿宋_GB2312" w:hAnsi="仿宋_GB2312" w:eastAsia="仿宋_GB2312" w:cs="仿宋_GB2312"/>
          <w:kern w:val="0"/>
          <w:sz w:val="32"/>
          <w:szCs w:val="32"/>
          <w:lang w:eastAsia="zh-CN"/>
        </w:rPr>
        <w:t>本市</w:t>
      </w:r>
      <w:r>
        <w:rPr>
          <w:rFonts w:hint="eastAsia" w:ascii="仿宋_GB2312" w:hAnsi="仿宋_GB2312" w:eastAsia="仿宋_GB2312" w:cs="仿宋_GB2312"/>
          <w:kern w:val="0"/>
          <w:sz w:val="32"/>
          <w:szCs w:val="32"/>
        </w:rPr>
        <w:t>实际需要，对于设施农业、智能化、新能源、农业机器人等装备和技术薄弱的领域，经试验示范充分的，给予重点支持。</w:t>
      </w:r>
    </w:p>
    <w:p>
      <w:pPr>
        <w:snapToGrid w:val="0"/>
        <w:spacing w:beforeLines="0" w:afterLines="0"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（三）突出补贴资质自主创新和安全可控。</w:t>
      </w:r>
      <w:r>
        <w:rPr>
          <w:rFonts w:hint="eastAsia" w:ascii="仿宋_GB2312" w:hAnsi="仿宋_GB2312" w:eastAsia="仿宋_GB2312" w:cs="仿宋_GB2312"/>
          <w:kern w:val="0"/>
          <w:sz w:val="32"/>
          <w:szCs w:val="32"/>
        </w:rPr>
        <w:t>科学规范采信农机产品质量认证和第三方机构检验检测结果，有力有效提升农机鉴定能力，加快推动具有自主知识产权的农机新产品取得补贴资质。探索开展农机产品质量认证结果、第三方机构检测结果的抽查。</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（四）补贴标准“有升有降”。</w:t>
      </w:r>
      <w:r>
        <w:rPr>
          <w:rFonts w:hint="eastAsia" w:ascii="仿宋_GB2312" w:hAnsi="仿宋_GB2312" w:eastAsia="仿宋_GB2312" w:cs="仿宋_GB2312"/>
          <w:kern w:val="0"/>
          <w:sz w:val="32"/>
          <w:szCs w:val="32"/>
        </w:rPr>
        <w:t>结合</w:t>
      </w:r>
      <w:r>
        <w:rPr>
          <w:rFonts w:hint="eastAsia" w:ascii="仿宋_GB2312" w:hAnsi="仿宋_GB2312" w:eastAsia="仿宋_GB2312" w:cs="仿宋_GB2312"/>
          <w:kern w:val="0"/>
          <w:sz w:val="32"/>
          <w:szCs w:val="32"/>
          <w:lang w:eastAsia="zh-CN"/>
        </w:rPr>
        <w:t>我区</w:t>
      </w:r>
      <w:r>
        <w:rPr>
          <w:rFonts w:hint="eastAsia" w:ascii="仿宋_GB2312" w:hAnsi="仿宋_GB2312" w:eastAsia="仿宋_GB2312" w:cs="仿宋_GB2312"/>
          <w:kern w:val="0"/>
          <w:sz w:val="32"/>
          <w:szCs w:val="32"/>
        </w:rPr>
        <w:t>实际生产需要，按要求提高部分重点机具的补贴测算比例。对保有量明显过多、技术相对落后的机具，实行降低补贴标准、退坡处理直至退出补贴范围。</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sz w:val="32"/>
          <w:szCs w:val="32"/>
        </w:rPr>
        <w:t>（五）推进农机应用补贴创新。</w:t>
      </w:r>
      <w:r>
        <w:rPr>
          <w:rFonts w:hint="eastAsia" w:ascii="仿宋_GB2312" w:hAnsi="仿宋_GB2312" w:eastAsia="仿宋_GB2312" w:cs="仿宋_GB2312"/>
          <w:sz w:val="32"/>
          <w:szCs w:val="32"/>
        </w:rPr>
        <w:t>深化农机购置与应用补贴试点，逐步推广与农机作业量挂钩的补贴操作方式。</w:t>
      </w:r>
      <w:r>
        <w:rPr>
          <w:rFonts w:hint="eastAsia" w:ascii="仿宋_GB2312" w:hAnsi="仿宋_GB2312" w:eastAsia="仿宋_GB2312" w:cs="仿宋_GB2312"/>
          <w:kern w:val="0"/>
          <w:sz w:val="32"/>
          <w:szCs w:val="32"/>
        </w:rPr>
        <w:t>探索对市级财政单独</w:t>
      </w:r>
      <w:r>
        <w:rPr>
          <w:rFonts w:hint="eastAsia" w:ascii="仿宋_GB2312" w:hAnsi="仿宋_GB2312" w:eastAsia="仿宋_GB2312" w:cs="仿宋_GB2312"/>
          <w:sz w:val="32"/>
          <w:szCs w:val="32"/>
        </w:rPr>
        <w:t>补贴机具种类范围内</w:t>
      </w:r>
      <w:r>
        <w:rPr>
          <w:rFonts w:hint="eastAsia" w:ascii="仿宋_GB2312" w:hAnsi="仿宋_GB2312" w:eastAsia="仿宋_GB2312" w:cs="仿宋_GB2312"/>
          <w:kern w:val="0"/>
          <w:sz w:val="32"/>
          <w:szCs w:val="32"/>
        </w:rPr>
        <w:t>已安装作业质量监测、辅助驾驶系统或具备作业信息化监测条件的大型、智能、复式、高端、绿色农机以及</w:t>
      </w:r>
      <w:r>
        <w:rPr>
          <w:rFonts w:hint="eastAsia" w:ascii="仿宋_GB2312" w:hAnsi="仿宋_GB2312" w:eastAsia="仿宋_GB2312" w:cs="仿宋_GB2312"/>
          <w:sz w:val="32"/>
          <w:szCs w:val="32"/>
        </w:rPr>
        <w:t>重点机具</w:t>
      </w:r>
      <w:r>
        <w:rPr>
          <w:rFonts w:hint="eastAsia" w:ascii="仿宋_GB2312" w:hAnsi="仿宋_GB2312" w:eastAsia="仿宋_GB2312" w:cs="仿宋_GB2312"/>
          <w:kern w:val="0"/>
          <w:sz w:val="32"/>
          <w:szCs w:val="32"/>
        </w:rPr>
        <w:t>实施应用补贴。</w:t>
      </w:r>
      <w:r>
        <w:rPr>
          <w:rFonts w:hint="eastAsia" w:ascii="仿宋_GB2312" w:hAnsi="仿宋_GB2312" w:eastAsia="仿宋_GB2312" w:cs="仿宋_GB2312"/>
          <w:sz w:val="32"/>
          <w:szCs w:val="32"/>
        </w:rPr>
        <w:t>探索对防灾减灾机具达到一定作业量后适当给予应用补贴。</w:t>
      </w:r>
    </w:p>
    <w:p>
      <w:pPr>
        <w:snapToGrid w:val="0"/>
        <w:spacing w:beforeLines="0" w:afterLines="0" w:line="560" w:lineRule="exact"/>
        <w:ind w:firstLine="640"/>
        <w:rPr>
          <w:rFonts w:hint="eastAsia" w:ascii="仿宋_GB2312" w:hAnsi="仿宋_GB2312" w:eastAsia="仿宋_GB2312" w:cs="仿宋_GB2312"/>
          <w:kern w:val="0"/>
          <w:sz w:val="32"/>
          <w:szCs w:val="32"/>
        </w:rPr>
      </w:pPr>
      <w:r>
        <w:rPr>
          <w:rFonts w:hint="eastAsia" w:ascii="黑体" w:hAnsi="黑体" w:eastAsia="黑体" w:cs="黑体"/>
          <w:kern w:val="0"/>
          <w:sz w:val="32"/>
          <w:szCs w:val="32"/>
          <w:lang w:val="en-US" w:eastAsia="zh-CN"/>
        </w:rPr>
        <w:t>二</w:t>
      </w:r>
      <w:r>
        <w:rPr>
          <w:rFonts w:hint="eastAsia" w:ascii="黑体" w:hAnsi="黑体" w:eastAsia="黑体" w:cs="黑体"/>
          <w:kern w:val="0"/>
          <w:sz w:val="32"/>
          <w:szCs w:val="32"/>
        </w:rPr>
        <w:t>、补贴对象和补贴范围</w:t>
      </w:r>
    </w:p>
    <w:p>
      <w:pPr>
        <w:snapToGrid w:val="0"/>
        <w:spacing w:beforeLines="0" w:afterLines="0" w:line="560" w:lineRule="exact"/>
        <w:ind w:firstLine="665"/>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（一）补贴对象。</w:t>
      </w:r>
      <w:r>
        <w:rPr>
          <w:rFonts w:hint="eastAsia" w:ascii="仿宋_GB2312" w:hAnsi="仿宋_GB2312" w:eastAsia="仿宋_GB2312" w:cs="仿宋_GB2312"/>
          <w:kern w:val="0"/>
          <w:sz w:val="32"/>
          <w:szCs w:val="32"/>
        </w:rPr>
        <w:t>从事农业生产的农民和农业生产经营组织（以下简称“购机者”），其中农业生产经营组织包括农村集体经济组织、农民专业合作经济组织、农业企业和其他从事农业生产经营的组织。</w:t>
      </w:r>
    </w:p>
    <w:p>
      <w:pPr>
        <w:snapToGrid w:val="0"/>
        <w:spacing w:beforeLines="0" w:afterLines="0" w:line="560" w:lineRule="exact"/>
        <w:ind w:firstLine="66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购机者可向户籍所在地、登记注册地或实际生产经营地</w:t>
      </w:r>
      <w:r>
        <w:rPr>
          <w:rFonts w:hint="eastAsia" w:ascii="仿宋_GB2312" w:hAnsi="仿宋_GB2312" w:eastAsia="仿宋_GB2312" w:cs="仿宋_GB2312"/>
          <w:kern w:val="0"/>
          <w:sz w:val="32"/>
          <w:szCs w:val="32"/>
          <w:lang w:val="en-US" w:eastAsia="zh-CN"/>
        </w:rPr>
        <w:t>农业农村</w:t>
      </w:r>
      <w:r>
        <w:rPr>
          <w:rFonts w:hint="eastAsia" w:ascii="仿宋_GB2312" w:hAnsi="仿宋_GB2312" w:eastAsia="仿宋_GB2312" w:cs="仿宋_GB2312"/>
          <w:kern w:val="0"/>
          <w:sz w:val="32"/>
          <w:szCs w:val="32"/>
        </w:rPr>
        <w:t>部门提出申请。为保障首都主要农产品供应，在</w:t>
      </w:r>
      <w:r>
        <w:rPr>
          <w:rFonts w:hint="eastAsia" w:ascii="仿宋_GB2312" w:hAnsi="仿宋_GB2312" w:eastAsia="仿宋_GB2312" w:cs="仿宋_GB2312"/>
          <w:kern w:val="0"/>
          <w:sz w:val="32"/>
          <w:szCs w:val="32"/>
          <w:lang w:eastAsia="zh-CN"/>
        </w:rPr>
        <w:t>本区</w:t>
      </w:r>
      <w:r>
        <w:rPr>
          <w:rFonts w:hint="eastAsia" w:ascii="仿宋_GB2312" w:hAnsi="仿宋_GB2312" w:eastAsia="仿宋_GB2312" w:cs="仿宋_GB2312"/>
          <w:kern w:val="0"/>
          <w:sz w:val="32"/>
          <w:szCs w:val="32"/>
        </w:rPr>
        <w:t>登记注册的农业生产经营组织申请固定安装类设备补贴，需在自有外埠基地使用的，需提供在当地从事农业生产的证明，同时满足年供应</w:t>
      </w:r>
      <w:r>
        <w:rPr>
          <w:rFonts w:hint="eastAsia" w:ascii="仿宋_GB2312" w:hAnsi="仿宋_GB2312" w:eastAsia="仿宋_GB2312" w:cs="仿宋_GB2312"/>
          <w:kern w:val="0"/>
          <w:sz w:val="32"/>
          <w:szCs w:val="32"/>
          <w:lang w:eastAsia="zh-CN"/>
        </w:rPr>
        <w:t>我区</w:t>
      </w:r>
      <w:r>
        <w:rPr>
          <w:rFonts w:hint="eastAsia" w:ascii="仿宋_GB2312" w:hAnsi="仿宋_GB2312" w:eastAsia="仿宋_GB2312" w:cs="仿宋_GB2312"/>
          <w:kern w:val="0"/>
          <w:sz w:val="32"/>
          <w:szCs w:val="32"/>
        </w:rPr>
        <w:t>农产品数量要求，具体要求</w:t>
      </w:r>
      <w:r>
        <w:rPr>
          <w:rFonts w:hint="eastAsia" w:ascii="仿宋_GB2312" w:hAnsi="仿宋_GB2312" w:eastAsia="仿宋_GB2312" w:cs="仿宋_GB2312"/>
          <w:kern w:val="0"/>
          <w:sz w:val="32"/>
          <w:szCs w:val="32"/>
          <w:lang w:eastAsia="zh-CN"/>
        </w:rPr>
        <w:t>按我区后续发布的投档和核验相关要求执行</w:t>
      </w:r>
      <w:r>
        <w:rPr>
          <w:rFonts w:hint="eastAsia" w:ascii="仿宋_GB2312" w:hAnsi="仿宋_GB2312" w:eastAsia="仿宋_GB2312" w:cs="仿宋_GB2312"/>
          <w:kern w:val="0"/>
          <w:sz w:val="32"/>
          <w:szCs w:val="32"/>
        </w:rPr>
        <w:t>。</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kern w:val="0"/>
          <w:sz w:val="32"/>
          <w:szCs w:val="32"/>
        </w:rPr>
        <w:t>（二）补贴范围。</w:t>
      </w:r>
      <w:r>
        <w:rPr>
          <w:rFonts w:hint="eastAsia" w:ascii="仿宋_GB2312" w:hAnsi="仿宋_GB2312" w:eastAsia="仿宋_GB2312" w:cs="仿宋_GB2312"/>
          <w:kern w:val="0"/>
          <w:sz w:val="32"/>
          <w:szCs w:val="32"/>
          <w:lang w:eastAsia="zh-CN"/>
        </w:rPr>
        <w:t>本区</w:t>
      </w:r>
      <w:r>
        <w:rPr>
          <w:rFonts w:hint="eastAsia" w:ascii="仿宋_GB2312" w:hAnsi="仿宋_GB2312" w:eastAsia="仿宋_GB2312" w:cs="仿宋_GB2312"/>
          <w:kern w:val="0"/>
          <w:sz w:val="32"/>
          <w:szCs w:val="32"/>
        </w:rPr>
        <w:t>农机购置与应用补贴机具种类范围分为中央财政</w:t>
      </w:r>
      <w:r>
        <w:rPr>
          <w:rFonts w:hint="eastAsia" w:ascii="仿宋_GB2312" w:hAnsi="仿宋_GB2312" w:eastAsia="仿宋_GB2312" w:cs="仿宋_GB2312"/>
          <w:kern w:val="0"/>
          <w:sz w:val="32"/>
          <w:szCs w:val="32"/>
          <w:lang w:val="en-US" w:eastAsia="zh-CN"/>
        </w:rPr>
        <w:t>资金</w:t>
      </w:r>
      <w:r>
        <w:rPr>
          <w:rFonts w:hint="eastAsia" w:ascii="仿宋_GB2312" w:hAnsi="仿宋_GB2312" w:eastAsia="仿宋_GB2312" w:cs="仿宋_GB2312"/>
          <w:kern w:val="0"/>
          <w:sz w:val="32"/>
          <w:szCs w:val="32"/>
        </w:rPr>
        <w:t>补贴范围和市级财政</w:t>
      </w:r>
      <w:r>
        <w:rPr>
          <w:rFonts w:hint="eastAsia" w:ascii="仿宋_GB2312" w:hAnsi="仿宋_GB2312" w:eastAsia="仿宋_GB2312" w:cs="仿宋_GB2312"/>
          <w:kern w:val="0"/>
          <w:sz w:val="32"/>
          <w:szCs w:val="32"/>
          <w:lang w:val="en-US" w:eastAsia="zh-CN"/>
        </w:rPr>
        <w:t>资金</w:t>
      </w:r>
      <w:r>
        <w:rPr>
          <w:rFonts w:hint="eastAsia" w:ascii="仿宋_GB2312" w:hAnsi="仿宋_GB2312" w:eastAsia="仿宋_GB2312" w:cs="仿宋_GB2312"/>
          <w:kern w:val="0"/>
          <w:sz w:val="32"/>
          <w:szCs w:val="32"/>
        </w:rPr>
        <w:t>单独补贴范围。</w:t>
      </w:r>
    </w:p>
    <w:p>
      <w:pPr>
        <w:numPr>
          <w:ilvl w:val="0"/>
          <w:numId w:val="1"/>
        </w:numPr>
        <w:snapToGrid w:val="0"/>
        <w:spacing w:beforeLines="0" w:afterLines="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中央财政</w:t>
      </w:r>
      <w:r>
        <w:rPr>
          <w:rFonts w:hint="eastAsia" w:ascii="仿宋_GB2312" w:hAnsi="仿宋_GB2312" w:eastAsia="仿宋_GB2312" w:cs="仿宋_GB2312"/>
          <w:sz w:val="32"/>
          <w:szCs w:val="32"/>
          <w:lang w:val="en-US" w:eastAsia="zh-CN"/>
        </w:rPr>
        <w:t>资金</w:t>
      </w:r>
      <w:r>
        <w:rPr>
          <w:rFonts w:hint="eastAsia" w:ascii="仿宋_GB2312" w:hAnsi="仿宋_GB2312" w:eastAsia="仿宋_GB2312" w:cs="仿宋_GB2312"/>
          <w:sz w:val="32"/>
          <w:szCs w:val="32"/>
        </w:rPr>
        <w:t>补贴机具种类范围。包括常规机具、农机创新产品以及农机报废更新机具。</w:t>
      </w:r>
    </w:p>
    <w:p>
      <w:pPr>
        <w:snapToGrid w:val="0"/>
        <w:spacing w:beforeLines="0" w:afterLines="0"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常规机具为根据本市实际，从农业农村部、财政部发布的“全国农机购置与应用补贴机具种类范围”中选取20大类35个小类75个品目。结合实际需要选择不超过10个品目且不超过20个</w:t>
      </w:r>
      <w:r>
        <w:rPr>
          <w:rFonts w:hint="eastAsia" w:ascii="仿宋_GB2312" w:hAnsi="仿宋_GB2312" w:eastAsia="仿宋_GB2312" w:cs="仿宋_GB2312"/>
          <w:sz w:val="32"/>
          <w:szCs w:val="32"/>
          <w:highlight w:val="none"/>
        </w:rPr>
        <w:t>档次作为重点机具。</w:t>
      </w:r>
    </w:p>
    <w:p>
      <w:pPr>
        <w:snapToGrid w:val="0"/>
        <w:spacing w:beforeLines="0" w:afterLines="0" w:line="560" w:lineRule="exact"/>
        <w:ind w:firstLine="640"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农机创新产品包括专项鉴定产品和农机新产品，实行总量控制，年度总品目数量不超过10个，按年度进行调整，由农业农村部、财政部共同确认的保障粮食和重要农产品稳定安全供给重大战略需要、农业生产急需的农机创新产品不占年度总品目指标。具体要求按照《农业农村部办公厅财政部办公厅关于印发</w:t>
      </w:r>
      <w:r>
        <w:rPr>
          <w:rFonts w:hint="eastAsia" w:ascii="仿宋_GB2312" w:hAnsi="仿宋_GB2312" w:eastAsia="仿宋_GB2312" w:cs="仿宋_GB2312"/>
          <w:kern w:val="0"/>
          <w:sz w:val="32"/>
          <w:szCs w:val="32"/>
        </w:rPr>
        <w:t>&lt;</w:t>
      </w:r>
      <w:r>
        <w:rPr>
          <w:rFonts w:hint="eastAsia" w:ascii="仿宋_GB2312" w:hAnsi="仿宋_GB2312" w:eastAsia="仿宋_GB2312" w:cs="仿宋_GB2312"/>
          <w:b w:val="0"/>
          <w:bCs w:val="0"/>
          <w:kern w:val="2"/>
          <w:sz w:val="32"/>
          <w:szCs w:val="32"/>
          <w:lang w:val="en-US" w:eastAsia="zh-CN" w:bidi="ar-SA"/>
        </w:rPr>
        <w:t>2021—2023年农机购置补贴实施指导意见</w:t>
      </w:r>
      <w:r>
        <w:rPr>
          <w:rFonts w:hint="eastAsia" w:ascii="仿宋_GB2312" w:hAnsi="仿宋_GB2312" w:eastAsia="仿宋_GB2312" w:cs="仿宋_GB2312"/>
          <w:kern w:val="0"/>
          <w:sz w:val="32"/>
          <w:szCs w:val="32"/>
        </w:rPr>
        <w:t>&gt;</w:t>
      </w:r>
      <w:r>
        <w:rPr>
          <w:rFonts w:hint="eastAsia" w:ascii="仿宋_GB2312" w:hAnsi="仿宋_GB2312" w:eastAsia="仿宋_GB2312" w:cs="仿宋_GB2312"/>
          <w:b w:val="0"/>
          <w:bCs w:val="0"/>
          <w:kern w:val="2"/>
          <w:sz w:val="32"/>
          <w:szCs w:val="32"/>
          <w:lang w:val="en-US" w:eastAsia="zh-CN" w:bidi="ar-SA"/>
        </w:rPr>
        <w:t>的通知》（农办计财〔2021〕8号）有关规定执行。</w:t>
      </w:r>
    </w:p>
    <w:p>
      <w:pPr>
        <w:snapToGrid w:val="0"/>
        <w:spacing w:beforeLines="0" w:afterLines="0" w:line="560" w:lineRule="exact"/>
        <w:ind w:firstLine="66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2.市级财政</w:t>
      </w:r>
      <w:r>
        <w:rPr>
          <w:rFonts w:hint="eastAsia" w:ascii="仿宋_GB2312" w:hAnsi="仿宋_GB2312" w:eastAsia="仿宋_GB2312" w:cs="仿宋_GB2312"/>
          <w:kern w:val="0"/>
          <w:sz w:val="32"/>
          <w:szCs w:val="32"/>
          <w:lang w:val="en-US" w:eastAsia="zh-CN"/>
        </w:rPr>
        <w:t>资金</w:t>
      </w:r>
      <w:r>
        <w:rPr>
          <w:rFonts w:hint="eastAsia" w:ascii="仿宋_GB2312" w:hAnsi="仿宋_GB2312" w:eastAsia="仿宋_GB2312" w:cs="仿宋_GB2312"/>
          <w:kern w:val="0"/>
          <w:sz w:val="32"/>
          <w:szCs w:val="32"/>
        </w:rPr>
        <w:t>单独补贴机具种类范围。在“中央财政补贴机具种类范围”以外，选取</w:t>
      </w:r>
      <w:r>
        <w:rPr>
          <w:rFonts w:hint="eastAsia" w:ascii="仿宋_GB2312" w:hAnsi="仿宋_GB2312" w:eastAsia="仿宋_GB2312" w:cs="仿宋_GB2312"/>
          <w:kern w:val="0"/>
          <w:sz w:val="32"/>
          <w:szCs w:val="32"/>
          <w:lang w:eastAsia="zh-CN"/>
        </w:rPr>
        <w:t>本市</w:t>
      </w:r>
      <w:r>
        <w:rPr>
          <w:rFonts w:hint="eastAsia" w:ascii="仿宋_GB2312" w:hAnsi="仿宋_GB2312" w:eastAsia="仿宋_GB2312" w:cs="仿宋_GB2312"/>
          <w:kern w:val="0"/>
          <w:sz w:val="32"/>
          <w:szCs w:val="32"/>
        </w:rPr>
        <w:t>农业生产和产业化发展急需的8大类16小类50个品目机具，利用市级</w:t>
      </w:r>
      <w:r>
        <w:rPr>
          <w:rFonts w:hint="eastAsia" w:ascii="仿宋_GB2312" w:hAnsi="仿宋_GB2312" w:eastAsia="仿宋_GB2312" w:cs="仿宋_GB2312"/>
          <w:kern w:val="0"/>
          <w:sz w:val="32"/>
          <w:szCs w:val="32"/>
          <w:lang w:val="en-US" w:eastAsia="zh-CN"/>
        </w:rPr>
        <w:t>财政</w:t>
      </w:r>
      <w:r>
        <w:rPr>
          <w:rFonts w:hint="eastAsia" w:ascii="仿宋_GB2312" w:hAnsi="仿宋_GB2312" w:eastAsia="仿宋_GB2312" w:cs="仿宋_GB2312"/>
          <w:kern w:val="0"/>
          <w:sz w:val="32"/>
          <w:szCs w:val="32"/>
        </w:rPr>
        <w:t>资金进行补贴。主要包括粮食生产、设施农业、畜牧水产养殖、农产品加工等行业急需的成套设备，以及自动化、信息化、智能化和适用性强的农业装备。</w:t>
      </w:r>
    </w:p>
    <w:p>
      <w:pPr>
        <w:snapToGrid w:val="0"/>
        <w:spacing w:beforeLines="0" w:afterLines="0" w:line="560" w:lineRule="exact"/>
        <w:ind w:firstLine="640"/>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市农业农村局、市财政局根据实际情况，适时筛选中央</w:t>
      </w:r>
      <w:r>
        <w:rPr>
          <w:rFonts w:hint="eastAsia" w:ascii="仿宋_GB2312" w:hAnsi="仿宋_GB2312" w:eastAsia="仿宋_GB2312" w:cs="仿宋_GB2312"/>
          <w:kern w:val="0"/>
          <w:sz w:val="32"/>
          <w:szCs w:val="32"/>
          <w:lang w:val="en-US" w:eastAsia="zh-CN"/>
        </w:rPr>
        <w:t>财政资金</w:t>
      </w:r>
      <w:r>
        <w:rPr>
          <w:rFonts w:hint="eastAsia" w:ascii="仿宋_GB2312" w:hAnsi="仿宋_GB2312" w:eastAsia="仿宋_GB2312" w:cs="仿宋_GB2312"/>
          <w:kern w:val="0"/>
          <w:sz w:val="32"/>
          <w:szCs w:val="32"/>
        </w:rPr>
        <w:t>补贴种类范围，调整市级</w:t>
      </w:r>
      <w:r>
        <w:rPr>
          <w:rFonts w:hint="eastAsia" w:ascii="仿宋_GB2312" w:hAnsi="仿宋_GB2312" w:eastAsia="仿宋_GB2312" w:cs="仿宋_GB2312"/>
          <w:kern w:val="0"/>
          <w:sz w:val="32"/>
          <w:szCs w:val="32"/>
          <w:lang w:val="en-US" w:eastAsia="zh-CN"/>
        </w:rPr>
        <w:t>财政资金</w:t>
      </w:r>
      <w:r>
        <w:rPr>
          <w:rFonts w:hint="eastAsia" w:ascii="仿宋_GB2312" w:hAnsi="仿宋_GB2312" w:eastAsia="仿宋_GB2312" w:cs="仿宋_GB2312"/>
          <w:kern w:val="0"/>
          <w:sz w:val="32"/>
          <w:szCs w:val="32"/>
        </w:rPr>
        <w:t>补贴种类范围</w:t>
      </w:r>
      <w:r>
        <w:rPr>
          <w:rFonts w:hint="eastAsia" w:ascii="仿宋_GB2312" w:hAnsi="仿宋_GB2312" w:eastAsia="仿宋_GB2312" w:cs="仿宋_GB2312"/>
          <w:kern w:val="0"/>
          <w:sz w:val="32"/>
          <w:szCs w:val="32"/>
          <w:lang w:eastAsia="zh-CN"/>
        </w:rPr>
        <w:t>，我区将根据市级调整情况，完成区级补贴种类范围调整工作。</w:t>
      </w:r>
    </w:p>
    <w:p>
      <w:pPr>
        <w:snapToGrid w:val="0"/>
        <w:spacing w:beforeLines="0" w:afterLines="0" w:line="560" w:lineRule="exact"/>
        <w:ind w:firstLine="640"/>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三</w:t>
      </w:r>
      <w:r>
        <w:rPr>
          <w:rFonts w:hint="eastAsia" w:ascii="黑体" w:hAnsi="黑体" w:eastAsia="黑体" w:cs="黑体"/>
          <w:kern w:val="0"/>
          <w:sz w:val="32"/>
          <w:szCs w:val="32"/>
        </w:rPr>
        <w:t>、资金分配</w:t>
      </w:r>
      <w:r>
        <w:rPr>
          <w:rFonts w:ascii="黑体" w:hAnsi="黑体" w:eastAsia="黑体" w:cs="黑体"/>
          <w:kern w:val="0"/>
          <w:sz w:val="32"/>
          <w:szCs w:val="32"/>
        </w:rPr>
        <w:t>与使用</w:t>
      </w:r>
    </w:p>
    <w:p>
      <w:pPr>
        <w:snapToGrid w:val="0"/>
        <w:spacing w:beforeLines="0" w:afterLines="0" w:line="560" w:lineRule="exact"/>
        <w:ind w:firstLine="640" w:firstLineChars="200"/>
        <w:rPr>
          <w:rFonts w:hint="eastAsia" w:ascii="黑体" w:hAnsi="黑体" w:eastAsia="黑体" w:cs="黑体"/>
          <w:kern w:val="0"/>
          <w:sz w:val="32"/>
          <w:szCs w:val="32"/>
        </w:rPr>
      </w:pPr>
      <w:r>
        <w:rPr>
          <w:rFonts w:hint="eastAsia" w:ascii="仿宋_GB2312" w:hAnsi="仿宋_GB2312" w:eastAsia="仿宋_GB2312" w:cs="仿宋_GB2312"/>
          <w:kern w:val="0"/>
          <w:sz w:val="32"/>
          <w:szCs w:val="32"/>
        </w:rPr>
        <w:t>农机购置与应用补贴主要用于支持购置先进适用的农业机械，以及</w:t>
      </w:r>
      <w:r>
        <w:rPr>
          <w:rFonts w:ascii="仿宋_GB2312" w:hAnsi="仿宋_GB2312" w:eastAsia="仿宋_GB2312" w:cs="仿宋_GB2312"/>
          <w:kern w:val="0"/>
          <w:sz w:val="32"/>
          <w:szCs w:val="32"/>
        </w:rPr>
        <w:t>开展有关</w:t>
      </w:r>
      <w:r>
        <w:rPr>
          <w:rFonts w:hint="eastAsia" w:ascii="仿宋_GB2312" w:hAnsi="仿宋_GB2312" w:eastAsia="仿宋_GB2312" w:cs="仿宋_GB2312"/>
          <w:kern w:val="0"/>
          <w:sz w:val="32"/>
          <w:szCs w:val="32"/>
        </w:rPr>
        <w:t>试点</w:t>
      </w:r>
      <w:r>
        <w:rPr>
          <w:rFonts w:ascii="仿宋_GB2312" w:hAnsi="仿宋_GB2312" w:eastAsia="仿宋_GB2312" w:cs="仿宋_GB2312"/>
          <w:kern w:val="0"/>
          <w:sz w:val="32"/>
          <w:szCs w:val="32"/>
        </w:rPr>
        <w:t>和农机</w:t>
      </w:r>
      <w:r>
        <w:rPr>
          <w:rFonts w:hint="eastAsia" w:ascii="仿宋_GB2312" w:hAnsi="仿宋_GB2312" w:eastAsia="仿宋_GB2312" w:cs="仿宋_GB2312"/>
          <w:kern w:val="0"/>
          <w:sz w:val="32"/>
          <w:szCs w:val="32"/>
        </w:rPr>
        <w:t>报废更新等方面，不得挤占、截留、挪用或用于其他支出。农机报废更新补贴</w:t>
      </w:r>
      <w:r>
        <w:rPr>
          <w:rFonts w:ascii="仿宋_GB2312" w:hAnsi="仿宋_GB2312" w:eastAsia="仿宋_GB2312" w:cs="仿宋_GB2312"/>
          <w:kern w:val="0"/>
          <w:sz w:val="32"/>
          <w:szCs w:val="32"/>
        </w:rPr>
        <w:t>按</w:t>
      </w:r>
      <w:r>
        <w:rPr>
          <w:rFonts w:hint="eastAsia" w:ascii="仿宋_GB2312" w:hAnsi="仿宋_GB2312" w:eastAsia="仿宋_GB2312" w:cs="仿宋_GB2312"/>
          <w:kern w:val="0"/>
          <w:sz w:val="32"/>
          <w:szCs w:val="32"/>
          <w:lang w:eastAsia="zh-CN"/>
        </w:rPr>
        <w:t>我区</w:t>
      </w:r>
      <w:r>
        <w:rPr>
          <w:rFonts w:hint="eastAsia" w:ascii="仿宋_GB2312" w:hAnsi="仿宋_GB2312" w:eastAsia="仿宋_GB2312" w:cs="仿宋_GB2312"/>
          <w:kern w:val="0"/>
          <w:sz w:val="32"/>
          <w:szCs w:val="32"/>
        </w:rPr>
        <w:t>农业机械报废更新补贴</w:t>
      </w:r>
      <w:r>
        <w:rPr>
          <w:rFonts w:hint="eastAsia" w:ascii="仿宋_GB2312" w:hAnsi="仿宋_GB2312" w:eastAsia="仿宋_GB2312" w:cs="仿宋_GB2312"/>
          <w:kern w:val="0"/>
          <w:sz w:val="32"/>
          <w:szCs w:val="32"/>
          <w:lang w:eastAsia="zh-CN"/>
        </w:rPr>
        <w:t>相关要求</w:t>
      </w:r>
      <w:r>
        <w:rPr>
          <w:rFonts w:hint="eastAsia" w:ascii="仿宋_GB2312" w:hAnsi="仿宋_GB2312" w:eastAsia="仿宋_GB2312" w:cs="仿宋_GB2312"/>
          <w:kern w:val="0"/>
          <w:sz w:val="32"/>
          <w:szCs w:val="32"/>
        </w:rPr>
        <w:t>执行。</w:t>
      </w:r>
    </w:p>
    <w:p>
      <w:pPr>
        <w:snapToGrid w:val="0"/>
        <w:spacing w:beforeLines="0" w:afterLines="0"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（一）资金分配</w:t>
      </w:r>
    </w:p>
    <w:p>
      <w:pPr>
        <w:snapToGrid w:val="0"/>
        <w:spacing w:beforeLines="0" w:afterLines="0" w:line="560" w:lineRule="exact"/>
        <w:ind w:firstLine="64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lang w:eastAsia="zh-CN"/>
        </w:rPr>
        <w:t>区农服中心</w:t>
      </w:r>
      <w:r>
        <w:rPr>
          <w:rFonts w:hint="eastAsia" w:ascii="仿宋_GB2312" w:hAnsi="仿宋_GB2312" w:eastAsia="仿宋_GB2312" w:cs="仿宋_GB2312"/>
          <w:kern w:val="0"/>
          <w:sz w:val="32"/>
          <w:szCs w:val="32"/>
        </w:rPr>
        <w:t>会同</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财政局做好资金需求摸底和分配等工作，原则上</w:t>
      </w:r>
      <w:r>
        <w:rPr>
          <w:rFonts w:ascii="仿宋_GB2312" w:hAnsi="仿宋_GB2312" w:eastAsia="仿宋_GB2312" w:cs="仿宋_GB2312"/>
          <w:kern w:val="0"/>
          <w:sz w:val="32"/>
          <w:szCs w:val="32"/>
        </w:rPr>
        <w:t>不突破区级需求上限分配资金</w:t>
      </w:r>
      <w:r>
        <w:rPr>
          <w:rFonts w:hint="eastAsia" w:ascii="仿宋_GB2312" w:hAnsi="仿宋_GB2312" w:eastAsia="仿宋_GB2312" w:cs="仿宋_GB2312"/>
          <w:kern w:val="0"/>
          <w:sz w:val="32"/>
          <w:szCs w:val="32"/>
        </w:rPr>
        <w:t>。农机购置与应用补贴资金采取“预拨+清算”的方式，即购机者将申请录入“北京市农机购置与应用补贴申请办理服务系统”（以下简称“办理服务系统”），</w:t>
      </w:r>
      <w:r>
        <w:rPr>
          <w:rFonts w:hint="eastAsia" w:ascii="仿宋_GB2312" w:hAnsi="仿宋_GB2312" w:eastAsia="仿宋_GB2312" w:cs="仿宋_GB2312"/>
          <w:color w:val="000000"/>
          <w:kern w:val="0"/>
          <w:sz w:val="32"/>
          <w:szCs w:val="32"/>
        </w:rPr>
        <w:t>经</w:t>
      </w:r>
      <w:r>
        <w:rPr>
          <w:rFonts w:hint="eastAsia" w:ascii="仿宋_GB2312" w:hAnsi="仿宋_GB2312" w:eastAsia="仿宋_GB2312" w:cs="仿宋_GB2312"/>
          <w:color w:val="000000"/>
          <w:kern w:val="0"/>
          <w:sz w:val="32"/>
          <w:szCs w:val="32"/>
          <w:lang w:eastAsia="zh-CN"/>
        </w:rPr>
        <w:t>区级农业农村部门</w:t>
      </w:r>
      <w:r>
        <w:rPr>
          <w:rFonts w:hint="eastAsia" w:ascii="仿宋_GB2312" w:hAnsi="仿宋_GB2312" w:eastAsia="仿宋_GB2312" w:cs="仿宋_GB2312"/>
          <w:color w:val="000000"/>
          <w:kern w:val="0"/>
          <w:sz w:val="32"/>
          <w:szCs w:val="32"/>
        </w:rPr>
        <w:t>审核并公示无异议后，区级财政部门予以补贴，不足部分（包括中央</w:t>
      </w:r>
      <w:r>
        <w:rPr>
          <w:rFonts w:hint="eastAsia" w:ascii="仿宋_GB2312" w:hAnsi="仿宋_GB2312" w:eastAsia="仿宋_GB2312" w:cs="仿宋_GB2312"/>
          <w:color w:val="000000"/>
          <w:kern w:val="0"/>
          <w:sz w:val="32"/>
          <w:szCs w:val="32"/>
          <w:lang w:val="en-US" w:eastAsia="zh-CN"/>
        </w:rPr>
        <w:t>财政</w:t>
      </w:r>
      <w:r>
        <w:rPr>
          <w:rFonts w:hint="eastAsia" w:ascii="仿宋_GB2312" w:hAnsi="仿宋_GB2312" w:eastAsia="仿宋_GB2312" w:cs="仿宋_GB2312"/>
          <w:color w:val="000000"/>
          <w:kern w:val="0"/>
          <w:sz w:val="32"/>
          <w:szCs w:val="32"/>
        </w:rPr>
        <w:t>资金和市级</w:t>
      </w:r>
      <w:r>
        <w:rPr>
          <w:rFonts w:hint="eastAsia" w:ascii="仿宋_GB2312" w:hAnsi="仿宋_GB2312" w:eastAsia="仿宋_GB2312" w:cs="仿宋_GB2312"/>
          <w:color w:val="000000"/>
          <w:kern w:val="0"/>
          <w:sz w:val="32"/>
          <w:szCs w:val="32"/>
          <w:lang w:val="en-US" w:eastAsia="zh-CN"/>
        </w:rPr>
        <w:t>财政</w:t>
      </w:r>
      <w:r>
        <w:rPr>
          <w:rFonts w:hint="eastAsia" w:ascii="仿宋_GB2312" w:hAnsi="仿宋_GB2312" w:eastAsia="仿宋_GB2312" w:cs="仿宋_GB2312"/>
          <w:color w:val="000000"/>
          <w:kern w:val="0"/>
          <w:sz w:val="32"/>
          <w:szCs w:val="32"/>
        </w:rPr>
        <w:t>资金）由区级</w:t>
      </w:r>
      <w:r>
        <w:rPr>
          <w:rFonts w:hint="eastAsia" w:ascii="仿宋_GB2312" w:hAnsi="仿宋_GB2312" w:eastAsia="仿宋_GB2312" w:cs="仿宋_GB2312"/>
          <w:color w:val="000000"/>
          <w:kern w:val="0"/>
          <w:sz w:val="32"/>
          <w:szCs w:val="32"/>
          <w:lang w:val="en-US" w:eastAsia="zh-CN"/>
        </w:rPr>
        <w:t>财政</w:t>
      </w:r>
      <w:r>
        <w:rPr>
          <w:rFonts w:hint="eastAsia" w:ascii="仿宋_GB2312" w:hAnsi="仿宋_GB2312" w:eastAsia="仿宋_GB2312" w:cs="仿宋_GB2312"/>
          <w:color w:val="000000"/>
          <w:kern w:val="0"/>
          <w:sz w:val="32"/>
          <w:szCs w:val="32"/>
        </w:rPr>
        <w:t>资金先行垫付，市级财政清算后足额补齐。</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财政局会同</w:t>
      </w:r>
      <w:r>
        <w:rPr>
          <w:rFonts w:hint="eastAsia" w:ascii="仿宋_GB2312" w:hAnsi="仿宋_GB2312" w:eastAsia="仿宋_GB2312" w:cs="仿宋_GB2312"/>
          <w:kern w:val="0"/>
          <w:sz w:val="32"/>
          <w:szCs w:val="32"/>
          <w:lang w:eastAsia="zh-CN"/>
        </w:rPr>
        <w:t>区农服中心</w:t>
      </w:r>
      <w:r>
        <w:rPr>
          <w:rFonts w:hint="eastAsia" w:ascii="仿宋_GB2312" w:hAnsi="仿宋_GB2312" w:eastAsia="仿宋_GB2312" w:cs="仿宋_GB2312"/>
          <w:kern w:val="0"/>
          <w:sz w:val="32"/>
          <w:szCs w:val="32"/>
        </w:rPr>
        <w:t>，及时</w:t>
      </w:r>
      <w:r>
        <w:rPr>
          <w:rFonts w:ascii="仿宋_GB2312" w:hAnsi="仿宋_GB2312" w:eastAsia="仿宋_GB2312" w:cs="仿宋_GB2312"/>
          <w:kern w:val="0"/>
          <w:sz w:val="32"/>
          <w:szCs w:val="32"/>
        </w:rPr>
        <w:t>调减</w:t>
      </w:r>
      <w:r>
        <w:rPr>
          <w:rFonts w:hint="eastAsia" w:ascii="仿宋_GB2312" w:hAnsi="仿宋_GB2312" w:eastAsia="仿宋_GB2312" w:cs="仿宋_GB2312"/>
          <w:kern w:val="0"/>
          <w:sz w:val="32"/>
          <w:szCs w:val="32"/>
        </w:rPr>
        <w:t>资金结转量大</w:t>
      </w:r>
      <w:r>
        <w:rPr>
          <w:rFonts w:ascii="仿宋_GB2312" w:hAnsi="仿宋_GB2312" w:eastAsia="仿宋_GB2312" w:cs="仿宋_GB2312"/>
          <w:kern w:val="0"/>
          <w:sz w:val="32"/>
          <w:szCs w:val="32"/>
        </w:rPr>
        <w:t>、政策实施风险高、资金使用效益低</w:t>
      </w:r>
      <w:r>
        <w:rPr>
          <w:rFonts w:hint="eastAsia" w:ascii="仿宋_GB2312" w:hAnsi="仿宋_GB2312" w:eastAsia="仿宋_GB2312" w:cs="仿宋_GB2312"/>
          <w:kern w:val="0"/>
          <w:sz w:val="32"/>
          <w:szCs w:val="32"/>
        </w:rPr>
        <w:t>地区的</w:t>
      </w:r>
      <w:r>
        <w:rPr>
          <w:rFonts w:ascii="仿宋_GB2312" w:hAnsi="仿宋_GB2312" w:eastAsia="仿宋_GB2312" w:cs="仿宋_GB2312"/>
          <w:kern w:val="0"/>
          <w:sz w:val="32"/>
          <w:szCs w:val="32"/>
        </w:rPr>
        <w:t>预算规模</w:t>
      </w:r>
      <w:r>
        <w:rPr>
          <w:rFonts w:hint="eastAsia" w:ascii="仿宋_GB2312" w:hAnsi="仿宋_GB2312" w:eastAsia="仿宋_GB2312" w:cs="仿宋_GB2312"/>
          <w:kern w:val="0"/>
          <w:sz w:val="32"/>
          <w:szCs w:val="32"/>
        </w:rPr>
        <w:t>，加强资金</w:t>
      </w:r>
      <w:r>
        <w:rPr>
          <w:rFonts w:ascii="仿宋_GB2312" w:hAnsi="仿宋_GB2312" w:eastAsia="仿宋_GB2312" w:cs="仿宋_GB2312"/>
          <w:kern w:val="0"/>
          <w:sz w:val="32"/>
          <w:szCs w:val="32"/>
        </w:rPr>
        <w:t>使用情况监测</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优先使用</w:t>
      </w:r>
      <w:r>
        <w:rPr>
          <w:rFonts w:hint="eastAsia" w:ascii="仿宋_GB2312" w:hAnsi="仿宋_GB2312" w:eastAsia="仿宋_GB2312" w:cs="仿宋_GB2312"/>
          <w:kern w:val="0"/>
          <w:sz w:val="32"/>
          <w:szCs w:val="32"/>
        </w:rPr>
        <w:t>结余</w:t>
      </w:r>
      <w:r>
        <w:rPr>
          <w:rFonts w:ascii="仿宋_GB2312" w:hAnsi="仿宋_GB2312" w:eastAsia="仿宋_GB2312" w:cs="仿宋_GB2312"/>
          <w:kern w:val="0"/>
          <w:sz w:val="32"/>
          <w:szCs w:val="32"/>
        </w:rPr>
        <w:t>结转资金，加快</w:t>
      </w:r>
      <w:r>
        <w:rPr>
          <w:rFonts w:hint="eastAsia" w:ascii="仿宋_GB2312" w:hAnsi="仿宋_GB2312" w:eastAsia="仿宋_GB2312" w:cs="仿宋_GB2312"/>
          <w:kern w:val="0"/>
          <w:sz w:val="32"/>
          <w:szCs w:val="32"/>
          <w:lang w:eastAsia="zh-CN"/>
        </w:rPr>
        <w:t>资金使用进度</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确保不</w:t>
      </w:r>
      <w:r>
        <w:rPr>
          <w:rFonts w:hint="eastAsia" w:ascii="仿宋_GB2312" w:hAnsi="仿宋_GB2312" w:eastAsia="仿宋_GB2312" w:cs="仿宋_GB2312"/>
          <w:kern w:val="0"/>
          <w:sz w:val="32"/>
          <w:szCs w:val="32"/>
        </w:rPr>
        <w:t>发生大规模资金结余结转</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促进资金使用实现两年动态紧平衡。</w:t>
      </w:r>
    </w:p>
    <w:p>
      <w:pPr>
        <w:snapToGrid w:val="0"/>
        <w:spacing w:beforeLines="0" w:afterLines="0"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（二）资金使用</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原则上，农民年度内享受补贴资金上限累计不超过50万元，农业生产经营组织年度内享受补贴资金上限累计不超过500万元。如需突破上限规定，由</w:t>
      </w:r>
      <w:r>
        <w:rPr>
          <w:rFonts w:hint="eastAsia" w:ascii="仿宋_GB2312" w:hAnsi="仿宋_GB2312" w:eastAsia="仿宋_GB2312" w:cs="仿宋_GB2312"/>
          <w:kern w:val="0"/>
          <w:sz w:val="32"/>
          <w:szCs w:val="32"/>
          <w:lang w:eastAsia="zh-CN"/>
        </w:rPr>
        <w:t>区农服中心商区农业农村局</w:t>
      </w:r>
      <w:r>
        <w:rPr>
          <w:rFonts w:hint="eastAsia" w:ascii="仿宋_GB2312" w:hAnsi="仿宋_GB2312" w:eastAsia="仿宋_GB2312" w:cs="仿宋_GB2312"/>
          <w:kern w:val="0"/>
          <w:sz w:val="32"/>
          <w:szCs w:val="32"/>
        </w:rPr>
        <w:t>审定，审定规则须正式出台文件对外公布。</w:t>
      </w:r>
    </w:p>
    <w:p>
      <w:pPr>
        <w:snapToGrid w:val="0"/>
        <w:spacing w:beforeLines="0" w:afterLines="0"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需提高补贴测算比例的机具品目或档次，</w:t>
      </w:r>
      <w:r>
        <w:rPr>
          <w:rFonts w:hint="eastAsia" w:ascii="仿宋_GB2312" w:hAnsi="仿宋_GB2312" w:eastAsia="仿宋_GB2312" w:cs="仿宋_GB2312"/>
          <w:kern w:val="0"/>
          <w:sz w:val="32"/>
          <w:szCs w:val="32"/>
          <w:lang w:eastAsia="zh-CN"/>
        </w:rPr>
        <w:t>区农服中心、区</w:t>
      </w:r>
      <w:r>
        <w:rPr>
          <w:rFonts w:hint="eastAsia" w:ascii="仿宋_GB2312" w:hAnsi="仿宋_GB2312" w:eastAsia="仿宋_GB2312" w:cs="仿宋_GB2312"/>
          <w:kern w:val="0"/>
          <w:sz w:val="32"/>
          <w:szCs w:val="32"/>
        </w:rPr>
        <w:t>农业农村局、</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财政局联合报</w:t>
      </w:r>
      <w:r>
        <w:rPr>
          <w:rFonts w:hint="eastAsia" w:ascii="仿宋_GB2312" w:hAnsi="仿宋_GB2312" w:eastAsia="仿宋_GB2312" w:cs="仿宋_GB2312"/>
          <w:kern w:val="0"/>
          <w:sz w:val="32"/>
          <w:szCs w:val="32"/>
          <w:lang w:eastAsia="zh-CN"/>
        </w:rPr>
        <w:t>市农业农村局、市财政局，待市级上报</w:t>
      </w:r>
      <w:r>
        <w:rPr>
          <w:rFonts w:hint="eastAsia" w:ascii="仿宋_GB2312" w:hAnsi="仿宋_GB2312" w:eastAsia="仿宋_GB2312" w:cs="仿宋_GB2312"/>
          <w:kern w:val="0"/>
          <w:sz w:val="32"/>
          <w:szCs w:val="32"/>
        </w:rPr>
        <w:t>农业农村部、财政部备案通过后，按要求实施。农机创新产品年度使用中央财政资金规模不超过年度中央财政资金总规模的15%，如年度中央财政资金总规模低于1000万，农机创新产品年度使用中央财政资金规模可提高到150万。</w:t>
      </w:r>
    </w:p>
    <w:p>
      <w:pPr>
        <w:snapToGrid w:val="0"/>
        <w:spacing w:beforeLines="0" w:afterLines="0"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（三）支出责任</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r>
        <w:rPr>
          <w:rFonts w:ascii="仿宋_GB2312" w:hAnsi="仿宋_GB2312" w:eastAsia="仿宋_GB2312" w:cs="仿宋_GB2312"/>
          <w:kern w:val="0"/>
          <w:sz w:val="32"/>
          <w:szCs w:val="32"/>
        </w:rPr>
        <w:t>农机购置</w:t>
      </w:r>
      <w:r>
        <w:rPr>
          <w:rFonts w:hint="eastAsia" w:ascii="仿宋_GB2312" w:hAnsi="仿宋_GB2312" w:eastAsia="仿宋_GB2312" w:cs="仿宋_GB2312"/>
          <w:kern w:val="0"/>
          <w:sz w:val="32"/>
          <w:szCs w:val="32"/>
        </w:rPr>
        <w:t>与应用</w:t>
      </w:r>
      <w:r>
        <w:rPr>
          <w:rFonts w:ascii="仿宋_GB2312" w:hAnsi="仿宋_GB2312" w:eastAsia="仿宋_GB2312" w:cs="仿宋_GB2312"/>
          <w:kern w:val="0"/>
          <w:sz w:val="32"/>
          <w:szCs w:val="32"/>
        </w:rPr>
        <w:t>补贴属约束性任务，资金必须足额保障，不得</w:t>
      </w:r>
      <w:r>
        <w:rPr>
          <w:rFonts w:hint="eastAsia" w:ascii="仿宋_GB2312" w:hAnsi="仿宋_GB2312" w:eastAsia="仿宋_GB2312" w:cs="仿宋_GB2312"/>
          <w:kern w:val="0"/>
          <w:sz w:val="32"/>
          <w:szCs w:val="32"/>
        </w:rPr>
        <w:t>挤占、截留、挪用或用于其他支出，区级财政不得统筹使用</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市级财政依法安排农机购置与应用补贴资金，鼓励区级财政安排资金，对区域适用性强的机具给予补贴</w:t>
      </w:r>
      <w:r>
        <w:rPr>
          <w:rFonts w:ascii="仿宋_GB2312" w:hAnsi="仿宋_GB2312" w:eastAsia="仿宋_GB2312" w:cs="仿宋_GB2312"/>
          <w:kern w:val="0"/>
          <w:sz w:val="32"/>
          <w:szCs w:val="32"/>
        </w:rPr>
        <w:t>，不得占用中央</w:t>
      </w:r>
      <w:r>
        <w:rPr>
          <w:rFonts w:hint="eastAsia" w:ascii="仿宋_GB2312" w:hAnsi="仿宋_GB2312" w:eastAsia="仿宋_GB2312" w:cs="仿宋_GB2312"/>
          <w:kern w:val="0"/>
          <w:sz w:val="32"/>
          <w:szCs w:val="32"/>
        </w:rPr>
        <w:t>和市级</w:t>
      </w:r>
      <w:r>
        <w:rPr>
          <w:rFonts w:ascii="仿宋_GB2312" w:hAnsi="仿宋_GB2312" w:eastAsia="仿宋_GB2312" w:cs="仿宋_GB2312"/>
          <w:kern w:val="0"/>
          <w:sz w:val="32"/>
          <w:szCs w:val="32"/>
        </w:rPr>
        <w:t>财政补贴资金</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补贴额测算比例不超过35%。</w:t>
      </w:r>
      <w:r>
        <w:rPr>
          <w:rFonts w:hint="eastAsia" w:ascii="仿宋_GB2312" w:hAnsi="仿宋_GB2312" w:eastAsia="仿宋_GB2312" w:cs="仿宋_GB2312"/>
          <w:kern w:val="0"/>
          <w:sz w:val="32"/>
          <w:szCs w:val="32"/>
          <w:lang w:eastAsia="zh-CN"/>
        </w:rPr>
        <w:t>区</w:t>
      </w:r>
      <w:r>
        <w:rPr>
          <w:rFonts w:hint="eastAsia" w:ascii="仿宋_GB2312" w:hAnsi="仿宋_GB2312" w:eastAsia="仿宋_GB2312" w:cs="仿宋_GB2312"/>
          <w:kern w:val="0"/>
          <w:sz w:val="32"/>
          <w:szCs w:val="32"/>
        </w:rPr>
        <w:t>级财政部门要</w:t>
      </w:r>
      <w:r>
        <w:rPr>
          <w:rFonts w:ascii="仿宋_GB2312" w:hAnsi="仿宋_GB2312" w:eastAsia="仿宋_GB2312" w:cs="仿宋_GB2312"/>
          <w:kern w:val="0"/>
          <w:sz w:val="32"/>
          <w:szCs w:val="32"/>
        </w:rPr>
        <w:t>保障补</w:t>
      </w:r>
      <w:r>
        <w:rPr>
          <w:rFonts w:hint="eastAsia" w:ascii="仿宋_GB2312" w:hAnsi="仿宋_GB2312" w:eastAsia="仿宋_GB2312" w:cs="仿宋_GB2312"/>
          <w:kern w:val="0"/>
          <w:sz w:val="32"/>
          <w:szCs w:val="32"/>
        </w:rPr>
        <w:t>贴工作实施必要的组织管理经费，包括政策实施绩效考核、机具核验、信息化建设、第三方抽查核验等工作经费。</w:t>
      </w:r>
    </w:p>
    <w:p>
      <w:pPr>
        <w:snapToGrid w:val="0"/>
        <w:spacing w:beforeLines="0" w:afterLines="0" w:line="560" w:lineRule="exact"/>
        <w:ind w:firstLine="640" w:firstLineChars="200"/>
        <w:rPr>
          <w:rFonts w:hint="eastAsia" w:ascii="黑体" w:hAnsi="黑体" w:eastAsia="黑体" w:cs="仿宋_GB2312"/>
          <w:kern w:val="0"/>
          <w:sz w:val="32"/>
          <w:szCs w:val="32"/>
        </w:rPr>
      </w:pPr>
      <w:r>
        <w:rPr>
          <w:rFonts w:hint="eastAsia" w:ascii="黑体" w:hAnsi="黑体" w:eastAsia="黑体" w:cs="仿宋_GB2312"/>
          <w:kern w:val="0"/>
          <w:sz w:val="32"/>
          <w:szCs w:val="32"/>
          <w:lang w:val="en-US" w:eastAsia="zh-CN"/>
        </w:rPr>
        <w:t>四</w:t>
      </w:r>
      <w:r>
        <w:rPr>
          <w:rFonts w:hint="eastAsia" w:ascii="黑体" w:hAnsi="黑体" w:eastAsia="黑体" w:cs="仿宋_GB2312"/>
          <w:kern w:val="0"/>
          <w:sz w:val="32"/>
          <w:szCs w:val="32"/>
        </w:rPr>
        <w:t>、实施要求</w:t>
      </w:r>
    </w:p>
    <w:p>
      <w:pPr>
        <w:snapToGrid w:val="0"/>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（一）加强领导，明确分工</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区农业农村局要牵头做好农机购置与应用补贴实施方案编制工作，区农服中心</w:t>
      </w:r>
      <w:r>
        <w:rPr>
          <w:rFonts w:hint="eastAsia" w:ascii="仿宋_GB2312" w:hAnsi="仿宋_GB2312" w:eastAsia="仿宋_GB2312" w:cs="仿宋_GB2312"/>
          <w:kern w:val="0"/>
          <w:sz w:val="32"/>
          <w:szCs w:val="32"/>
        </w:rPr>
        <w:t>要严格落实组织实施、审核监管责任，区财政</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要严格落实资金兑付、资金监管责任。要加强绩效管理，形成工作闭环，切实提升政策实施管理工作能力水平。</w:t>
      </w:r>
    </w:p>
    <w:p>
      <w:pPr>
        <w:snapToGrid w:val="0"/>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（二）优化服务，提升效能</w:t>
      </w:r>
    </w:p>
    <w:p>
      <w:pPr>
        <w:snapToGrid w:val="0"/>
        <w:spacing w:beforeLines="0" w:afterLines="0" w:line="560" w:lineRule="exact"/>
        <w:ind w:firstLine="640" w:firstLineChars="200"/>
        <w:rPr>
          <w:rFonts w:hint="eastAsia" w:ascii="仿宋_GB2312" w:hAnsi="仿宋_GB2312" w:eastAsia="仿宋_GB2312" w:cs="仿宋_GB2312"/>
          <w:strike w:val="0"/>
          <w:kern w:val="0"/>
          <w:sz w:val="32"/>
          <w:szCs w:val="32"/>
        </w:rPr>
      </w:pPr>
      <w:r>
        <w:rPr>
          <w:rFonts w:hint="eastAsia" w:ascii="仿宋_GB2312" w:hAnsi="仿宋_GB2312" w:eastAsia="仿宋_GB2312" w:cs="仿宋_GB2312"/>
          <w:kern w:val="0"/>
          <w:sz w:val="32"/>
          <w:szCs w:val="32"/>
          <w:lang w:eastAsia="zh-CN"/>
        </w:rPr>
        <w:t>着力</w:t>
      </w:r>
      <w:r>
        <w:rPr>
          <w:rFonts w:hint="eastAsia" w:ascii="仿宋_GB2312" w:hAnsi="仿宋_GB2312" w:eastAsia="仿宋_GB2312" w:cs="仿宋_GB2312"/>
          <w:kern w:val="0"/>
          <w:sz w:val="32"/>
          <w:szCs w:val="32"/>
        </w:rPr>
        <w:t>提高补贴机具核验信息化水平，加快农机试验鉴定、补贴机具投档、牌证管理、补贴资金申领等环节信息系统的互联互通，进一步推动补贴机具由人工核验向信息化核验转变。</w:t>
      </w:r>
      <w:r>
        <w:rPr>
          <w:rFonts w:hint="eastAsia" w:ascii="仿宋_GB2312" w:hAnsi="仿宋_GB2312" w:eastAsia="仿宋_GB2312" w:cs="仿宋_GB2312"/>
          <w:kern w:val="0"/>
          <w:sz w:val="32"/>
          <w:szCs w:val="32"/>
          <w:lang w:eastAsia="zh-CN"/>
        </w:rPr>
        <w:t>区农业农村局</w:t>
      </w:r>
      <w:r>
        <w:rPr>
          <w:rFonts w:hint="eastAsia" w:ascii="仿宋_GB2312" w:hAnsi="仿宋_GB2312" w:eastAsia="仿宋_GB2312" w:cs="仿宋_GB2312"/>
          <w:kern w:val="0"/>
          <w:sz w:val="32"/>
          <w:szCs w:val="32"/>
        </w:rPr>
        <w:t>要依托</w:t>
      </w:r>
      <w:r>
        <w:rPr>
          <w:rFonts w:ascii="仿宋_GB2312" w:hAnsi="仿宋_GB2312" w:eastAsia="仿宋_GB2312" w:cs="仿宋_GB2312"/>
          <w:kern w:val="0"/>
          <w:sz w:val="32"/>
          <w:szCs w:val="32"/>
        </w:rPr>
        <w:t>办理服务系统</w:t>
      </w:r>
      <w:r>
        <w:rPr>
          <w:rFonts w:hint="eastAsia" w:ascii="仿宋_GB2312" w:hAnsi="仿宋_GB2312" w:eastAsia="仿宋_GB2312" w:cs="仿宋_GB2312"/>
          <w:kern w:val="0"/>
          <w:sz w:val="32"/>
          <w:szCs w:val="32"/>
        </w:rPr>
        <w:t>，严格</w:t>
      </w:r>
      <w:r>
        <w:rPr>
          <w:rFonts w:hint="eastAsia" w:ascii="仿宋_GB2312" w:hAnsi="仿宋_GB2312" w:eastAsia="仿宋_GB2312" w:cs="仿宋_GB2312"/>
          <w:kern w:val="0"/>
          <w:sz w:val="32"/>
          <w:szCs w:val="32"/>
          <w:lang w:eastAsia="zh-CN"/>
        </w:rPr>
        <w:t>按照流程和</w:t>
      </w:r>
      <w:r>
        <w:rPr>
          <w:rFonts w:hint="eastAsia" w:ascii="仿宋_GB2312" w:hAnsi="仿宋_GB2312" w:eastAsia="仿宋_GB2312" w:cs="仿宋_GB2312"/>
          <w:kern w:val="0"/>
          <w:sz w:val="32"/>
          <w:szCs w:val="32"/>
        </w:rPr>
        <w:t>时限办理</w:t>
      </w:r>
      <w:r>
        <w:rPr>
          <w:rFonts w:hint="eastAsia" w:ascii="仿宋_GB2312" w:hAnsi="仿宋_GB2312" w:eastAsia="仿宋_GB2312" w:cs="仿宋_GB2312"/>
          <w:kern w:val="0"/>
          <w:sz w:val="32"/>
          <w:szCs w:val="32"/>
          <w:lang w:eastAsia="zh-CN"/>
        </w:rPr>
        <w:t>业务，</w:t>
      </w:r>
      <w:r>
        <w:rPr>
          <w:rFonts w:hint="eastAsia" w:ascii="仿宋_GB2312" w:hAnsi="仿宋_GB2312" w:eastAsia="仿宋_GB2312" w:cs="仿宋_GB2312"/>
          <w:kern w:val="0"/>
          <w:sz w:val="32"/>
          <w:szCs w:val="32"/>
        </w:rPr>
        <w:t>市农业农村局、</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财政局</w:t>
      </w:r>
      <w:r>
        <w:rPr>
          <w:rFonts w:hint="eastAsia" w:ascii="仿宋_GB2312" w:hAnsi="仿宋_GB2312" w:eastAsia="仿宋_GB2312" w:cs="仿宋_GB2312"/>
          <w:kern w:val="0"/>
          <w:sz w:val="32"/>
          <w:szCs w:val="32"/>
          <w:lang w:eastAsia="zh-CN"/>
        </w:rPr>
        <w:t>将</w:t>
      </w:r>
      <w:r>
        <w:rPr>
          <w:rFonts w:hint="eastAsia" w:ascii="仿宋_GB2312" w:hAnsi="仿宋_GB2312" w:eastAsia="仿宋_GB2312" w:cs="仿宋_GB2312"/>
          <w:kern w:val="0"/>
          <w:sz w:val="32"/>
          <w:szCs w:val="32"/>
        </w:rPr>
        <w:t>定期通报超时办理行为。积极探索补贴申请、核验、兑付全流程线上办理新模式，推进农机购置与应用补贴实施与监管信息化技术集成应用。按照《北京市关于进一步加强惠民惠</w:t>
      </w:r>
      <w:r>
        <w:rPr>
          <w:rFonts w:hint="eastAsia" w:ascii="仿宋_GB2312" w:hAnsi="仿宋_GB2312" w:eastAsia="仿宋_GB2312" w:cs="仿宋_GB2312"/>
          <w:strike w:val="0"/>
          <w:kern w:val="0"/>
          <w:sz w:val="32"/>
          <w:szCs w:val="32"/>
        </w:rPr>
        <w:t>农财政补贴资金“一卡通”管理的实施意见》（京财监督〔2021〕378号）要求，将农机购置与应用补贴纳入“一卡通”平台管理。</w:t>
      </w:r>
    </w:p>
    <w:p>
      <w:pPr>
        <w:snapToGrid w:val="0"/>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（三）公开信息，接受监督</w:t>
      </w:r>
    </w:p>
    <w:p>
      <w:pPr>
        <w:snapToGrid w:val="0"/>
        <w:spacing w:beforeLines="0" w:afterLines="0" w:line="560" w:lineRule="exact"/>
        <w:ind w:firstLine="640" w:firstLineChars="200"/>
        <w:rPr>
          <w:rFonts w:hint="eastAsia" w:ascii="仿宋_GB2312" w:hAnsi="仿宋_GB2312" w:eastAsia="仿宋_GB2312" w:cs="仿宋_GB2312"/>
          <w:strike/>
          <w:dstrike w:val="0"/>
          <w:sz w:val="32"/>
          <w:szCs w:val="32"/>
        </w:rPr>
      </w:pPr>
      <w:r>
        <w:rPr>
          <w:rFonts w:hint="eastAsia" w:ascii="仿宋_GB2312" w:hAnsi="仿宋_GB2312" w:eastAsia="仿宋_GB2312" w:cs="仿宋_GB2312"/>
          <w:kern w:val="0"/>
          <w:sz w:val="32"/>
          <w:szCs w:val="32"/>
        </w:rPr>
        <w:t>要综合运用宣传材料、报纸杂志、广播电视、互联网等方式，通过村务公开等渠道，全方位开展补贴政策与实施工作宣传解读，着力提升政策知晓率，切实保障广大农民群众、农业生产经营组织、农机生产经销企业的知情权、监督权，探索利用第一书记、镇村相关人员，加强补贴政策宣传。要健全完善农机购置补贴信息公开专栏，按年度公告近三年本地区补贴受益者信息，公开违规查处结果等信息，主动接受社会监督。</w:t>
      </w:r>
    </w:p>
    <w:p>
      <w:pPr>
        <w:snapToGrid w:val="0"/>
        <w:spacing w:beforeLines="0" w:afterLines="0"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（四）加强监管，严惩违规</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区农业农村局、区农服中心要认真执行</w:t>
      </w:r>
      <w:r>
        <w:rPr>
          <w:rFonts w:hint="eastAsia" w:ascii="仿宋_GB2312" w:hAnsi="仿宋_GB2312" w:eastAsia="仿宋_GB2312" w:cs="仿宋_GB2312"/>
          <w:kern w:val="0"/>
          <w:sz w:val="32"/>
          <w:szCs w:val="32"/>
        </w:rPr>
        <w:t>《北京市农业农村局北京市财政局关于印发&lt;北京市农机购置补贴产品违规经营行为处理规定（试行）&gt;的通知》（京政农发〔2019〕162号）要求，认真落实风险防控责任和异常情形主动报告制度，严格</w:t>
      </w:r>
      <w:r>
        <w:rPr>
          <w:rFonts w:hint="eastAsia" w:ascii="仿宋_GB2312" w:hAnsi="仿宋_GB2312" w:eastAsia="仿宋_GB2312" w:cs="仿宋_GB2312"/>
          <w:kern w:val="0"/>
          <w:sz w:val="32"/>
          <w:szCs w:val="32"/>
          <w:lang w:val="en-US" w:eastAsia="zh-CN"/>
        </w:rPr>
        <w:t>实施</w:t>
      </w:r>
      <w:r>
        <w:rPr>
          <w:rFonts w:hint="eastAsia" w:ascii="仿宋_GB2312" w:hAnsi="仿宋_GB2312" w:eastAsia="仿宋_GB2312" w:cs="仿宋_GB2312"/>
          <w:kern w:val="0"/>
          <w:sz w:val="32"/>
          <w:szCs w:val="32"/>
        </w:rPr>
        <w:t>信用管理和农机产销企业承诺制</w:t>
      </w:r>
      <w:r>
        <w:rPr>
          <w:rFonts w:hint="eastAsia" w:ascii="仿宋_GB2312" w:hAnsi="仿宋_GB2312" w:eastAsia="仿宋_GB2312" w:cs="仿宋_GB2312"/>
          <w:kern w:val="0"/>
          <w:sz w:val="32"/>
          <w:szCs w:val="32"/>
          <w:lang w:eastAsia="zh-CN"/>
        </w:rPr>
        <w:t>。要</w:t>
      </w:r>
      <w:r>
        <w:rPr>
          <w:rFonts w:hint="eastAsia" w:ascii="仿宋_GB2312" w:hAnsi="仿宋_GB2312" w:eastAsia="仿宋_GB2312" w:cs="仿宋_GB2312"/>
          <w:kern w:val="0"/>
          <w:sz w:val="32"/>
          <w:szCs w:val="32"/>
        </w:rPr>
        <w:t>充分发挥专业机构的技术优势和大数据的信息优势，有效开展违规行为全流程分析排查</w:t>
      </w:r>
      <w:r>
        <w:rPr>
          <w:rFonts w:hint="eastAsia" w:ascii="仿宋_GB2312" w:hAnsi="仿宋_GB2312" w:eastAsia="仿宋_GB2312" w:cs="仿宋_GB2312"/>
          <w:kern w:val="0"/>
          <w:sz w:val="32"/>
          <w:szCs w:val="32"/>
          <w:lang w:eastAsia="zh-CN"/>
        </w:rPr>
        <w:t>，维护好本区政策实施的良好秩序。</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区农服中心、区财政局需于</w:t>
      </w:r>
      <w:r>
        <w:rPr>
          <w:rFonts w:hint="eastAsia" w:ascii="仿宋_GB2312" w:hAnsi="仿宋_GB2312" w:eastAsia="仿宋_GB2312" w:cs="仿宋_GB2312"/>
          <w:kern w:val="0"/>
          <w:sz w:val="32"/>
          <w:szCs w:val="32"/>
        </w:rPr>
        <w:t>每年12月1日前，要将全年政策实施（含试点工作开展情况）总结报告报送</w:t>
      </w:r>
      <w:r>
        <w:rPr>
          <w:rFonts w:hint="eastAsia" w:ascii="仿宋_GB2312" w:hAnsi="仿宋_GB2312" w:eastAsia="仿宋_GB2312" w:cs="仿宋_GB2312"/>
          <w:kern w:val="0"/>
          <w:sz w:val="32"/>
          <w:szCs w:val="32"/>
          <w:lang w:eastAsia="zh-CN"/>
        </w:rPr>
        <w:t>区农业</w:t>
      </w:r>
      <w:r>
        <w:rPr>
          <w:rFonts w:hint="eastAsia" w:ascii="仿宋_GB2312" w:hAnsi="仿宋_GB2312" w:eastAsia="仿宋_GB2312" w:cs="仿宋_GB2312"/>
          <w:kern w:val="0"/>
          <w:sz w:val="32"/>
          <w:szCs w:val="32"/>
        </w:rPr>
        <w:t>市农业农村局、市财政局。</w:t>
      </w:r>
    </w:p>
    <w:p>
      <w:pPr>
        <w:snapToGrid w:val="0"/>
        <w:spacing w:beforeLines="0" w:afterLines="0" w:line="560" w:lineRule="exact"/>
        <w:ind w:firstLine="640" w:firstLineChars="200"/>
        <w:rPr>
          <w:rFonts w:hint="eastAsia" w:ascii="仿宋_GB2312" w:hAnsi="仿宋_GB2312" w:eastAsia="仿宋_GB2312" w:cs="仿宋_GB2312"/>
          <w:kern w:val="0"/>
          <w:sz w:val="32"/>
          <w:szCs w:val="32"/>
        </w:rPr>
      </w:pPr>
    </w:p>
    <w:p>
      <w:pPr>
        <w:snapToGrid w:val="0"/>
        <w:spacing w:beforeLines="0" w:afterLines="0" w:line="560" w:lineRule="exact"/>
        <w:ind w:firstLine="64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附件：1.2024—2026年度北京市农机购置与应用补贴实施</w:t>
      </w:r>
    </w:p>
    <w:p>
      <w:pPr>
        <w:snapToGrid w:val="0"/>
        <w:spacing w:beforeLines="0" w:afterLines="0" w:line="560" w:lineRule="exact"/>
        <w:ind w:firstLine="1920" w:firstLineChars="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操作要求</w:t>
      </w:r>
    </w:p>
    <w:p>
      <w:pPr>
        <w:snapToGrid w:val="0"/>
        <w:spacing w:beforeLines="0" w:afterLines="0" w:line="560" w:lineRule="exact"/>
        <w:ind w:firstLine="1600" w:firstLine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rPr>
        <w:t>4—</w:t>
      </w:r>
      <w:r>
        <w:rPr>
          <w:rFonts w:ascii="仿宋_GB2312" w:hAnsi="仿宋_GB2312" w:eastAsia="仿宋_GB2312" w:cs="仿宋_GB2312"/>
          <w:kern w:val="0"/>
          <w:sz w:val="32"/>
          <w:szCs w:val="32"/>
        </w:rPr>
        <w:t>202</w:t>
      </w:r>
      <w:r>
        <w:rPr>
          <w:rFonts w:hint="eastAsia" w:ascii="仿宋_GB2312" w:hAnsi="仿宋_GB2312" w:eastAsia="仿宋_GB2312" w:cs="仿宋_GB2312"/>
          <w:kern w:val="0"/>
          <w:sz w:val="32"/>
          <w:szCs w:val="32"/>
        </w:rPr>
        <w:t>6</w:t>
      </w:r>
      <w:r>
        <w:rPr>
          <w:rFonts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rPr>
        <w:t>度北京市农机购置与应用补贴机具</w:t>
      </w:r>
    </w:p>
    <w:p>
      <w:pPr>
        <w:snapToGrid w:val="0"/>
        <w:spacing w:beforeLines="0" w:afterLines="0" w:line="560" w:lineRule="exact"/>
        <w:ind w:firstLine="1920" w:firstLineChars="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种类范围</w:t>
      </w:r>
    </w:p>
    <w:p>
      <w:pPr>
        <w:snapToGrid w:val="0"/>
        <w:spacing w:beforeLines="0" w:afterLines="0" w:line="560" w:lineRule="exact"/>
        <w:ind w:firstLine="1600" w:firstLine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3.2024—2026年度北京市农机购置与应用补贴中央</w:t>
      </w:r>
    </w:p>
    <w:p>
      <w:pPr>
        <w:snapToGrid w:val="0"/>
        <w:spacing w:beforeLines="0" w:afterLines="0" w:line="560" w:lineRule="exact"/>
        <w:ind w:left="0" w:leftChars="0" w:firstLine="1920" w:firstLineChars="6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财政</w:t>
      </w:r>
      <w:r>
        <w:rPr>
          <w:rFonts w:hint="eastAsia" w:ascii="仿宋_GB2312" w:hAnsi="仿宋_GB2312" w:eastAsia="仿宋_GB2312" w:cs="仿宋_GB2312"/>
          <w:kern w:val="0"/>
          <w:sz w:val="32"/>
          <w:szCs w:val="32"/>
        </w:rPr>
        <w:t>资金补贴额一览表（第一批）</w:t>
      </w:r>
    </w:p>
    <w:p>
      <w:pPr>
        <w:snapToGrid w:val="0"/>
        <w:spacing w:beforeLines="0" w:afterLines="0" w:line="560" w:lineRule="exact"/>
        <w:ind w:left="0" w:leftChars="0" w:firstLine="1600" w:firstLine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4.2024—2026年度北京市农机购置与应用补贴市级</w:t>
      </w:r>
    </w:p>
    <w:p>
      <w:pPr>
        <w:snapToGrid w:val="0"/>
        <w:spacing w:beforeLines="0" w:afterLines="0" w:line="560" w:lineRule="exact"/>
        <w:ind w:left="0" w:leftChars="0" w:firstLine="1600" w:firstLineChars="5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财政</w:t>
      </w:r>
      <w:r>
        <w:rPr>
          <w:rFonts w:hint="eastAsia" w:ascii="仿宋_GB2312" w:hAnsi="仿宋_GB2312" w:eastAsia="仿宋_GB2312" w:cs="仿宋_GB2312"/>
          <w:kern w:val="0"/>
          <w:sz w:val="32"/>
          <w:szCs w:val="32"/>
        </w:rPr>
        <w:t>资金补贴额一览表（第一批）</w:t>
      </w:r>
    </w:p>
    <w:p>
      <w:pPr>
        <w:snapToGrid w:val="0"/>
        <w:spacing w:line="560" w:lineRule="exact"/>
        <w:rPr>
          <w:rFonts w:hint="default" w:ascii="仿宋_GB2312" w:hAnsi="仿宋_GB2312" w:eastAsia="黑体" w:cs="仿宋_GB2312"/>
          <w:kern w:val="0"/>
          <w:sz w:val="32"/>
          <w:szCs w:val="32"/>
          <w:lang w:val="en-US" w:eastAsia="zh-CN"/>
        </w:rPr>
      </w:pPr>
      <w:r>
        <w:rPr>
          <w:rFonts w:hint="eastAsia" w:ascii="黑体" w:hAnsi="黑体" w:eastAsia="黑体" w:cs="黑体"/>
          <w:kern w:val="0"/>
          <w:sz w:val="32"/>
          <w:szCs w:val="32"/>
        </w:rPr>
        <w:br w:type="page"/>
      </w:r>
      <w:r>
        <w:rPr>
          <w:rFonts w:hint="eastAsia" w:ascii="黑体" w:hAnsi="黑体" w:eastAsia="黑体" w:cs="黑体"/>
          <w:kern w:val="0"/>
          <w:sz w:val="32"/>
          <w:szCs w:val="32"/>
        </w:rPr>
        <w:t>附件1</w:t>
      </w:r>
      <w:r>
        <w:rPr>
          <w:rFonts w:hint="eastAsia" w:ascii="黑体" w:hAnsi="黑体" w:eastAsia="黑体" w:cs="黑体"/>
          <w:kern w:val="0"/>
          <w:sz w:val="32"/>
          <w:szCs w:val="32"/>
          <w:lang w:eastAsia="zh-CN"/>
        </w:rPr>
        <w:t>的</w:t>
      </w:r>
      <w:r>
        <w:rPr>
          <w:rFonts w:hint="eastAsia" w:ascii="黑体" w:hAnsi="黑体" w:eastAsia="黑体" w:cs="黑体"/>
          <w:kern w:val="0"/>
          <w:sz w:val="32"/>
          <w:szCs w:val="32"/>
          <w:lang w:val="en-US" w:eastAsia="zh-CN"/>
        </w:rPr>
        <w:t>附件1</w:t>
      </w:r>
    </w:p>
    <w:p>
      <w:pPr>
        <w:snapToGrid w:val="0"/>
        <w:spacing w:line="560" w:lineRule="exact"/>
        <w:jc w:val="center"/>
        <w:rPr>
          <w:rFonts w:hint="eastAsia" w:ascii="方正小标宋简体" w:hAnsi="方正小标宋简体" w:eastAsia="方正小标宋简体" w:cs="方正小标宋简体"/>
          <w:kern w:val="0"/>
          <w:sz w:val="44"/>
          <w:szCs w:val="44"/>
          <w:lang w:eastAsia="zh-CN"/>
        </w:rPr>
      </w:pPr>
      <w:r>
        <w:rPr>
          <w:rFonts w:hint="eastAsia" w:ascii="方正小标宋简体" w:hAnsi="方正小标宋简体" w:eastAsia="方正小标宋简体" w:cs="方正小标宋简体"/>
          <w:kern w:val="0"/>
          <w:sz w:val="44"/>
          <w:szCs w:val="44"/>
        </w:rPr>
        <w:t>2024—2026年度北京市</w:t>
      </w:r>
      <w:r>
        <w:rPr>
          <w:rFonts w:hint="eastAsia" w:ascii="方正小标宋简体" w:hAnsi="方正小标宋简体" w:eastAsia="方正小标宋简体" w:cs="方正小标宋简体"/>
          <w:kern w:val="0"/>
          <w:sz w:val="44"/>
          <w:szCs w:val="44"/>
          <w:lang w:eastAsia="zh-CN"/>
        </w:rPr>
        <w:t>顺义区</w:t>
      </w:r>
    </w:p>
    <w:p>
      <w:pPr>
        <w:snapToGrid w:val="0"/>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农机购置与应用补贴实施操作要求</w:t>
      </w:r>
    </w:p>
    <w:p>
      <w:pPr>
        <w:snapToGrid w:val="0"/>
        <w:spacing w:line="560" w:lineRule="exact"/>
        <w:ind w:firstLine="640"/>
        <w:rPr>
          <w:rFonts w:hint="eastAsia" w:ascii="黑体" w:hAnsi="黑体" w:eastAsia="黑体" w:cs="黑体"/>
          <w:sz w:val="32"/>
          <w:szCs w:val="32"/>
        </w:rPr>
      </w:pPr>
    </w:p>
    <w:p>
      <w:pPr>
        <w:snapToGrid w:val="0"/>
        <w:spacing w:line="560" w:lineRule="exact"/>
        <w:ind w:firstLine="640"/>
        <w:rPr>
          <w:rFonts w:hint="eastAsia" w:ascii="黑体" w:hAnsi="黑体" w:eastAsia="黑体" w:cs="黑体"/>
          <w:sz w:val="32"/>
          <w:szCs w:val="32"/>
        </w:rPr>
      </w:pPr>
      <w:r>
        <w:rPr>
          <w:rFonts w:hint="eastAsia" w:ascii="黑体" w:hAnsi="黑体" w:eastAsia="黑体" w:cs="黑体"/>
          <w:sz w:val="32"/>
          <w:szCs w:val="32"/>
        </w:rPr>
        <w:t>一、补贴机具资质</w:t>
      </w:r>
    </w:p>
    <w:p>
      <w:pPr>
        <w:snapToGrid w:val="0"/>
        <w:spacing w:line="560" w:lineRule="exact"/>
        <w:ind w:firstLine="640"/>
        <w:rPr>
          <w:rFonts w:hint="eastAsia" w:ascii="黑体" w:hAnsi="黑体" w:eastAsia="黑体" w:cs="仿宋_GB2312"/>
          <w:b/>
          <w:bCs/>
          <w:kern w:val="0"/>
          <w:sz w:val="32"/>
          <w:szCs w:val="32"/>
        </w:rPr>
      </w:pPr>
      <w:r>
        <w:rPr>
          <w:rFonts w:hint="eastAsia" w:ascii="仿宋_GB2312" w:hAnsi="仿宋_GB2312" w:eastAsia="仿宋_GB2312" w:cs="仿宋_GB2312"/>
          <w:kern w:val="0"/>
          <w:sz w:val="32"/>
          <w:szCs w:val="32"/>
        </w:rPr>
        <w:t>补贴机具需在北京市农机购置与应用补贴机具种类范围内，且具备以下资质。</w:t>
      </w:r>
    </w:p>
    <w:p>
      <w:pPr>
        <w:snapToGrid w:val="0"/>
        <w:spacing w:line="560" w:lineRule="exact"/>
        <w:ind w:firstLine="640"/>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（一）中央财政补贴机具种类范围内常规机具。</w:t>
      </w:r>
      <w:r>
        <w:rPr>
          <w:rFonts w:hint="eastAsia" w:ascii="仿宋_GB2312" w:hAnsi="仿宋_GB2312" w:eastAsia="仿宋_GB2312" w:cs="仿宋_GB2312"/>
          <w:kern w:val="0"/>
          <w:sz w:val="32"/>
          <w:szCs w:val="32"/>
        </w:rPr>
        <w:t>应具备以下资质之一：（1）获得农业机械</w:t>
      </w:r>
      <w:r>
        <w:rPr>
          <w:rFonts w:ascii="仿宋_GB2312" w:hAnsi="仿宋_GB2312" w:eastAsia="仿宋_GB2312" w:cs="仿宋_GB2312"/>
          <w:kern w:val="0"/>
          <w:sz w:val="32"/>
          <w:szCs w:val="32"/>
        </w:rPr>
        <w:t>试验</w:t>
      </w:r>
      <w:r>
        <w:rPr>
          <w:rFonts w:hint="eastAsia" w:ascii="仿宋_GB2312" w:hAnsi="仿宋_GB2312" w:eastAsia="仿宋_GB2312" w:cs="仿宋_GB2312"/>
          <w:kern w:val="0"/>
          <w:sz w:val="32"/>
          <w:szCs w:val="32"/>
        </w:rPr>
        <w:t>鉴定证书</w:t>
      </w:r>
      <w:r>
        <w:rPr>
          <w:rFonts w:ascii="仿宋_GB2312" w:hAnsi="仿宋_GB2312" w:eastAsia="仿宋_GB2312" w:cs="仿宋_GB2312"/>
          <w:kern w:val="0"/>
          <w:sz w:val="32"/>
          <w:szCs w:val="32"/>
        </w:rPr>
        <w:t>（包括尚在有效期内的农业机械推广鉴定证书）</w:t>
      </w:r>
      <w:r>
        <w:rPr>
          <w:rFonts w:hint="eastAsia" w:ascii="仿宋_GB2312" w:hAnsi="仿宋_GB2312" w:eastAsia="仿宋_GB2312" w:cs="仿宋_GB2312"/>
          <w:kern w:val="0"/>
          <w:sz w:val="32"/>
          <w:szCs w:val="32"/>
        </w:rPr>
        <w:t>；（2）获得农机强制性产品认证证书；（3）列入农机自愿性认证采信试点范围，获得农机自愿性产品认证证书</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补贴机具须在明显位置固定标有生产企业、产品名称和型号、出厂编号、生产日期、执行标准等信息的铭牌。申请补贴机具的生产和购机日期须同时在农机鉴定（认证）证书或其他报告等有效期范围内。对于农用无人驾驶航空器补贴资质，仍按《农业部办公厅财政部办公厅中国民用航空局综合司关于开展农机购置补贴引导植保无人飞机规范应用试点工作的通知》（农办机〔2017〕10号）有关规定予以确定，如有调整，另行发文通知。</w:t>
      </w:r>
    </w:p>
    <w:p>
      <w:pPr>
        <w:snapToGrid w:val="0"/>
        <w:spacing w:line="560" w:lineRule="exact"/>
        <w:ind w:firstLine="640" w:firstLineChars="200"/>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（二）中央财政补贴机具种类范围内农机创新产品。</w:t>
      </w:r>
      <w:r>
        <w:rPr>
          <w:rFonts w:hint="eastAsia" w:ascii="仿宋_GB2312" w:hAnsi="仿宋_GB2312" w:eastAsia="仿宋_GB2312" w:cs="仿宋_GB2312"/>
          <w:kern w:val="0"/>
          <w:sz w:val="32"/>
          <w:szCs w:val="32"/>
        </w:rPr>
        <w:t>专项鉴定产品按照上一轮农机购置补贴实施指导意见中《农机专项鉴定产品购置补贴实施工作规范（试行）》有关要求实施。农机新产品的资质要求根据实际补贴种类单独制定</w:t>
      </w:r>
      <w:r>
        <w:rPr>
          <w:rFonts w:ascii="仿宋_GB2312" w:hAnsi="仿宋_GB2312" w:eastAsia="仿宋_GB2312" w:cs="仿宋_GB2312"/>
          <w:kern w:val="0"/>
          <w:sz w:val="32"/>
          <w:szCs w:val="32"/>
        </w:rPr>
        <w:t>。</w:t>
      </w:r>
    </w:p>
    <w:p>
      <w:pPr>
        <w:snapToGrid w:val="0"/>
        <w:spacing w:line="560" w:lineRule="exact"/>
        <w:ind w:firstLine="640"/>
        <w:rPr>
          <w:rFonts w:hint="eastAsia" w:ascii="仿宋_GB2312" w:hAnsi="仿宋_GB2312" w:eastAsia="仿宋_GB2312" w:cs="仿宋_GB2312"/>
          <w:kern w:val="0"/>
          <w:sz w:val="32"/>
          <w:szCs w:val="32"/>
        </w:rPr>
      </w:pPr>
      <w:r>
        <w:rPr>
          <w:rFonts w:hint="eastAsia" w:ascii="楷体_GB2312" w:hAnsi="楷体_GB2312" w:eastAsia="楷体_GB2312" w:cs="楷体_GB2312"/>
          <w:b w:val="0"/>
          <w:bCs w:val="0"/>
          <w:kern w:val="0"/>
          <w:sz w:val="32"/>
          <w:szCs w:val="32"/>
        </w:rPr>
        <w:t>（三）市级财政单独补贴机具种类范围。</w:t>
      </w:r>
      <w:r>
        <w:rPr>
          <w:rFonts w:hint="eastAsia" w:ascii="仿宋_GB2312" w:hAnsi="仿宋_GB2312" w:eastAsia="仿宋_GB2312" w:cs="仿宋_GB2312"/>
          <w:kern w:val="0"/>
          <w:sz w:val="32"/>
          <w:szCs w:val="32"/>
        </w:rPr>
        <w:t>（1）产品出厂合格证；（2）须在明显位置固定标有生产企业、产品名称和型号、出厂编号、生产日期、执行标准等信息的铭牌。（3）产品执行标准（须含该档次所有参数配置信息）;（4）产品检验（检测）报告。以上资质第（1）（2）（3）项为必须提供项；第（4）项如产品涉及强制性或已发布国家标准的则为必须提供项，否则为选择性提供项。</w:t>
      </w:r>
    </w:p>
    <w:p>
      <w:pPr>
        <w:snapToGrid w:val="0"/>
        <w:spacing w:line="560" w:lineRule="exact"/>
        <w:ind w:firstLine="640"/>
        <w:rPr>
          <w:rFonts w:ascii="仿宋_GB2312" w:hAnsi="仿宋_GB2312" w:eastAsia="仿宋_GB2312" w:cs="仿宋_GB2312"/>
          <w:kern w:val="0"/>
          <w:sz w:val="32"/>
          <w:szCs w:val="32"/>
        </w:rPr>
      </w:pPr>
      <w:r>
        <w:rPr>
          <w:rFonts w:hint="eastAsia" w:ascii="黑体" w:hAnsi="黑体" w:eastAsia="黑体" w:cs="黑体"/>
          <w:kern w:val="0"/>
          <w:sz w:val="32"/>
          <w:szCs w:val="32"/>
        </w:rPr>
        <w:t>二、补贴额度和测算比例要求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或市级资金实际补贴比例超过50%以上的，</w:t>
      </w:r>
      <w:r>
        <w:rPr>
          <w:rFonts w:hint="eastAsia" w:ascii="仿宋_GB2312" w:hAnsi="仿宋_GB2312" w:eastAsia="仿宋_GB2312" w:cs="仿宋_GB2312"/>
          <w:sz w:val="32"/>
          <w:szCs w:val="32"/>
          <w:lang w:eastAsia="zh-CN"/>
        </w:rPr>
        <w:t>区农服中心</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区农业农村局、</w:t>
      </w:r>
      <w:r>
        <w:rPr>
          <w:rFonts w:hint="eastAsia" w:ascii="仿宋_GB2312" w:hAnsi="仿宋_GB2312" w:eastAsia="仿宋_GB2312" w:cs="仿宋_GB2312"/>
          <w:sz w:val="32"/>
          <w:szCs w:val="32"/>
        </w:rPr>
        <w:t>区财政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结合实际情况及时组织调查，并将调查情况及时报送市农业农村局、市财政局。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具体测算比例要求如下。</w:t>
      </w:r>
    </w:p>
    <w:p>
      <w:pPr>
        <w:snapToGrid w:val="0"/>
        <w:spacing w:line="560" w:lineRule="exact"/>
        <w:ind w:firstLine="640" w:firstLineChars="200"/>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（一）一般补贴额度和测算比例要求</w:t>
      </w:r>
    </w:p>
    <w:p>
      <w:pPr>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中央财政补贴机具依据同档产品上年市场销售均价测算确定各档次的补贴额</w:t>
      </w:r>
      <w:r>
        <w:rPr>
          <w:rFonts w:ascii="仿宋_GB2312" w:hAnsi="仿宋_GB2312" w:eastAsia="仿宋_GB2312" w:cs="仿宋_GB2312"/>
          <w:kern w:val="0"/>
          <w:sz w:val="32"/>
          <w:szCs w:val="32"/>
        </w:rPr>
        <w:t>上限</w:t>
      </w:r>
      <w:r>
        <w:rPr>
          <w:rFonts w:hint="eastAsia" w:ascii="仿宋_GB2312" w:hAnsi="仿宋_GB2312" w:eastAsia="仿宋_GB2312" w:cs="仿宋_GB2312"/>
          <w:kern w:val="0"/>
          <w:sz w:val="32"/>
          <w:szCs w:val="32"/>
        </w:rPr>
        <w:t>，测算比例不超过30%，</w:t>
      </w:r>
      <w:r>
        <w:rPr>
          <w:rFonts w:ascii="仿宋_GB2312" w:hAnsi="仿宋_GB2312" w:eastAsia="仿宋_GB2312" w:cs="仿宋_GB2312"/>
          <w:kern w:val="0"/>
          <w:sz w:val="32"/>
          <w:szCs w:val="32"/>
        </w:rPr>
        <w:t>且</w:t>
      </w:r>
      <w:r>
        <w:rPr>
          <w:rFonts w:hint="eastAsia" w:ascii="仿宋_GB2312" w:hAnsi="仿宋_GB2312" w:eastAsia="仿宋_GB2312" w:cs="仿宋_GB2312"/>
          <w:kern w:val="0"/>
          <w:sz w:val="32"/>
          <w:szCs w:val="32"/>
        </w:rPr>
        <w:t>通用类机具补贴额不超过农业</w:t>
      </w:r>
      <w:r>
        <w:rPr>
          <w:rFonts w:ascii="仿宋_GB2312" w:hAnsi="仿宋_GB2312" w:eastAsia="仿宋_GB2312" w:cs="仿宋_GB2312"/>
          <w:kern w:val="0"/>
          <w:sz w:val="32"/>
          <w:szCs w:val="32"/>
        </w:rPr>
        <w:t>农村</w:t>
      </w:r>
      <w:r>
        <w:rPr>
          <w:rFonts w:hint="eastAsia" w:ascii="仿宋_GB2312" w:hAnsi="仿宋_GB2312" w:eastAsia="仿宋_GB2312" w:cs="仿宋_GB2312"/>
          <w:kern w:val="0"/>
          <w:sz w:val="32"/>
          <w:szCs w:val="32"/>
        </w:rPr>
        <w:t>部、财政部发布的最高补贴额。市级财政单独补贴机具依据同档产品上年市场销售均价测算确定各档次的补贴额上限，测算比例不超过35%。中央财政补贴机具一般单机补贴</w:t>
      </w:r>
      <w:r>
        <w:rPr>
          <w:rFonts w:ascii="仿宋_GB2312" w:hAnsi="仿宋_GB2312" w:eastAsia="仿宋_GB2312" w:cs="仿宋_GB2312"/>
          <w:kern w:val="0"/>
          <w:sz w:val="32"/>
          <w:szCs w:val="32"/>
        </w:rPr>
        <w:t>限</w:t>
      </w:r>
      <w:r>
        <w:rPr>
          <w:rFonts w:hint="eastAsia" w:ascii="仿宋_GB2312" w:hAnsi="仿宋_GB2312" w:eastAsia="仿宋_GB2312" w:cs="仿宋_GB2312"/>
          <w:kern w:val="0"/>
          <w:sz w:val="32"/>
          <w:szCs w:val="32"/>
        </w:rPr>
        <w:t>额严格按照农、财两部实施意见中的单机补贴限额要求，成套设施装备中央资金单套补贴限额不超过60万元。</w:t>
      </w:r>
    </w:p>
    <w:p>
      <w:pPr>
        <w:snapToGrid w:val="0"/>
        <w:spacing w:line="560" w:lineRule="exact"/>
        <w:ind w:firstLine="640" w:firstLineChars="200"/>
        <w:rPr>
          <w:rFonts w:hint="eastAsia" w:ascii="仿宋_GB2312" w:hAnsi="仿宋_GB2312" w:eastAsia="仿宋_GB2312" w:cs="仿宋_GB2312"/>
          <w:kern w:val="0"/>
          <w:sz w:val="32"/>
          <w:szCs w:val="32"/>
          <w:highlight w:val="yellow"/>
        </w:rPr>
      </w:pPr>
      <w:r>
        <w:rPr>
          <w:rFonts w:hint="eastAsia" w:ascii="仿宋_GB2312" w:hAnsi="仿宋_GB2312" w:eastAsia="仿宋_GB2312" w:cs="仿宋_GB2312"/>
          <w:kern w:val="0"/>
          <w:sz w:val="32"/>
          <w:szCs w:val="32"/>
        </w:rPr>
        <w:t>市场销售均价原则上通过本市办理服务系统上年补贴数据测算。其中新增品目或上年补贴销售数据较少的品目，其相关档次市场销售均价可通过市场调查获取，也可通过书面委托2家以上有资质的第三方开展专业价格评估、成本测算等方式获取。</w:t>
      </w:r>
    </w:p>
    <w:p>
      <w:pPr>
        <w:snapToGrid w:val="0"/>
        <w:spacing w:line="560" w:lineRule="exact"/>
        <w:ind w:firstLine="640" w:firstLineChars="200"/>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（二）补贴测算比例有升有降的要求</w:t>
      </w:r>
    </w:p>
    <w:p>
      <w:pPr>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1.中央财政补贴提高比例的要求。结合实际需要将部分“重点机具”的补贴测算比例从30%提高到35%。涉及通用类品目机具可高于中央财政资金最高补贴额，幅度控制在最高补贴额的20%以内。非通用类品目机具可高于上年度补贴额，幅度控制在上年度补贴额的20%以内；适当提高生产急需的移动式烘干机、履带式拖拉机、履带式收获机、特定信号终端与特定信号辅助驾驶系统补贴测算比例，按不超过40%测算。</w:t>
      </w:r>
      <w:r>
        <w:rPr>
          <w:rFonts w:hint="eastAsia" w:ascii="仿宋_GB2312" w:hAnsi="仿宋_GB2312" w:eastAsia="仿宋_GB2312" w:cs="仿宋_GB2312"/>
          <w:kern w:val="0"/>
          <w:sz w:val="32"/>
          <w:szCs w:val="32"/>
        </w:rPr>
        <w:t>提高补贴测算比例的，</w:t>
      </w:r>
      <w:r>
        <w:rPr>
          <w:rFonts w:hint="eastAsia" w:ascii="仿宋_GB2312" w:hAnsi="仿宋_GB2312" w:eastAsia="仿宋_GB2312" w:cs="仿宋_GB2312"/>
          <w:kern w:val="0"/>
          <w:sz w:val="32"/>
          <w:szCs w:val="32"/>
          <w:lang w:eastAsia="zh-CN"/>
        </w:rPr>
        <w:t>区农服中心向区农业农村局报送申请，区农业农村局</w:t>
      </w:r>
      <w:r>
        <w:rPr>
          <w:rFonts w:hint="eastAsia" w:ascii="仿宋_GB2312" w:hAnsi="仿宋_GB2312" w:eastAsia="仿宋_GB2312" w:cs="仿宋_GB2312"/>
          <w:kern w:val="0"/>
          <w:sz w:val="32"/>
          <w:szCs w:val="32"/>
        </w:rPr>
        <w:t>报</w:t>
      </w:r>
      <w:r>
        <w:rPr>
          <w:rFonts w:hint="eastAsia" w:ascii="仿宋_GB2312" w:hAnsi="仿宋_GB2312" w:eastAsia="仿宋_GB2312" w:cs="仿宋_GB2312"/>
          <w:kern w:val="0"/>
          <w:sz w:val="32"/>
          <w:szCs w:val="32"/>
          <w:lang w:eastAsia="zh-CN"/>
        </w:rPr>
        <w:t>市农业农村局、市财政局审批，市级上报</w:t>
      </w:r>
      <w:r>
        <w:rPr>
          <w:rFonts w:hint="eastAsia" w:ascii="仿宋_GB2312" w:hAnsi="仿宋_GB2312" w:eastAsia="仿宋_GB2312" w:cs="仿宋_GB2312"/>
          <w:kern w:val="0"/>
          <w:sz w:val="32"/>
          <w:szCs w:val="32"/>
        </w:rPr>
        <w:t>农业农村部、财政部备案后实施。</w:t>
      </w:r>
    </w:p>
    <w:p>
      <w:pPr>
        <w:spacing w:line="560" w:lineRule="exact"/>
        <w:ind w:firstLine="640" w:firstLineChars="200"/>
        <w:textAlignment w:val="baseline"/>
        <w:rPr>
          <w:rFonts w:ascii="Times New Roman" w:hAnsi="Times New Roman"/>
          <w:sz w:val="32"/>
          <w:szCs w:val="32"/>
        </w:rPr>
      </w:pPr>
      <w:r>
        <w:rPr>
          <w:rFonts w:hint="eastAsia" w:ascii="仿宋_GB2312" w:hAnsi="仿宋_GB2312" w:eastAsia="仿宋_GB2312" w:cs="仿宋_GB2312"/>
          <w:sz w:val="32"/>
          <w:szCs w:val="32"/>
        </w:rPr>
        <w:t>2.降低补贴比例的要求。逐步降低区域内保有量明显过多、技术相对落后机具品目（档次）的补贴额，补贴额测算比例不超过20%，并将部分低价值、不适用的机具退出补贴范围。对轮式拖拉机，除动力换挡和无级变速等档次外，其他档次的补贴测算比例总体不超过15%，对保有量过多或技术相对落后的档次，补贴测算比例总体不超过10%。</w:t>
      </w:r>
    </w:p>
    <w:p>
      <w:pPr>
        <w:snapToGrid w:val="0"/>
        <w:spacing w:line="560" w:lineRule="exact"/>
        <w:ind w:firstLine="640" w:firstLineChars="200"/>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（三）结合实际开展创新的要求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1.研产推用一体化创新。结合本市生产实际和科技创新方向，重点针对设施农业、智能化、新能源、机器人等装备和技术薄弱领域，</w:t>
      </w:r>
      <w:r>
        <w:rPr>
          <w:rFonts w:hint="eastAsia" w:ascii="仿宋_GB2312" w:hAnsi="仿宋_GB2312" w:eastAsia="仿宋_GB2312" w:cs="仿宋_GB2312"/>
          <w:sz w:val="32"/>
          <w:szCs w:val="32"/>
          <w:lang w:eastAsia="zh-CN"/>
        </w:rPr>
        <w:t>区农业农村局、区农服中心</w:t>
      </w:r>
      <w:r>
        <w:rPr>
          <w:rFonts w:hint="eastAsia" w:ascii="仿宋_GB2312" w:hAnsi="仿宋_GB2312" w:eastAsia="仿宋_GB2312" w:cs="仿宋_GB2312"/>
          <w:sz w:val="32"/>
          <w:szCs w:val="32"/>
        </w:rPr>
        <w:t>组织开展市级研产推用一体化试点建设，按照生产急需、前沿引领、自主安全、集中突破的要求，分区域、分产业、分品种、分环节梳理引进改造、熟化定型、推广应用优势资源，编制项目化方案，动员和遴选一批企业及科研单位建设研产推用一体化试点，试点方案</w:t>
      </w:r>
      <w:r>
        <w:rPr>
          <w:rFonts w:hint="eastAsia" w:ascii="仿宋_GB2312" w:hAnsi="仿宋_GB2312" w:eastAsia="仿宋_GB2312" w:cs="仿宋_GB2312"/>
          <w:sz w:val="32"/>
          <w:szCs w:val="32"/>
          <w:lang w:eastAsia="zh-CN"/>
        </w:rPr>
        <w:t>上</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市农业农村局、市财政局，市级上报</w:t>
      </w:r>
      <w:r>
        <w:rPr>
          <w:rFonts w:hint="eastAsia" w:ascii="仿宋_GB2312" w:hAnsi="仿宋_GB2312" w:eastAsia="仿宋_GB2312" w:cs="仿宋_GB2312"/>
          <w:sz w:val="32"/>
          <w:szCs w:val="32"/>
        </w:rPr>
        <w:t>农业农村部、财政部备案后实施。对试点成效好、潜力大的项目，视工作进展和成效情况连续支持。</w:t>
      </w:r>
    </w:p>
    <w:p>
      <w:pPr>
        <w:spacing w:line="560"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根据作业量开展应用补贴创新的要求。探索对市级财政单独补贴机具种类范围内和部分创新机具实施应用补贴，每年选取不超过5种机具，正常兑付购机补贴资金后的第二年，达到相应作业质量、作业数量等目标要求，按照机具实际补贴资金的20%予以激励补贴。</w:t>
      </w:r>
    </w:p>
    <w:p>
      <w:pPr>
        <w:snapToGrid w:val="0"/>
        <w:spacing w:line="560" w:lineRule="exact"/>
        <w:ind w:firstLine="665"/>
        <w:rPr>
          <w:rFonts w:hint="eastAsia" w:ascii="黑体" w:hAnsi="黑体" w:eastAsia="黑体" w:cs="黑体"/>
          <w:kern w:val="0"/>
          <w:sz w:val="32"/>
          <w:szCs w:val="32"/>
        </w:rPr>
      </w:pPr>
      <w:r>
        <w:rPr>
          <w:rFonts w:hint="eastAsia" w:ascii="黑体" w:hAnsi="黑体" w:eastAsia="黑体" w:cs="黑体"/>
          <w:kern w:val="0"/>
          <w:sz w:val="32"/>
          <w:szCs w:val="32"/>
        </w:rPr>
        <w:t>三、实施范围</w:t>
      </w:r>
    </w:p>
    <w:p>
      <w:pPr>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个涉农</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组织实施。</w:t>
      </w:r>
    </w:p>
    <w:p>
      <w:pPr>
        <w:snapToGrid w:val="0"/>
        <w:spacing w:line="560" w:lineRule="exact"/>
        <w:ind w:firstLine="665"/>
        <w:rPr>
          <w:rFonts w:hint="eastAsia" w:ascii="黑体" w:hAnsi="黑体" w:eastAsia="黑体" w:cs="黑体"/>
          <w:kern w:val="0"/>
          <w:sz w:val="32"/>
          <w:szCs w:val="32"/>
        </w:rPr>
      </w:pPr>
      <w:r>
        <w:rPr>
          <w:rFonts w:hint="eastAsia" w:ascii="黑体" w:hAnsi="黑体" w:eastAsia="黑体" w:cs="黑体"/>
          <w:kern w:val="0"/>
          <w:sz w:val="32"/>
          <w:szCs w:val="32"/>
        </w:rPr>
        <w:t>四、操作流程</w:t>
      </w:r>
    </w:p>
    <w:p>
      <w:pPr>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农机购置与应用补贴政策按照“自主购机、定额补贴、先购后补、区级结算、直补到卡（户）”方式实施。购机行为完成后，购机者自主向</w:t>
      </w:r>
      <w:r>
        <w:rPr>
          <w:rFonts w:hint="eastAsia" w:ascii="仿宋_GB2312" w:hAnsi="仿宋_GB2312" w:eastAsia="仿宋_GB2312" w:cs="仿宋_GB2312"/>
          <w:sz w:val="32"/>
          <w:szCs w:val="32"/>
          <w:lang w:eastAsia="zh-CN"/>
        </w:rPr>
        <w:t>区农服中心</w:t>
      </w:r>
      <w:r>
        <w:rPr>
          <w:rFonts w:hint="eastAsia" w:ascii="仿宋_GB2312" w:hAnsi="仿宋_GB2312" w:eastAsia="仿宋_GB2312" w:cs="仿宋_GB2312"/>
          <w:sz w:val="32"/>
          <w:szCs w:val="32"/>
        </w:rPr>
        <w:t>提出补贴资金申领事项，签署告知承诺书，承诺购买行为、发票购机价格等信息真实有效，按相关规定申办补贴。具体操作流程如下。</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0"/>
          <w:sz w:val="32"/>
          <w:szCs w:val="32"/>
        </w:rPr>
        <w:t>（一）发布实施规定。</w:t>
      </w:r>
      <w:r>
        <w:rPr>
          <w:rFonts w:hint="eastAsia" w:ascii="仿宋_GB2312" w:hAnsi="仿宋_GB2312" w:eastAsia="仿宋_GB2312" w:cs="仿宋_GB2312"/>
          <w:sz w:val="32"/>
          <w:szCs w:val="32"/>
          <w:lang w:eastAsia="zh-CN"/>
        </w:rPr>
        <w:t>区农业农村局、区农服中心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按职责分工和有关规定发布本地区农机购置与应用补贴实施方案（细则）、操作程序、补贴额一览表、补贴机具信息表、咨询投诉举报电话等信息。</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b w:val="0"/>
          <w:bCs w:val="0"/>
          <w:kern w:val="0"/>
          <w:sz w:val="32"/>
          <w:szCs w:val="32"/>
        </w:rPr>
        <w:t>（二）自主购机。</w:t>
      </w:r>
      <w:r>
        <w:rPr>
          <w:rFonts w:hint="eastAsia" w:ascii="仿宋_GB2312" w:hAnsi="仿宋_GB2312" w:eastAsia="仿宋_GB2312" w:cs="仿宋_GB2312"/>
          <w:sz w:val="32"/>
          <w:szCs w:val="32"/>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kern w:val="0"/>
          <w:sz w:val="32"/>
          <w:szCs w:val="32"/>
        </w:rPr>
        <w:t>（</w:t>
      </w:r>
      <w:r>
        <w:rPr>
          <w:rFonts w:hint="eastAsia" w:ascii="楷体_GB2312" w:hAnsi="楷体_GB2312" w:eastAsia="楷体_GB2312" w:cs="楷体_GB2312"/>
          <w:kern w:val="0"/>
          <w:sz w:val="32"/>
          <w:szCs w:val="32"/>
          <w:lang w:eastAsia="zh-CN"/>
        </w:rPr>
        <w:t>三</w:t>
      </w:r>
      <w:r>
        <w:rPr>
          <w:rFonts w:hint="eastAsia" w:ascii="楷体_GB2312" w:hAnsi="楷体_GB2312" w:eastAsia="楷体_GB2312" w:cs="楷体_GB2312"/>
          <w:kern w:val="0"/>
          <w:sz w:val="32"/>
          <w:szCs w:val="32"/>
        </w:rPr>
        <w:t>）</w:t>
      </w:r>
      <w:r>
        <w:rPr>
          <w:rFonts w:ascii="楷体_GB2312" w:hAnsi="楷体_GB2312" w:eastAsia="楷体_GB2312" w:cs="楷体_GB2312"/>
          <w:kern w:val="0"/>
          <w:sz w:val="32"/>
          <w:szCs w:val="32"/>
        </w:rPr>
        <w:t>受理补贴申请</w:t>
      </w:r>
      <w:r>
        <w:rPr>
          <w:rFonts w:hint="eastAsia" w:ascii="楷体_GB2312" w:hAnsi="楷体_GB2312" w:eastAsia="楷体_GB2312" w:cs="楷体_GB2312"/>
          <w:kern w:val="0"/>
          <w:sz w:val="32"/>
          <w:szCs w:val="32"/>
        </w:rPr>
        <w:t>。</w:t>
      </w:r>
      <w:r>
        <w:rPr>
          <w:rFonts w:hint="eastAsia" w:ascii="仿宋_GB2312" w:hAnsi="仿宋_GB2312" w:eastAsia="仿宋_GB2312" w:cs="仿宋_GB2312"/>
          <w:sz w:val="32"/>
          <w:szCs w:val="32"/>
          <w:lang w:eastAsia="zh-CN"/>
        </w:rPr>
        <w:t>区农服中心</w:t>
      </w:r>
      <w:r>
        <w:rPr>
          <w:rFonts w:hint="eastAsia" w:ascii="仿宋_GB2312" w:hAnsi="仿宋_GB2312" w:eastAsia="仿宋_GB2312" w:cs="仿宋_GB2312"/>
          <w:sz w:val="32"/>
          <w:szCs w:val="32"/>
        </w:rPr>
        <w:t>在收到购机者完成签字确认的补贴申请后，应于2个工作日内作出是否受理的决定，对因资料不齐全等原因无法受理的，应注明原因，按原渠道退回申请，并告知购机者，做好咨询答疑。全面实行办理服务系统常年连续开放，推广使用信息化技术，方便购机者随时在线录入补贴申请信息。引导购机者在录入信息后，及时提交补贴申请资料。区级补贴资金申请数量达到或超过当年可用资金（含结转资金、调剂资金）时，购机者提交的补贴申请可继续录入进行预登记，但应及时告知购机者有关情况。</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）核验和</w:t>
      </w:r>
      <w:r>
        <w:rPr>
          <w:rFonts w:ascii="楷体_GB2312" w:hAnsi="楷体_GB2312" w:eastAsia="楷体_GB2312" w:cs="楷体_GB2312"/>
          <w:sz w:val="32"/>
          <w:szCs w:val="32"/>
        </w:rPr>
        <w:t>审验公示信息</w:t>
      </w:r>
      <w:r>
        <w:rPr>
          <w:rFonts w:hint="eastAsia" w:ascii="楷体_GB2312" w:hAnsi="楷体_GB2312" w:eastAsia="楷体_GB2312" w:cs="楷体_GB2312"/>
          <w:sz w:val="32"/>
          <w:szCs w:val="32"/>
        </w:rPr>
        <w:t>。</w:t>
      </w:r>
      <w:r>
        <w:rPr>
          <w:rFonts w:hint="eastAsia" w:ascii="仿宋_GB2312" w:hAnsi="仿宋_GB2312" w:eastAsia="仿宋_GB2312" w:cs="仿宋_GB2312"/>
          <w:sz w:val="32"/>
          <w:szCs w:val="32"/>
          <w:lang w:eastAsia="zh-CN"/>
        </w:rPr>
        <w:t>区农服中心可</w:t>
      </w:r>
      <w:r>
        <w:rPr>
          <w:rFonts w:hint="eastAsia" w:ascii="仿宋_GB2312" w:hAnsi="仿宋_GB2312" w:eastAsia="仿宋_GB2312" w:cs="仿宋_GB2312"/>
          <w:sz w:val="32"/>
          <w:szCs w:val="32"/>
        </w:rPr>
        <w:t>探索多种核验方式，提高补贴机具核验水平。</w:t>
      </w:r>
      <w:r>
        <w:rPr>
          <w:rFonts w:hint="eastAsia" w:ascii="仿宋_GB2312" w:hAnsi="仿宋_GB2312" w:eastAsia="仿宋_GB2312" w:cs="仿宋_GB2312"/>
          <w:strike w:val="0"/>
          <w:dstrike w:val="0"/>
          <w:sz w:val="32"/>
          <w:szCs w:val="32"/>
          <w:highlight w:val="none"/>
          <w:lang w:eastAsia="zh-CN"/>
        </w:rPr>
        <w:t>区农服中心</w:t>
      </w:r>
      <w:r>
        <w:rPr>
          <w:rFonts w:hint="eastAsia" w:ascii="仿宋_GB2312" w:hAnsi="仿宋_GB2312" w:eastAsia="仿宋_GB2312" w:cs="仿宋_GB2312"/>
          <w:strike w:val="0"/>
          <w:dstrike w:val="0"/>
          <w:sz w:val="32"/>
          <w:szCs w:val="32"/>
        </w:rPr>
        <w:t>可结合实际，将农机完成规定作业面积或作业量作为核验的前提条件，并探索打造农机管理干部、农机技术人员、第三方机构、有经验有意愿的农机使用一线“土专家”和农机手参加的核验队伍，切实强化核验工作人力资源保障。</w:t>
      </w:r>
      <w:r>
        <w:rPr>
          <w:rFonts w:hint="eastAsia" w:ascii="仿宋_GB2312" w:hAnsi="仿宋_GB2312" w:eastAsia="仿宋_GB2312" w:cs="仿宋_GB2312"/>
          <w:sz w:val="32"/>
          <w:szCs w:val="32"/>
        </w:rPr>
        <w:t>对高风险机具，应逐台核验；对安装类、设施类或安全风险较高类补贴机具，以及当地初次出现的高补贴额机具，在安装完成且生产应用一段时间后进行现场核验和补贴兑付；对其他机具，</w:t>
      </w:r>
      <w:r>
        <w:rPr>
          <w:rFonts w:hint="eastAsia" w:ascii="仿宋_GB2312" w:hAnsi="仿宋_GB2312" w:eastAsia="仿宋_GB2312" w:cs="仿宋_GB2312"/>
          <w:sz w:val="32"/>
          <w:szCs w:val="32"/>
          <w:lang w:eastAsia="zh-CN"/>
        </w:rPr>
        <w:t>区农服中心</w:t>
      </w:r>
      <w:r>
        <w:rPr>
          <w:rFonts w:hint="eastAsia" w:ascii="仿宋_GB2312" w:hAnsi="仿宋_GB2312" w:eastAsia="仿宋_GB2312" w:cs="仿宋_GB2312"/>
          <w:sz w:val="32"/>
          <w:szCs w:val="32"/>
          <w:lang w:val="en-US" w:eastAsia="zh-CN"/>
        </w:rPr>
        <w:t>参照上一年度开展情况</w:t>
      </w:r>
      <w:r>
        <w:rPr>
          <w:rFonts w:hint="eastAsia" w:ascii="仿宋_GB2312" w:hAnsi="仿宋_GB2312" w:eastAsia="仿宋_GB2312" w:cs="仿宋_GB2312"/>
          <w:sz w:val="32"/>
          <w:szCs w:val="32"/>
        </w:rPr>
        <w:t>，确定抽查核验比例。对丘陵山区所用的量大面广的小型机具，可结合实际制定实施便利化可监测的核验方法；对成套设施装备，</w:t>
      </w:r>
      <w:r>
        <w:rPr>
          <w:rFonts w:hint="eastAsia" w:ascii="仿宋_GB2312" w:hAnsi="仿宋_GB2312" w:eastAsia="仿宋_GB2312" w:cs="仿宋_GB2312"/>
          <w:sz w:val="32"/>
          <w:szCs w:val="32"/>
          <w:lang w:eastAsia="zh-CN"/>
        </w:rPr>
        <w:t>区农服中心</w:t>
      </w:r>
      <w:r>
        <w:rPr>
          <w:rFonts w:hint="eastAsia" w:ascii="仿宋_GB2312" w:hAnsi="仿宋_GB2312" w:eastAsia="仿宋_GB2312" w:cs="仿宋_GB2312"/>
          <w:sz w:val="32"/>
          <w:szCs w:val="32"/>
        </w:rPr>
        <w:t>会同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专家或</w:t>
      </w:r>
      <w:r>
        <w:rPr>
          <w:rFonts w:hint="eastAsia" w:ascii="仿宋_GB2312" w:hAnsi="仿宋_GB2312" w:eastAsia="仿宋_GB2312" w:cs="仿宋_GB2312"/>
          <w:sz w:val="32"/>
          <w:szCs w:val="32"/>
        </w:rPr>
        <w:t>符合条件的第三方开展核验。</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区农服中心按照</w:t>
      </w:r>
      <w:r>
        <w:rPr>
          <w:rFonts w:hint="default" w:ascii="仿宋_GB2312" w:hAnsi="仿宋_GB2312" w:eastAsia="仿宋_GB2312" w:cs="仿宋_GB2312"/>
          <w:sz w:val="32"/>
          <w:szCs w:val="32"/>
          <w:lang w:val="en-US" w:eastAsia="zh-CN"/>
        </w:rPr>
        <w:t>补贴机具核验</w:t>
      </w:r>
      <w:r>
        <w:rPr>
          <w:rFonts w:hint="eastAsia" w:ascii="仿宋_GB2312" w:hAnsi="仿宋_GB2312" w:eastAsia="仿宋_GB2312" w:cs="仿宋_GB2312"/>
          <w:sz w:val="32"/>
          <w:szCs w:val="32"/>
          <w:lang w:val="en-US" w:eastAsia="zh-CN"/>
        </w:rPr>
        <w:t>有关规定</w:t>
      </w:r>
      <w:r>
        <w:rPr>
          <w:rFonts w:hint="eastAsia" w:ascii="仿宋_GB2312" w:hAnsi="仿宋_GB2312" w:eastAsia="仿宋_GB2312" w:cs="仿宋_GB2312"/>
          <w:sz w:val="32"/>
          <w:szCs w:val="32"/>
        </w:rPr>
        <w:t>要求，对补贴相关申请资料进行审核，对补贴机具进行核验，其中实行牌证管理的机具，要先行办理牌证照，并凭牌证免于现场实物核验。对符合条件可以受理的，应于13个工作日内（不含公示时间）完成相关核验工作，并在各区农机购置与应用补贴信息公开专栏实时公布补贴申请信息，公示时间为5个工作日。鼓励在乡村或补贴申请点公示栏中同时公开公示信息。</w:t>
      </w:r>
    </w:p>
    <w:p>
      <w:pPr>
        <w:snapToGrid w:val="0"/>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区农服中心</w:t>
      </w:r>
      <w:r>
        <w:rPr>
          <w:rFonts w:hint="eastAsia" w:ascii="仿宋_GB2312" w:hAnsi="仿宋_GB2312" w:eastAsia="仿宋_GB2312" w:cs="仿宋_GB2312"/>
          <w:sz w:val="32"/>
          <w:szCs w:val="32"/>
        </w:rPr>
        <w:t>在公示完成后5个工作日内，向区</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提交资金兑付申请与有关材料。以上核验、审验公示、向</w:t>
      </w:r>
      <w:r>
        <w:rPr>
          <w:rFonts w:hint="eastAsia" w:ascii="仿宋_GB2312" w:hAnsi="仿宋_GB2312" w:eastAsia="仿宋_GB2312" w:cs="仿宋_GB2312"/>
          <w:sz w:val="32"/>
          <w:szCs w:val="32"/>
          <w:lang w:eastAsia="zh-CN"/>
        </w:rPr>
        <w:t>区财政局</w:t>
      </w:r>
      <w:r>
        <w:rPr>
          <w:rFonts w:hint="eastAsia" w:ascii="仿宋_GB2312" w:hAnsi="仿宋_GB2312" w:eastAsia="仿宋_GB2312" w:cs="仿宋_GB2312"/>
          <w:sz w:val="32"/>
          <w:szCs w:val="32"/>
        </w:rPr>
        <w:t>提交材料等时间，可</w:t>
      </w:r>
      <w:r>
        <w:rPr>
          <w:rFonts w:hint="eastAsia" w:ascii="仿宋_GB2312" w:hAnsi="仿宋_GB2312" w:eastAsia="仿宋_GB2312" w:cs="仿宋_GB2312"/>
          <w:sz w:val="32"/>
          <w:szCs w:val="32"/>
          <w:highlight w:val="none"/>
        </w:rPr>
        <w:t>结合</w:t>
      </w:r>
      <w:r>
        <w:rPr>
          <w:rFonts w:hint="eastAsia" w:ascii="仿宋_GB2312" w:hAnsi="仿宋_GB2312" w:eastAsia="仿宋_GB2312" w:cs="仿宋_GB2312"/>
          <w:sz w:val="32"/>
          <w:szCs w:val="32"/>
          <w:highlight w:val="none"/>
          <w:lang w:eastAsia="zh-CN"/>
        </w:rPr>
        <w:t>我</w:t>
      </w:r>
      <w:r>
        <w:rPr>
          <w:rFonts w:hint="eastAsia" w:ascii="仿宋_GB2312" w:hAnsi="仿宋_GB2312" w:eastAsia="仿宋_GB2312" w:cs="仿宋_GB2312"/>
          <w:sz w:val="32"/>
          <w:szCs w:val="32"/>
          <w:highlight w:val="none"/>
        </w:rPr>
        <w:t>区</w:t>
      </w:r>
      <w:r>
        <w:rPr>
          <w:rFonts w:hint="eastAsia" w:ascii="仿宋_GB2312" w:hAnsi="仿宋_GB2312" w:eastAsia="仿宋_GB2312" w:cs="仿宋_GB2312"/>
          <w:sz w:val="32"/>
          <w:szCs w:val="32"/>
        </w:rPr>
        <w:t>实际进行调整，但须确保总体控制在23个工作日内。</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）兑付</w:t>
      </w:r>
      <w:r>
        <w:rPr>
          <w:rFonts w:ascii="楷体_GB2312" w:hAnsi="楷体_GB2312" w:eastAsia="楷体_GB2312" w:cs="楷体_GB2312"/>
          <w:sz w:val="32"/>
          <w:szCs w:val="32"/>
        </w:rPr>
        <w:t>补贴</w:t>
      </w:r>
      <w:r>
        <w:rPr>
          <w:rFonts w:hint="eastAsia" w:ascii="楷体_GB2312" w:hAnsi="楷体_GB2312" w:eastAsia="楷体_GB2312" w:cs="楷体_GB2312"/>
          <w:sz w:val="32"/>
          <w:szCs w:val="32"/>
        </w:rPr>
        <w:t>资金。</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财政局</w:t>
      </w:r>
      <w:r>
        <w:rPr>
          <w:rFonts w:hint="eastAsia" w:ascii="仿宋_GB2312" w:hAnsi="仿宋_GB2312" w:eastAsia="仿宋_GB2312" w:cs="仿宋_GB2312"/>
          <w:sz w:val="32"/>
          <w:szCs w:val="32"/>
        </w:rPr>
        <w:t>于15个工作日内通过国库集中支付方式向符合要求的购机者兑付资金</w:t>
      </w:r>
      <w:r>
        <w:rPr>
          <w:rFonts w:hint="eastAsia" w:ascii="仿宋_GB2312" w:hAnsi="仿宋_GB2312" w:eastAsia="仿宋_GB2312" w:cs="仿宋_GB2312"/>
          <w:sz w:val="32"/>
          <w:szCs w:val="32"/>
          <w:lang w:eastAsia="zh-CN"/>
        </w:rPr>
        <w:t>，不得转拨至乡镇发放</w:t>
      </w:r>
      <w:r>
        <w:rPr>
          <w:rFonts w:hint="eastAsia" w:ascii="仿宋_GB2312" w:hAnsi="仿宋_GB2312" w:eastAsia="仿宋_GB2312" w:cs="仿宋_GB2312"/>
          <w:sz w:val="32"/>
          <w:szCs w:val="32"/>
        </w:rPr>
        <w:t>。</w:t>
      </w:r>
      <w:bookmarkStart w:id="0" w:name="_Hlk153468024"/>
      <w:r>
        <w:rPr>
          <w:rFonts w:hint="eastAsia" w:ascii="仿宋_GB2312" w:hAnsi="仿宋_GB2312" w:eastAsia="仿宋_GB2312" w:cs="仿宋_GB2312"/>
          <w:sz w:val="32"/>
          <w:szCs w:val="32"/>
        </w:rPr>
        <w:t>严禁挤占挪用农机购置与应用补贴资金。</w:t>
      </w:r>
      <w:bookmarkEnd w:id="0"/>
      <w:r>
        <w:rPr>
          <w:rFonts w:hint="eastAsia" w:ascii="仿宋_GB2312" w:hAnsi="仿宋_GB2312" w:eastAsia="仿宋_GB2312" w:cs="仿宋_GB2312"/>
          <w:sz w:val="32"/>
          <w:szCs w:val="32"/>
          <w:lang w:eastAsia="zh-CN"/>
        </w:rPr>
        <w:t>区财政局</w:t>
      </w:r>
      <w:r>
        <w:rPr>
          <w:rFonts w:hint="eastAsia" w:ascii="仿宋_GB2312" w:hAnsi="仿宋_GB2312" w:eastAsia="仿宋_GB2312" w:cs="仿宋_GB2312"/>
          <w:sz w:val="32"/>
          <w:szCs w:val="32"/>
        </w:rPr>
        <w:t>因资金不足或处理涉嫌违法违规问题等原因需要延期兑付的，应会同</w:t>
      </w:r>
      <w:r>
        <w:rPr>
          <w:rFonts w:hint="eastAsia" w:ascii="仿宋_GB2312" w:hAnsi="仿宋_GB2312" w:eastAsia="仿宋_GB2312" w:cs="仿宋_GB2312"/>
          <w:sz w:val="32"/>
          <w:szCs w:val="32"/>
          <w:lang w:eastAsia="zh-CN"/>
        </w:rPr>
        <w:t>区农业农村局、区农服中心</w:t>
      </w:r>
      <w:r>
        <w:rPr>
          <w:rFonts w:hint="eastAsia" w:ascii="仿宋_GB2312" w:hAnsi="仿宋_GB2312" w:eastAsia="仿宋_GB2312" w:cs="仿宋_GB2312"/>
          <w:sz w:val="32"/>
          <w:szCs w:val="32"/>
        </w:rPr>
        <w:t>做细政策解读，告知并稳定购机者预期，同时联合向上报告资金供需情况。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市级农业农村部门会同财政部门，根据</w:t>
      </w:r>
      <w:r>
        <w:rPr>
          <w:rFonts w:hint="eastAsia" w:ascii="仿宋_GB2312" w:hAnsi="仿宋_GB2312" w:eastAsia="仿宋_GB2312" w:cs="仿宋_GB2312"/>
          <w:sz w:val="32"/>
          <w:szCs w:val="32"/>
          <w:lang w:eastAsia="zh-CN"/>
        </w:rPr>
        <w:t>我区</w:t>
      </w:r>
      <w:r>
        <w:rPr>
          <w:rFonts w:hint="eastAsia" w:ascii="仿宋_GB2312" w:hAnsi="仿宋_GB2312" w:eastAsia="仿宋_GB2312" w:cs="仿宋_GB2312"/>
          <w:sz w:val="32"/>
          <w:szCs w:val="32"/>
        </w:rPr>
        <w:t>农业生产需求，可指定有关品目（或档次）优先录入、优先兑付。</w:t>
      </w:r>
    </w:p>
    <w:p>
      <w:pPr>
        <w:adjustRightInd w:val="0"/>
        <w:snapToGrid w:val="0"/>
        <w:spacing w:line="560" w:lineRule="exact"/>
        <w:ind w:firstLine="640" w:firstLineChars="200"/>
        <w:rPr>
          <w:rFonts w:ascii="仿宋_GB2312" w:hAnsi="仿宋_GB2312" w:eastAsia="仿宋_GB2312" w:cs="仿宋_GB2312"/>
          <w:sz w:val="32"/>
          <w:szCs w:val="32"/>
        </w:rPr>
      </w:pPr>
      <w:r>
        <w:rPr>
          <w:rFonts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ascii="楷体_GB2312" w:hAnsi="楷体_GB2312" w:eastAsia="楷体_GB2312" w:cs="楷体_GB2312"/>
          <w:sz w:val="32"/>
          <w:szCs w:val="32"/>
        </w:rPr>
        <w:t>）</w:t>
      </w:r>
      <w:bookmarkStart w:id="1" w:name="_Hlk151313342"/>
      <w:bookmarkStart w:id="2" w:name="_Hlk151313630"/>
      <w:r>
        <w:rPr>
          <w:rFonts w:ascii="楷体_GB2312" w:hAnsi="楷体_GB2312" w:eastAsia="楷体_GB2312" w:cs="楷体_GB2312"/>
          <w:sz w:val="32"/>
          <w:szCs w:val="32"/>
        </w:rPr>
        <w:t>组织抽查</w:t>
      </w:r>
      <w:bookmarkEnd w:id="1"/>
      <w:bookmarkEnd w:id="2"/>
      <w:r>
        <w:rPr>
          <w:rFonts w:ascii="楷体_GB2312" w:hAnsi="楷体_GB2312" w:eastAsia="楷体_GB2312" w:cs="楷体_GB2312"/>
          <w:sz w:val="32"/>
          <w:szCs w:val="32"/>
        </w:rPr>
        <w:t>。</w:t>
      </w:r>
      <w:r>
        <w:rPr>
          <w:rFonts w:ascii="仿宋_GB2312" w:hAnsi="仿宋_GB2312" w:eastAsia="仿宋_GB2312" w:cs="仿宋_GB2312"/>
          <w:sz w:val="32"/>
          <w:szCs w:val="32"/>
        </w:rPr>
        <w:t>委托符合条件的第三方，或由专业农机人员和基层工作人员，加强对高风险机具和成套设施装备等的抽查，重点对</w:t>
      </w:r>
      <w:r>
        <w:rPr>
          <w:rFonts w:hint="eastAsia" w:ascii="仿宋_GB2312" w:hAnsi="仿宋_GB2312" w:eastAsia="仿宋_GB2312" w:cs="仿宋_GB2312"/>
          <w:sz w:val="32"/>
          <w:szCs w:val="32"/>
        </w:rPr>
        <w:t>单台（套）产品补贴金额较大、</w:t>
      </w:r>
      <w:r>
        <w:rPr>
          <w:rFonts w:ascii="仿宋_GB2312" w:hAnsi="仿宋_GB2312" w:eastAsia="仿宋_GB2312" w:cs="仿宋_GB2312"/>
          <w:sz w:val="32"/>
          <w:szCs w:val="32"/>
        </w:rPr>
        <w:t>单一产品购置较为集中、单人多台套、短期内大批量、同一主体连年重复购置、机具适应性和购置数量与购机者生产经营服务所需不相符等情形进行查核</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并在办理服务系统中进行预警，对发现的问题线索进行评估，涉嫌违规的，应及时组织调查并按规定处理，涉嫌犯罪的，要</w:t>
      </w:r>
      <w:r>
        <w:rPr>
          <w:rFonts w:hint="eastAsia" w:ascii="仿宋_GB2312" w:hAnsi="仿宋_GB2312" w:eastAsia="仿宋_GB2312" w:cs="仿宋_GB2312"/>
          <w:sz w:val="32"/>
          <w:szCs w:val="32"/>
        </w:rPr>
        <w:t>移送</w:t>
      </w:r>
      <w:r>
        <w:rPr>
          <w:rFonts w:ascii="仿宋_GB2312" w:hAnsi="仿宋_GB2312" w:eastAsia="仿宋_GB2312" w:cs="仿宋_GB2312"/>
          <w:sz w:val="32"/>
          <w:szCs w:val="32"/>
        </w:rPr>
        <w:t>司法机关。</w:t>
      </w:r>
    </w:p>
    <w:p>
      <w:pPr>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pPr>
        <w:snapToGrid w:val="0"/>
        <w:spacing w:line="560" w:lineRule="exact"/>
        <w:rPr>
          <w:rFonts w:hint="eastAsia" w:ascii="黑体" w:hAnsi="黑体" w:eastAsia="黑体" w:cs="宋体"/>
          <w:kern w:val="0"/>
          <w:sz w:val="32"/>
          <w:szCs w:val="32"/>
          <w:lang w:bidi="ar"/>
        </w:rPr>
      </w:pPr>
      <w:r>
        <w:rPr>
          <w:rFonts w:hint="eastAsia" w:ascii="黑体" w:hAnsi="黑体" w:eastAsia="黑体" w:cs="宋体"/>
          <w:kern w:val="0"/>
          <w:sz w:val="32"/>
          <w:szCs w:val="32"/>
          <w:lang w:bidi="ar"/>
        </w:rPr>
        <w:br w:type="page"/>
      </w:r>
      <w:bookmarkStart w:id="3" w:name="OLE_LINK1"/>
      <w:r>
        <w:rPr>
          <w:rFonts w:hint="eastAsia" w:ascii="黑体" w:hAnsi="黑体" w:eastAsia="黑体" w:cs="黑体"/>
          <w:kern w:val="0"/>
          <w:sz w:val="32"/>
          <w:szCs w:val="32"/>
        </w:rPr>
        <w:t>附件1</w:t>
      </w:r>
      <w:r>
        <w:rPr>
          <w:rFonts w:hint="eastAsia" w:ascii="黑体" w:hAnsi="黑体" w:eastAsia="黑体" w:cs="黑体"/>
          <w:kern w:val="0"/>
          <w:sz w:val="32"/>
          <w:szCs w:val="32"/>
          <w:lang w:eastAsia="zh-CN"/>
        </w:rPr>
        <w:t>的</w:t>
      </w:r>
      <w:bookmarkEnd w:id="3"/>
      <w:r>
        <w:rPr>
          <w:rFonts w:hint="eastAsia" w:ascii="黑体" w:hAnsi="黑体" w:eastAsia="黑体" w:cs="宋体"/>
          <w:kern w:val="0"/>
          <w:sz w:val="32"/>
          <w:szCs w:val="32"/>
          <w:lang w:bidi="ar"/>
        </w:rPr>
        <w:t>附件2</w:t>
      </w:r>
    </w:p>
    <w:p>
      <w:pPr>
        <w:snapToGrid w:val="0"/>
        <w:spacing w:line="560" w:lineRule="exact"/>
        <w:rPr>
          <w:rFonts w:hint="eastAsia" w:ascii="方正小标宋简体" w:hAnsi="方正小标宋简体" w:eastAsia="方正小标宋简体" w:cs="方正小标宋简体"/>
          <w:kern w:val="0"/>
          <w:sz w:val="44"/>
          <w:szCs w:val="44"/>
          <w:lang w:bidi="ar"/>
        </w:rPr>
      </w:pPr>
    </w:p>
    <w:p>
      <w:pPr>
        <w:pStyle w:val="11"/>
        <w:snapToGrid w:val="0"/>
        <w:spacing w:before="0" w:beforeAutospacing="0" w:after="0" w:afterAutospacing="0"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2024—2026年度北京市农机购置与</w:t>
      </w:r>
    </w:p>
    <w:p>
      <w:pPr>
        <w:pStyle w:val="11"/>
        <w:snapToGrid w:val="0"/>
        <w:spacing w:before="0" w:beforeAutospacing="0" w:after="0" w:afterAutospacing="0" w:line="560" w:lineRule="exact"/>
        <w:jc w:val="center"/>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应用补贴机具种类范围</w:t>
      </w:r>
    </w:p>
    <w:p>
      <w:pPr>
        <w:spacing w:line="560" w:lineRule="exact"/>
        <w:ind w:firstLine="640" w:firstLineChars="200"/>
        <w:rPr>
          <w:rFonts w:hint="eastAsia" w:ascii="仿宋_GB2312" w:hAnsi="仿宋_GB2312" w:eastAsia="仿宋_GB2312" w:cs="仿宋_GB2312"/>
          <w:sz w:val="32"/>
          <w:szCs w:val="32"/>
          <w:lang w:bidi="ar"/>
        </w:rPr>
      </w:pPr>
    </w:p>
    <w:p>
      <w:pPr>
        <w:spacing w:line="560" w:lineRule="exact"/>
        <w:ind w:firstLine="640" w:firstLineChars="200"/>
        <w:rPr>
          <w:rFonts w:hint="eastAsia" w:ascii="仿宋_GB2312" w:hAnsi="仿宋_GB2312" w:eastAsia="仿宋_GB2312" w:cs="仿宋_GB2312"/>
          <w:sz w:val="32"/>
          <w:szCs w:val="32"/>
          <w:lang w:bidi="ar"/>
        </w:rPr>
      </w:pPr>
      <w:r>
        <w:rPr>
          <w:rFonts w:hint="eastAsia" w:ascii="黑体" w:hAnsi="黑体" w:eastAsia="黑体" w:cs="黑体"/>
          <w:sz w:val="32"/>
          <w:szCs w:val="32"/>
          <w:lang w:bidi="ar"/>
        </w:rPr>
        <w:t>一、中央财政补贴品目范围（20大类35个小类75个品目）</w:t>
      </w:r>
    </w:p>
    <w:p>
      <w:pPr>
        <w:spacing w:line="56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1.耕整地机械</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1.1耕地机械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1.1.1犁</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1.1.2旋耕机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1.1.3深松机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1.1.4微型耕耘机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1.2整地机械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1.2.1耙（限圆盘耙、驱动耙）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1.3耕整地联合作业机械（可含施肥功能）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1.3.1深松整地联合作业机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2.种植施肥机械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2.1种子播前处理和育苗机械设备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2.1.1育秧（苗）播种设备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2.2播种机械（可含施肥功能）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2.2.1条播机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2.2.2穴播机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2.2.3单粒（精密）播种机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2.2.4根（块）茎种子播种机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2.3耕整地播种作业机械（可含施肥功能）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2.3.1旋耕播种机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2.4栽植机械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2.4.1插秧机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2.4.2移栽机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2.5施肥机械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2.5.1施肥机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2.5.2撒（抛）肥机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3.田间管理机械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3.1中耕机械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3.1.1中耕机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3.1.2田园管理机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3.2植保机械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3.2.1喷雾机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3.2.2农用（植保）无人驾驶航空器（可含撒播等功能）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3.3修剪防护管理机械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3.3.1枝条切碎机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4.灌溉机械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4.1喷灌机械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4.1.1喷灌机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5.收获机械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5.1粮食作物收获机械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5.1.1脱粒机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5.1.2谷物联合收割机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5.1.3玉米收获机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5.1.4薯类收获机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5.2油料作物收获机械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5.2.1大豆收获机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5.2.2花生收获机</w:t>
      </w:r>
      <w:r>
        <w:rPr>
          <w:rFonts w:hint="eastAsia" w:ascii="仿宋_GB2312" w:hAnsi="仿宋_GB2312" w:eastAsia="仿宋_GB2312" w:cs="仿宋_GB2312"/>
          <w:sz w:val="32"/>
          <w:szCs w:val="32"/>
        </w:rPr>
        <w:tab/>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5.3秸秆收集处理机械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5.3.1秸秆粉碎还田机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5.4收获割台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5.4.1大豆收获专用割台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5.4.2玉米收获专用割台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6.田间监测及作业监控设备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6.1田间作业监控设备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6.1.1辅助驾驶（系统）设备</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7.种植业废弃物处理设备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7.1农田废弃物收集设备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7.1.1残膜回收机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7.2农作物废弃物处理设备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7.2.1秸秆压块（粒、棒）机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8.饲料（草）收获加工运输设备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8.1饲料（草）收获机械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8.1.1割草（压扁）机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8.1.2搂草机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8.1.3打（压）捆机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8.1.4草捆包膜机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8.1.5打捆包膜机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8.1.6青（黄）饲料收获机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8.2饲料（草）加工机械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8.2.1颗粒饲料压制机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8.2.2饲料混合机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8.2.3饲料膨化机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8.2.4全混合日粮制备机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9.畜禽养殖机械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9.1畜禽养殖成套设备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9.1.1蜜蜂养殖设备</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10.畜禽产品采集储运设备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10.1畜禽产品采集设备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10.1.1挤奶机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10.1.2生鲜乳速冷设备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10.1.3散装乳冷藏罐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11.畜禽养殖废弃物及病死畜禽处理设备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11.1畜禽粪污资源化利用设备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11.1.1清粪机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11.1.2畜禽粪污固液分离机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11.1.3畜禽粪便发酵处理设备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11.1.4畜禽粪便干燥设备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11.1.5畜禽粪便翻堆设备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11.1.6沼液沼渣抽排设备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11.2病死畜禽储运及处理设备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11.2.1病死畜禽处理设备</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12.水产养殖机械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12.1水质调控设备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12.1.1增氧机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13.种子初加工机械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13.1种子初加工机械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13.1.1种子清选机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13.1.2种子包衣机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14.粮油糖初加工机械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14.1粮食初加工机械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14.1.1粮食清选机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14.1.2谷物（粮食）干燥机（烘干机）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14.1.3碾米机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15.果菜茶初加工机械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15.1果蔬初加工机械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15.1.1果蔬干燥机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15.1.2脱蓬（脯）机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15.1.3干坚果脱壳机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15.1.4果蔬冷藏保鲜设备</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16.农用动力机械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16.1拖拉机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16.1.1轮式拖拉机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16.1.2履带式拖拉机</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17.农用搬运机械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17.1农用运输机械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17.1.1田间搬运机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17.1.2轨道运输机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18.农用水泵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18.1农用水泵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18.1.1潜水电泵</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18.1.2地面泵（机组）</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19.设施环境控制设备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19.1设施环境控制设备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19.1.1拉幕（卷帘）设备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19.1.2湿帘降温设备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20.农田基本建设机械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20.1平地机械（限与拖拉机配套）</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20.1.1平地机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20.2清理机械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20.2.1捡（清）石机</w:t>
      </w:r>
      <w:r>
        <w:rPr>
          <w:rFonts w:hint="eastAsia" w:ascii="仿宋_GB2312" w:hAnsi="仿宋_GB2312" w:eastAsia="仿宋_GB2312" w:cs="仿宋_GB2312"/>
          <w:sz w:val="32"/>
          <w:szCs w:val="32"/>
        </w:rPr>
        <w:tab/>
      </w:r>
    </w:p>
    <w:p>
      <w:pPr>
        <w:spacing w:line="560" w:lineRule="exact"/>
        <w:ind w:firstLine="640" w:firstLineChars="200"/>
        <w:rPr>
          <w:rFonts w:hint="eastAsia" w:ascii="黑体" w:hAnsi="黑体" w:eastAsia="黑体" w:cs="黑体"/>
          <w:sz w:val="32"/>
          <w:szCs w:val="32"/>
          <w:lang w:bidi="ar"/>
        </w:rPr>
      </w:pPr>
      <w:r>
        <w:rPr>
          <w:rFonts w:hint="eastAsia" w:ascii="黑体" w:hAnsi="黑体" w:eastAsia="黑体" w:cs="黑体"/>
          <w:sz w:val="32"/>
          <w:szCs w:val="32"/>
          <w:lang w:bidi="ar"/>
        </w:rPr>
        <w:t>二、市级财政单独补贴品目范围（8大类16小类50个品目）</w:t>
      </w:r>
    </w:p>
    <w:p>
      <w:pPr>
        <w:widowControl/>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1.设施农业设备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1.1温室大棚设备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1.1.1</w:t>
      </w:r>
      <w:r>
        <w:rPr>
          <w:rFonts w:hint="eastAsia" w:ascii="仿宋_GB2312" w:hAnsi="仿宋_GB2312" w:eastAsia="仿宋_GB2312" w:cs="仿宋_GB2312"/>
          <w:sz w:val="32"/>
          <w:szCs w:val="32"/>
        </w:rPr>
        <w:t>绑蔓机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1.1.2槽、架、墙体等配套设施装备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1.1.3环境监测与控制装备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1.1.4育苗装备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1.1.5设施耕整地装备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1.1.6移栽、播种装备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1.1.7水肥施用装备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1.1.8设施植保装备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1.1.9设施采收运装备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1.1.10设施废弃物处理设备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1.1.11设施农业成套装备</w:t>
      </w:r>
    </w:p>
    <w:p>
      <w:pPr>
        <w:widowControl/>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2.畜牧水产养殖机械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2.1畜禽饲养机械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2.1.1环境监测与调控装备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2.1.2消毒装备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2.1.3建档装备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2.1.4精准饲喂和采收装备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2.1.5废弃物处理装备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2.1.6加工类装备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2.1.7养殖机器人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2.2水产养殖机械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2.2.1工厂化养殖系统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2.2.2水体净化处理系统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2.2.3水产养殖箱体</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2.2.4鱼菜共生系统</w:t>
      </w:r>
    </w:p>
    <w:p>
      <w:pPr>
        <w:widowControl/>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3.种子初加工机械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3.1种子初加工机械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3.1.1种子加工成套设备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3.1.2种子无人化包装追溯物流码垛生产线</w:t>
      </w:r>
    </w:p>
    <w:p>
      <w:pPr>
        <w:widowControl/>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4.农产品加工成套设备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4.1果蔬加工设备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4.1.1果蔬加工系统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4.1.2板栗脱蓬机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4.1.3板栗加工成套设备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4.2水产品加工设备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4.2.1水产品加工成套设备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4.3根茎类作物加工设备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4.3.1薯类加工设备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4.4食用菌加工机械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4.4.1食用菌加工设备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4.5豆类加工机械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4.5.1豆类、粮油贮藏和加工成套系统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4.6其他农产品加工机械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4.6.1蜂蜜加工设备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4.6.2包装机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4.6.3其他农产品加工机械</w:t>
      </w:r>
    </w:p>
    <w:p>
      <w:pPr>
        <w:widowControl/>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5.排灌成套设备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5.1喷灌机械设备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5.1.1智能水肥一体化系统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5.1.2山区用灌溉设备（农田、果树）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5.1.3地埋伸缩式喷灌系统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5.2微灌机械设备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5.2.1滴灌系统</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6.农用搬运机械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6.1农用运输机械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6.1.2自卸青贮挂车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7.田间监测及作业监控设备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7.1田间监测设备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7.1.1气象站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7.1.2土壤墒情仪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7.2田间作业监控设备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7.2.1农用北斗作业监测终端 </w:t>
      </w:r>
    </w:p>
    <w:p>
      <w:pPr>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8.其他机械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8.1其他机械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8.1.1割灌机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8.1.2保鲜、冷藏和烘干设备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8.1.3移树机（果树）</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8.1.4捆树机（果树）        </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8.1.5薯类杀秧机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8.1.6农残速测仪</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8.1.7防鸟防雹设备</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8.1.8培菌机</w:t>
      </w:r>
    </w:p>
    <w:p>
      <w:pPr>
        <w:spacing w:line="560" w:lineRule="exact"/>
        <w:ind w:firstLine="640" w:firstLineChars="200"/>
        <w:rPr>
          <w:rFonts w:hint="eastAsia" w:ascii="黑体" w:hAnsi="黑体" w:eastAsia="黑体" w:cs="黑体"/>
          <w:kern w:val="0"/>
          <w:sz w:val="32"/>
          <w:szCs w:val="32"/>
        </w:rPr>
        <w:sectPr>
          <w:footerReference r:id="rId3" w:type="default"/>
          <w:type w:val="continuous"/>
          <w:pgSz w:w="11906" w:h="16838"/>
          <w:pgMar w:top="2098" w:right="1474" w:bottom="1984" w:left="1588" w:header="851" w:footer="992" w:gutter="0"/>
          <w:pgNumType w:fmt="decimal"/>
          <w:cols w:space="0" w:num="1"/>
          <w:rtlGutter w:val="0"/>
          <w:docGrid w:type="lines" w:linePitch="312" w:charSpace="0"/>
        </w:sect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kern w:val="0"/>
          <w:sz w:val="32"/>
          <w:szCs w:val="32"/>
        </w:rPr>
        <w:t>附件1</w:t>
      </w:r>
      <w:r>
        <w:rPr>
          <w:rFonts w:hint="eastAsia" w:ascii="黑体" w:hAnsi="黑体" w:eastAsia="黑体" w:cs="黑体"/>
          <w:kern w:val="0"/>
          <w:sz w:val="32"/>
          <w:szCs w:val="32"/>
          <w:lang w:eastAsia="zh-CN"/>
        </w:rPr>
        <w:t>的</w:t>
      </w:r>
      <w:r>
        <w:rPr>
          <w:rFonts w:hint="eastAsia" w:ascii="黑体" w:hAnsi="黑体" w:eastAsia="黑体" w:cs="黑体"/>
          <w:sz w:val="32"/>
          <w:szCs w:val="32"/>
        </w:rPr>
        <w:t>附件3</w:t>
      </w:r>
    </w:p>
    <w:p>
      <w:pPr>
        <w:snapToGrid w:val="0"/>
        <w:spacing w:line="560" w:lineRule="exact"/>
        <w:jc w:val="center"/>
        <w:rPr>
          <w:rFonts w:hint="eastAsia" w:ascii="方正小标宋简体" w:hAnsi="方正小标宋简体" w:eastAsia="方正小标宋简体" w:cs="方正小标宋简体"/>
          <w:kern w:val="0"/>
          <w:sz w:val="44"/>
          <w:szCs w:val="44"/>
          <w:lang w:bidi="ar"/>
        </w:rPr>
      </w:pPr>
    </w:p>
    <w:p>
      <w:pPr>
        <w:snapToGrid w:val="0"/>
        <w:spacing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2024—2026年度北京市农机购置与应用补贴</w:t>
      </w:r>
    </w:p>
    <w:p>
      <w:pPr>
        <w:snapToGrid w:val="0"/>
        <w:spacing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中央</w:t>
      </w:r>
      <w:r>
        <w:rPr>
          <w:rFonts w:hint="eastAsia" w:ascii="方正小标宋简体" w:hAnsi="方正小标宋简体" w:eastAsia="方正小标宋简体" w:cs="方正小标宋简体"/>
          <w:kern w:val="0"/>
          <w:sz w:val="44"/>
          <w:szCs w:val="44"/>
          <w:lang w:val="en-US" w:eastAsia="zh-CN" w:bidi="ar"/>
        </w:rPr>
        <w:t>财政</w:t>
      </w:r>
      <w:r>
        <w:rPr>
          <w:rFonts w:hint="eastAsia" w:ascii="方正小标宋简体" w:hAnsi="方正小标宋简体" w:eastAsia="方正小标宋简体" w:cs="方正小标宋简体"/>
          <w:kern w:val="0"/>
          <w:sz w:val="44"/>
          <w:szCs w:val="44"/>
          <w:lang w:bidi="ar"/>
        </w:rPr>
        <w:t>资金补贴额一览表（第一批）</w:t>
      </w:r>
    </w:p>
    <w:tbl>
      <w:tblPr>
        <w:tblStyle w:val="13"/>
        <w:tblW w:w="0" w:type="auto"/>
        <w:jc w:val="center"/>
        <w:tblLayout w:type="fixed"/>
        <w:tblCellMar>
          <w:top w:w="0" w:type="dxa"/>
          <w:left w:w="108" w:type="dxa"/>
          <w:bottom w:w="0" w:type="dxa"/>
          <w:right w:w="108" w:type="dxa"/>
        </w:tblCellMar>
      </w:tblPr>
      <w:tblGrid>
        <w:gridCol w:w="1423"/>
        <w:gridCol w:w="1423"/>
        <w:gridCol w:w="1240"/>
        <w:gridCol w:w="1950"/>
        <w:gridCol w:w="4169"/>
        <w:gridCol w:w="1009"/>
        <w:gridCol w:w="1666"/>
      </w:tblGrid>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ascii="黑体" w:hAnsi="宋体" w:eastAsia="黑体" w:cs="黑体"/>
                <w:snapToGrid w:val="0"/>
                <w:color w:val="000000"/>
                <w:kern w:val="0"/>
                <w:sz w:val="24"/>
              </w:rPr>
            </w:pPr>
            <w:r>
              <w:rPr>
                <w:rFonts w:hint="eastAsia" w:ascii="黑体" w:hAnsi="宋体" w:eastAsia="黑体" w:cs="黑体"/>
                <w:snapToGrid w:val="0"/>
                <w:color w:val="000000"/>
                <w:kern w:val="0"/>
                <w:sz w:val="24"/>
                <w:lang w:bidi="ar"/>
              </w:rPr>
              <w:t>大类</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黑体" w:hAnsi="宋体" w:eastAsia="黑体" w:cs="黑体"/>
                <w:snapToGrid w:val="0"/>
                <w:color w:val="000000"/>
                <w:kern w:val="0"/>
                <w:sz w:val="24"/>
              </w:rPr>
            </w:pPr>
            <w:r>
              <w:rPr>
                <w:rFonts w:hint="eastAsia" w:ascii="黑体" w:hAnsi="宋体" w:eastAsia="黑体" w:cs="黑体"/>
                <w:snapToGrid w:val="0"/>
                <w:color w:val="000000"/>
                <w:kern w:val="0"/>
                <w:sz w:val="24"/>
                <w:lang w:bidi="ar"/>
              </w:rPr>
              <w:t>小类</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黑体" w:hAnsi="宋体" w:eastAsia="黑体" w:cs="黑体"/>
                <w:snapToGrid w:val="0"/>
                <w:color w:val="000000"/>
                <w:kern w:val="0"/>
                <w:sz w:val="24"/>
              </w:rPr>
            </w:pPr>
            <w:r>
              <w:rPr>
                <w:rFonts w:hint="eastAsia" w:ascii="黑体" w:hAnsi="宋体" w:eastAsia="黑体" w:cs="黑体"/>
                <w:snapToGrid w:val="0"/>
                <w:color w:val="000000"/>
                <w:kern w:val="0"/>
                <w:sz w:val="24"/>
                <w:lang w:bidi="ar"/>
              </w:rPr>
              <w:t>品目</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黑体" w:hAnsi="宋体" w:eastAsia="黑体" w:cs="黑体"/>
                <w:snapToGrid w:val="0"/>
                <w:color w:val="000000"/>
                <w:kern w:val="0"/>
                <w:sz w:val="24"/>
              </w:rPr>
            </w:pPr>
            <w:r>
              <w:rPr>
                <w:rFonts w:hint="eastAsia" w:ascii="黑体" w:hAnsi="宋体" w:eastAsia="黑体" w:cs="黑体"/>
                <w:snapToGrid w:val="0"/>
                <w:color w:val="000000"/>
                <w:kern w:val="0"/>
                <w:sz w:val="24"/>
                <w:lang w:bidi="ar"/>
              </w:rPr>
              <w:t>档次名称</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黑体" w:hAnsi="宋体" w:eastAsia="黑体" w:cs="黑体"/>
                <w:snapToGrid w:val="0"/>
                <w:color w:val="000000"/>
                <w:kern w:val="0"/>
                <w:sz w:val="24"/>
              </w:rPr>
            </w:pPr>
            <w:r>
              <w:rPr>
                <w:rFonts w:hint="eastAsia" w:ascii="黑体" w:hAnsi="宋体" w:eastAsia="黑体" w:cs="黑体"/>
                <w:snapToGrid w:val="0"/>
                <w:color w:val="000000"/>
                <w:kern w:val="0"/>
                <w:sz w:val="24"/>
                <w:lang w:bidi="ar"/>
              </w:rPr>
              <w:t>基本配置和参数</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黑体" w:hAnsi="宋体" w:eastAsia="黑体" w:cs="黑体"/>
                <w:snapToGrid w:val="0"/>
                <w:color w:val="000000"/>
                <w:kern w:val="0"/>
                <w:sz w:val="24"/>
                <w:lang w:bidi="ar"/>
              </w:rPr>
            </w:pPr>
            <w:r>
              <w:rPr>
                <w:rFonts w:hint="eastAsia" w:ascii="黑体" w:hAnsi="宋体" w:eastAsia="黑体" w:cs="黑体"/>
                <w:snapToGrid w:val="0"/>
                <w:color w:val="000000"/>
                <w:kern w:val="0"/>
                <w:sz w:val="24"/>
                <w:lang w:bidi="ar"/>
              </w:rPr>
              <w:t>最高</w:t>
            </w:r>
          </w:p>
          <w:p>
            <w:pPr>
              <w:keepLines/>
              <w:widowControl/>
              <w:spacing w:line="240" w:lineRule="exact"/>
              <w:jc w:val="center"/>
              <w:textAlignment w:val="center"/>
              <w:rPr>
                <w:rFonts w:hint="eastAsia" w:ascii="黑体" w:hAnsi="宋体" w:eastAsia="黑体" w:cs="黑体"/>
                <w:snapToGrid w:val="0"/>
                <w:color w:val="000000"/>
                <w:kern w:val="0"/>
                <w:sz w:val="24"/>
              </w:rPr>
            </w:pPr>
            <w:r>
              <w:rPr>
                <w:rFonts w:hint="eastAsia" w:ascii="黑体" w:hAnsi="宋体" w:eastAsia="黑体" w:cs="黑体"/>
                <w:snapToGrid w:val="0"/>
                <w:color w:val="000000"/>
                <w:kern w:val="0"/>
                <w:sz w:val="24"/>
                <w:lang w:bidi="ar"/>
              </w:rPr>
              <w:t>补贴额（元）</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黑体" w:hAnsi="宋体" w:eastAsia="黑体" w:cs="黑体"/>
                <w:snapToGrid w:val="0"/>
                <w:color w:val="000000"/>
                <w:kern w:val="0"/>
                <w:sz w:val="13"/>
                <w:szCs w:val="13"/>
              </w:rPr>
            </w:pPr>
            <w:r>
              <w:rPr>
                <w:rFonts w:hint="eastAsia" w:ascii="黑体" w:hAnsi="宋体" w:eastAsia="黑体" w:cs="黑体"/>
                <w:snapToGrid w:val="0"/>
                <w:color w:val="000000"/>
                <w:kern w:val="0"/>
                <w:sz w:val="24"/>
                <w:lang w:bidi="ar"/>
              </w:rPr>
              <w:t>备注</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犁体幅宽35cm以下,3-4铧翻转犁</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犁体幅宽</w:t>
            </w:r>
            <w:bookmarkStart w:id="4" w:name="OLE_LINK2"/>
            <w:r>
              <w:rPr>
                <w:rFonts w:hint="eastAsia" w:ascii="宋体" w:hAnsi="宋体" w:cs="宋体"/>
                <w:snapToGrid w:val="0"/>
                <w:color w:val="000000"/>
                <w:kern w:val="0"/>
                <w:sz w:val="18"/>
                <w:szCs w:val="18"/>
                <w:lang w:bidi="ar"/>
              </w:rPr>
              <w:t>＜</w:t>
            </w:r>
            <w:bookmarkEnd w:id="4"/>
            <w:r>
              <w:rPr>
                <w:rFonts w:hint="eastAsia" w:ascii="宋体" w:hAnsi="宋体" w:cs="宋体"/>
                <w:snapToGrid w:val="0"/>
                <w:color w:val="000000"/>
                <w:kern w:val="0"/>
                <w:sz w:val="18"/>
                <w:szCs w:val="18"/>
                <w:lang w:bidi="ar"/>
              </w:rPr>
              <w:t>35cm；犁体数量：6-8个；翻转机构型式：液压翻转</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犁体幅宽35cm以下,5铧及以上翻转犁</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犁体幅宽＜35cm；</w:t>
            </w:r>
            <w:bookmarkStart w:id="5" w:name="OLE_LINK3"/>
            <w:r>
              <w:rPr>
                <w:rFonts w:hint="eastAsia" w:ascii="宋体" w:hAnsi="宋体" w:cs="宋体"/>
                <w:snapToGrid w:val="0"/>
                <w:color w:val="000000"/>
                <w:kern w:val="0"/>
                <w:sz w:val="18"/>
                <w:szCs w:val="18"/>
                <w:lang w:bidi="ar"/>
              </w:rPr>
              <w:t>犁</w:t>
            </w:r>
            <w:bookmarkEnd w:id="5"/>
            <w:r>
              <w:rPr>
                <w:rFonts w:hint="eastAsia" w:ascii="宋体" w:hAnsi="宋体" w:cs="宋体"/>
                <w:snapToGrid w:val="0"/>
                <w:color w:val="000000"/>
                <w:kern w:val="0"/>
                <w:sz w:val="18"/>
                <w:szCs w:val="18"/>
                <w:lang w:bidi="ar"/>
              </w:rPr>
              <w:t>体数量≥10个；翻转机构型式：液压翻转</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犁体幅宽35-45cm,3-4铧翻转</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35cm≤型体幅宽＜45cm；犁体数量：6-8个；翻转机构型式：液压翻转</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犁体幅宽35-45cm,5铧及以上翻转</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35cm≤犁体幅宽＜45cm：犁体数量≥10个：翻转机构型式：液压翻转</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犁体幅宽45cm及以上,3-4铧翻转犁</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犁体幅宽≥45cm；犁体数量：6-8个；翻转机构型式：液压翻转</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犁体幅宽45cm及以上,5铧及以上翻转犁</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犁体幅宽≥45cm；犁体数量≥10个；翻转机构型式：液压翻转</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旋耕机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单轴1-1.5m旋耕机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单轴</w:t>
            </w:r>
            <w:bookmarkStart w:id="6" w:name="OLE_LINK4"/>
            <w:r>
              <w:rPr>
                <w:rFonts w:hint="eastAsia" w:ascii="宋体" w:hAnsi="宋体" w:cs="宋体"/>
                <w:snapToGrid w:val="0"/>
                <w:color w:val="000000"/>
                <w:kern w:val="0"/>
                <w:sz w:val="18"/>
                <w:szCs w:val="18"/>
                <w:lang w:bidi="ar"/>
              </w:rPr>
              <w:t>；</w:t>
            </w:r>
            <w:bookmarkEnd w:id="6"/>
            <w:r>
              <w:rPr>
                <w:rFonts w:hint="eastAsia" w:ascii="宋体" w:hAnsi="宋体" w:cs="宋体"/>
                <w:snapToGrid w:val="0"/>
                <w:color w:val="000000"/>
                <w:kern w:val="0"/>
                <w:sz w:val="18"/>
                <w:szCs w:val="18"/>
                <w:lang w:bidi="ar"/>
              </w:rPr>
              <w:t>1m≤耕幅＜1.5m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330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旋耕机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单轴1.5-2m旋耕机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单轴；1.5m≤耕幅＜2m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930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旋耕机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单轴2-2.5m旋耕机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单轴；2m≤耕幅＜2.5m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旋耕机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单轴2.5m及以上旋耕机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单轴；耕幅≥2.5m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2-3铲凿铲式深松机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深松部件2、3个；深松铲结构型式：凿铲式；铲间距≥180mm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w:t>
            </w:r>
          </w:p>
        </w:tc>
        <w:tc>
          <w:tcPr>
            <w:tcW w:w="16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凿铲式深松机档次的深松铲结构型式既包含凿铲式的单一型式，也包含凿铲式和偏柱式的混合型式，相关产品均可按深松部件和铲间距要求投档</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4-5铲凿铲式深松机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深松部件4、5个；深松铲结构型式：凿铲式；铲间距≥180mm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1300</w:t>
            </w:r>
          </w:p>
        </w:tc>
        <w:tc>
          <w:tcPr>
            <w:tcW w:w="16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6铲及以上凿铲式深松机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深松部件6个及以上；深松铲结构型式：凿铲式；铲间距≥180mm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w:t>
            </w:r>
          </w:p>
        </w:tc>
        <w:tc>
          <w:tcPr>
            <w:tcW w:w="16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2-3铲偏柱式、全方位式深松机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深松部件2、3个；深松铲结构型式：偏柱式或全方位式；铲间距≥330mm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4-5铲偏柱式、全方位式深松机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深松部件4、5个；深松铲结构型式：偏柱式或全方位式；铲间距≥330mm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6铲及以上偏柱式、全方位式深松机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深松部件6个及以上；深松铲结构型式：偏柱式或全方位式；铲间距≥330mm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微型耕耘机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功率2-4kW微型耕耘机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发动机燃油种类：柴油或汽油； 2.0≤发动机标定功率＜4.0kW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590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微型耕耘机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功率4.0kW及以上汽油机微型耕耘机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发动机燃油种类：汽油；发动机标定功率≥4.0kW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640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耕地机械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微型耕耘机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功率4.0kW及以上柴油机微型耕耘机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发动机燃油种类：柴油；发动机标定功率≥4.0kW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890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6行及以下条播机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播种行数≤6 行；作业幅宽≥1m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740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7-11行条播机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7行≤播种行数≤11行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840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12-18行条播机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12行≤播种行数≤18行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19-24行条播机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19行≤播种行数≤24行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3510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25行及以上条播机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播种行数≥25 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6行及以下免（少）耕条播机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播种行数≤6行；作业幅宽≥1m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790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7-11行免耕（少）条播机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7行≤播种行数≤11行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2250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12-18行免（少）耕条播机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12行≤播种行数≤18行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3330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19-24行免（少）耕条播机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19行≤播种行数≤24行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条播机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25行及以上免（少）耕条播机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播种行数≥25行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2-3行穴播机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播种行数2、3行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4-5行穴播机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播种行数4、5行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6行及以上穴播机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播种行数≥6行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2-3行免（少）耕穴播机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播种行数2、3行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840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4-5行免（少）耕穴播机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播种行数4、5行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1470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穴播机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6行及以上免（少）耕穴播机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播种行数≥6行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2520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2-3行机械式精量播种机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结构型式：机械式；播种行数2、3行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790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普通精量播种机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4-5行机械式精量播种机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结构型式：机械式；播种行数4、5行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普通精量播种机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6-10行机械式精量播种机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结构型式：机械式；6行≤播种行数≤10行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普通精量播种机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11行及以上机械式精量播种机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结构型式：机械式；播种行数≥11行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普通精量播种机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 行免（少）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耕单粒（精密） 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播种行数2、3行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840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普通精量播种机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 行免（少）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耕单粒（精密）</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播种行数4、5行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1070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普通精量播种机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6—10 行免</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（少）耕单粒</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（精密）播种机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 行≤播种行数≤10 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3560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普通精量播种机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 行及以上免</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（少）耕单粒</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（精密）播种机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播种行数≥11 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普通精量播种机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 行高性能单粒（精密）播种机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 2、3行；排种器数量≥2个；单体结构质量≥110kg；排种器型式：指夹式、气力式；指夹式最低作业速度≥6km/h，气力式最低作业速度≥8km/h；单体独立同步仿形；独立无级或多级镇压机构</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高性能单</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粒（精密）</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 行高性能单粒（精密）播种机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播种行数4、5行；排种器数量≥4个；单体结构质量≥110kg；排种器型式：指夹式、气力式；指夹式最低作业速度≥6km/h，气力式最低作业速度≥8km/h；单体独立同步仿形；独立无级或多级镇压机构</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高性能单</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粒（精密）</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6—10 行高性能单粒（精密） 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 行≤播种行数≤10行；排种器数量≥6个；单体结构质量≥110kg；排种器型式： 指夹式、气力式；指夹式最低作业速度≥6km/h,气力式最低作业速度≥8km/h；单体独立同步仿形；独立无级或多级镇压机构</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高性能单</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粒（精密）</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 行及以上高性能单粒（精密）播种机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播种行数≥11 行；排种器数量≥11 个；单体结构质量≥110kg；排种器型式：指夹式、气力式；指夹式最低作业速度≥6km/h,气力式最低作业速度≥8km/h；单体独立同步仿形；独立无级或多级镇压机构</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高性能单</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粒（精密）</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 行高性能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免耕单粒（精</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 2、3 行；排种器数量≥2 个；单体结构质量≥110kg；排种器型式：指夹式、气力式；指夹式最低作业速度≥6km/h,气力式最低作业速度≥8km/h；单体独立同步仿形；独立无级或多级镇压机构；独立防缠绕式破茬清垄机构</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高性能单</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粒（精密）</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 行高性能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免耕单粒（精</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 4、5 行；排种器数量≥4 个；单体结构质量≥110kg；排种器型式：指夹式、气力式；指夹式最低作业速度≥6km/h,气力式最低作业速度≥8km/h；单体独立同步仿形；独立无级或多级镇压机构；独立防缠绕式破茬清垄机构</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高性能单</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粒（精密）</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6—10 行高性能免耕单粒（精密）播种机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 行≤播种行数≤10行；排种器数量≥6个；单体结构质量≥110kg；排种器型式：指夹式、气力式；指夹式最低作业速度≥6km/h,气力式最低作业速度≥8km/h；单体独立同步仿形；独立无级或多级镇压机构；独立防缠绕式破茬清垄机构</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29100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高性能单</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粒（精密）</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 行及以上高</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性能免耕单粒</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（精密）播种机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播种行数≥11 行；排种器数量≥11 个；单体结构质量≥110kg；排种器型式：指夹式、气力式；指夹式最低作业速度≥6km/h,气力式最低作业速度≥8km/h；单体独立同步仿形；独立无级或多级镇压机构；独立防缠绕式破茬清垄机构</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高性能单</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粒（精密）</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 行高性能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电驱单粒（精</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4、5行；排种器数量≥4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高性能单</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粒（精密）</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6—10 行高性</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能电驱单粒（精</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行≤播种行数≤10行；排种器数量≥6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32700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单粒（精密）播种机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 行及以上高</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性能电驱单粒</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（精密）播种机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11行；排种器数量≥11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51600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根(块)茎种子播种机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2-3行根茎作物播种机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2行≤播种行数≤3行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1950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根(块)茎种子播种机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4行及以上根茎作物播种机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播种行数≥4行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耕整地播种作业机械（可含施肥功能）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旋耕播种机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工作幅宽 2—3m 驱动耙播种机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2m≤工作幅宽＜3m；工作行数≥16行；最低作业速度≥8km/h；耙组数量≥8组；20cm≤耙齿间距≤30cm；单体独立仿形；结构型式：驱动耙播；播前播后双镇压机构</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小麦高性能播种机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耕整地播种作业机械（可含施肥功能）</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旋耕播种机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工作幅宽 3m 及以上驱动耙播种机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工作幅宽≥3m；工作行数≥20行；最低作业速度≥8km/h；耙组数量≥10组；20cm≤耙齿间距≤30cm；单体独立仿形；结构型式：驱动耙播；播前播后双镇压机构</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小麦高性能播种机</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栽植机械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插秧机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6行及以上独轮乘坐式水稻插秧机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独轮乘坐式；6行及以上</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栽植机械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插秧机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4-5行四轮乘坐式水稻插秧机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四轮乘坐式；4、5行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11100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栽植机械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插秧机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6-7行四轮乘坐式水稻插秧机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四轮乘坐式；6、7行</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种植施肥机械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栽植机械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插秧机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8行及以上四轮乘坐式水稻插秧机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四轮乘坐式；8行及以上</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29100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中耕机械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田园管理机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功率4.0kW以下田园管理机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配套功率＜4kW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490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中耕机械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田园管理机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功率4.0kW及以上田园管理机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配套功率≥4kW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560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4-12m悬挂式喷杆喷雾机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4m≤喷杆长度</w:t>
            </w:r>
            <w:bookmarkStart w:id="7" w:name="OLE_LINK5"/>
            <w:r>
              <w:rPr>
                <w:rFonts w:hint="eastAsia" w:ascii="宋体" w:hAnsi="宋体" w:cs="宋体"/>
                <w:snapToGrid w:val="0"/>
                <w:color w:val="000000"/>
                <w:kern w:val="0"/>
                <w:sz w:val="18"/>
                <w:szCs w:val="18"/>
                <w:lang w:bidi="ar"/>
              </w:rPr>
              <w:t>＜</w:t>
            </w:r>
            <w:bookmarkEnd w:id="7"/>
            <w:r>
              <w:rPr>
                <w:rFonts w:hint="eastAsia" w:ascii="宋体" w:hAnsi="宋体" w:cs="宋体"/>
                <w:snapToGrid w:val="0"/>
                <w:color w:val="000000"/>
                <w:kern w:val="0"/>
                <w:sz w:val="18"/>
                <w:szCs w:val="18"/>
                <w:lang w:bidi="ar"/>
              </w:rPr>
              <w:t>12m；药箱≥400L；型式：悬挂式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780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12-18m悬挂式喷杆喷雾机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12m≤喷杆长度＜18m；药箱≥600L；型式：悬挂式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18m及以上悬挂式喷杆喷雾机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喷杆长度≥18m；药箱≥800L；型式：悬挂式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18m及以上牵引式喷杆喷雾机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喷杆长度≥18m；药箱≥2000L；型式：牵引式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11-18马力自走式两轮转向喷杆喷雾机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11马力≤功率＜18马力；药箱≥200L；喷杆长度≥8m；离地间隙≥0.8m；型式：自走式；两轮驱动、四轮驱动；两轮转向</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18-50马力自走式两轮转向喷杆喷雾机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18马力≤功率＜50马力；药箱≥400L；喷杆长度≥8m；离地间隙≥0.8m；型式：自走式；两轮驱动、四轮驱动；两轮转向</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50-100马力自走式两轮转向喷杆喷雾机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50马力≤功率＜100马力；药箱≥700L；喷杆长度≥10m；离地间隙≥0.8m；型式：自走式；两轮驱动、四轮驱动；两轮转向</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100马力及以上自走式两轮转向喷杆喷雾机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功率≥100马力；药箱≥1000L；喷杆长度≥20m；离地间隙≥0.8m；型式：自走式；两轮驱动、四轮驱动；两轮转向</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11-18马力自走式四轮转向喷杆喷雾机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11马力≤功率＜18马力；药箱≥200L；喷杆长度≥8m；离地间隙≥0.8m；型式：自走式；四轮驱动；四轮转向</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18-50马力自走式四轮转向喷杆喷雾机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18马力≤功率＜50马力；药箱≥400L；喷杆长度≥8m；离地间隙≥0.8m；型式：自走式；四轮驱动；四轮转向</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50-100马力自走式四轮转向喷杆喷雾机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50马力≤功率＜100马力；药箱≥700L；喷杆长度≥10m；离地间隙≥0.8m；型式：自走式；四轮驱动；四轮转向</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100马力及以上自走式四轮转向喷杆喷雾机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功率≥100马力；药箱≥1000L；喷杆长度≥20m；离地间隙≥0.8m；型式：自走式；四轮驱动；四轮转向</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风机叶轮直径330mm 及以上风送喷雾机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风机叶轮直径≥330mm；药箱额定容量≥500L；水平射程或喷幅≥10m；结构型式：牵引式、车载式或自走式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风机叶轮直径480mm 及以上风送喷雾机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风机叶轮直径≥480mm；药箱额定容量≥1000L；水平射程或喷幅≥15.3m；结构型式：牵引式、车载式或自走式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风机叶轮直径800mm 及以上风送喷雾机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风机叶轮直径≥800mm；药箱额定容量≥1200L；水平射程或喷幅≥19.6m；结构型式：牵引式、车载式或自走式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遥控电动自走式风送喷雾机（行走动力和风机动力均由电动机提供，不配置柴油或汽油机）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行走电机功率≥0.6kW；药箱容积≥120L；水平射程或喷幅≥10m；锂电池电能容量≥2000VAh；遥控自走式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自走式大豆玉米复合种植喷杆喷雾机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功率≥18马力；喷杆长度≥1850mm；离地间隙≥400mm；防飘喷头；雾滴隔离效果：漂移雾滴密度≤5 个/cm²；型式：四轮自走式；药箱（水箱）总容量≥600L；喷雾系统配置：双喷雾系统或在线混药系统, 具有明显的区分识别标识；搅拌装置：药箱内部应安装搅拌装置；有隔离防护装置,且应垂直于地面并与机具行驶方向平行,前后宽度不小于500mm，大豆玉米带间隔离防护装置底端应贴地面；工作幅宽（全部）：</w:t>
            </w:r>
            <w:r>
              <w:rPr>
                <w:rFonts w:hint="eastAsia" w:ascii="宋体" w:hAnsi="宋体" w:cs="宋体"/>
                <w:snapToGrid w:val="0"/>
                <w:color w:val="000000"/>
                <w:kern w:val="0"/>
                <w:sz w:val="18"/>
                <w:szCs w:val="18"/>
                <w:highlight w:val="none"/>
                <w:lang w:bidi="ar"/>
              </w:rPr>
              <w:t>适用于</w:t>
            </w:r>
            <w:r>
              <w:rPr>
                <w:rFonts w:hint="eastAsia" w:ascii="宋体" w:hAnsi="宋体" w:cs="宋体"/>
                <w:snapToGrid w:val="0"/>
                <w:color w:val="000000"/>
                <w:kern w:val="0"/>
                <w:sz w:val="18"/>
                <w:szCs w:val="18"/>
                <w:lang w:bidi="ar"/>
              </w:rPr>
              <w:t>1个复合种植单元</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通过试验验证，明示适应的种植模式，满足农艺要求</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10-20L多旋翼植保无人驾驶航空器</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10L≤药液箱额定容量＜20L；多旋翼；电动、油动、油电混动；电动须配置智能电池系统，含智能电池2组及以上；具有避障系统；具有RTK 的高精度卫星导航定位系统</w:t>
            </w:r>
            <w:bookmarkStart w:id="8" w:name="OLE_LINK6"/>
            <w:r>
              <w:rPr>
                <w:rFonts w:hint="eastAsia" w:ascii="宋体" w:hAnsi="宋体" w:cs="宋体"/>
                <w:snapToGrid w:val="0"/>
                <w:color w:val="000000"/>
                <w:kern w:val="0"/>
                <w:sz w:val="18"/>
                <w:szCs w:val="18"/>
                <w:lang w:bidi="ar"/>
              </w:rPr>
              <w:t>（</w:t>
            </w:r>
            <w:bookmarkEnd w:id="8"/>
            <w:r>
              <w:rPr>
                <w:rFonts w:hint="eastAsia" w:ascii="宋体" w:hAnsi="宋体" w:cs="宋体"/>
                <w:snapToGrid w:val="0"/>
                <w:color w:val="000000"/>
                <w:kern w:val="0"/>
                <w:sz w:val="18"/>
                <w:szCs w:val="18"/>
                <w:lang w:bidi="ar"/>
              </w:rPr>
              <w:t>卫星接收机板卡类型及频点：北斗信号</w:t>
            </w:r>
            <w:bookmarkStart w:id="9" w:name="OLE_LINK7"/>
            <w:r>
              <w:rPr>
                <w:rFonts w:hint="eastAsia" w:ascii="宋体" w:hAnsi="宋体" w:cs="宋体"/>
                <w:snapToGrid w:val="0"/>
                <w:color w:val="000000"/>
                <w:kern w:val="0"/>
                <w:sz w:val="18"/>
                <w:szCs w:val="18"/>
                <w:lang w:bidi="ar"/>
              </w:rPr>
              <w:t>）</w:t>
            </w:r>
            <w:bookmarkEnd w:id="9"/>
            <w:r>
              <w:rPr>
                <w:rFonts w:hint="eastAsia" w:ascii="宋体" w:hAnsi="宋体" w:cs="宋体"/>
                <w:snapToGrid w:val="0"/>
                <w:color w:val="000000"/>
                <w:kern w:val="0"/>
                <w:sz w:val="18"/>
                <w:szCs w:val="18"/>
                <w:lang w:bidi="ar"/>
              </w:rPr>
              <w:t>；具有电子围栏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6000</w:t>
            </w:r>
          </w:p>
        </w:tc>
        <w:tc>
          <w:tcPr>
            <w:tcW w:w="1666" w:type="dxa"/>
            <w:vMerge w:val="restart"/>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1.多旋翼植保无人驾驶航空器是由两个以上旋翼（含两个）组成，通过多个旋翼在空气中旋转产生升力和拉力实现</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飞行并进行施药作业的无人飞机。</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2.智能电池系统由智能</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电池和智能电池充电器</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组成，具备过充保护、</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过放保护、短路保护和</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充放电使用次数显示等</w:t>
            </w:r>
            <w:r>
              <w:rPr>
                <w:rFonts w:hint="eastAsia"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功能。</w:t>
            </w:r>
            <w:r>
              <w:rPr>
                <w:rFonts w:ascii="宋体" w:hAnsi="宋体" w:cs="宋体"/>
                <w:snapToGrid w:val="0"/>
                <w:color w:val="000000"/>
                <w:kern w:val="0"/>
                <w:sz w:val="13"/>
                <w:szCs w:val="13"/>
                <w:lang w:bidi="ar"/>
              </w:rPr>
              <w:br w:type="textWrapping"/>
            </w:r>
            <w:r>
              <w:rPr>
                <w:rFonts w:hint="eastAsia" w:ascii="宋体" w:hAnsi="宋体" w:cs="宋体"/>
                <w:snapToGrid w:val="0"/>
                <w:color w:val="000000"/>
                <w:kern w:val="0"/>
                <w:sz w:val="13"/>
                <w:szCs w:val="13"/>
                <w:lang w:bidi="ar"/>
              </w:rPr>
              <w:t>3.避障系统是指通过雷达或多目视觉等传感器主动检测障碍物并能实时规避的系统，通常有前避障、前后避障或绕障，不含使用航线规划绕障。</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20-30L多旋翼植保无人驾驶航空器</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20L≤药液箱额定容量＜30L；多旋翼；电动、油动、油电混动；电动须配置智能电池系统，含智能电池2组及以上；具有避障系统；具有RTK 的高精度卫星导航定位系统（卫星接收机板卡类型及频点：北斗信号）；具有电子围栏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9000</w:t>
            </w:r>
          </w:p>
        </w:tc>
        <w:tc>
          <w:tcPr>
            <w:tcW w:w="16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30-50L多旋翼植保无人驾驶航空器</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30L≤药液箱额定容量＜50L；多旋翼；电动、油动、油电混动；电动须配置智能电池系统，含智能电池2组及以上；具有避障系统；具有RTK 的高精度卫星导航定位系统</w:t>
            </w:r>
            <w:bookmarkStart w:id="10" w:name="OLE_LINK8"/>
            <w:r>
              <w:rPr>
                <w:rFonts w:hint="eastAsia" w:ascii="宋体" w:hAnsi="宋体" w:cs="宋体"/>
                <w:snapToGrid w:val="0"/>
                <w:color w:val="000000"/>
                <w:kern w:val="0"/>
                <w:sz w:val="18"/>
                <w:szCs w:val="18"/>
                <w:lang w:bidi="ar"/>
              </w:rPr>
              <w:t>（</w:t>
            </w:r>
            <w:bookmarkEnd w:id="10"/>
            <w:r>
              <w:rPr>
                <w:rFonts w:hint="eastAsia" w:ascii="宋体" w:hAnsi="宋体" w:cs="宋体"/>
                <w:snapToGrid w:val="0"/>
                <w:color w:val="000000"/>
                <w:kern w:val="0"/>
                <w:sz w:val="18"/>
                <w:szCs w:val="18"/>
                <w:lang w:bidi="ar"/>
              </w:rPr>
              <w:t>卫星接收机板卡类型及频点：北斗信号）；具有电子围栏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12000</w:t>
            </w:r>
          </w:p>
        </w:tc>
        <w:tc>
          <w:tcPr>
            <w:tcW w:w="16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50L及以上多旋翼植保无人驾驶航空器</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药液箱额定容量≥50L；多旋翼；电动、油动、油电混动；电动须配置智能电池系统，含智能电池2组及以上；具有避障系统；具有RTK 的高精度卫星导航定位系统（卫星接收机板卡类型及频点：北斗信号）；具有电子围栏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14400</w:t>
            </w:r>
          </w:p>
        </w:tc>
        <w:tc>
          <w:tcPr>
            <w:tcW w:w="166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15L—25L单旋翼植保无人驾驶航空器</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L≤药液箱额定容量＜25L；单旋翼；电动、油动、油电混动；电动须配置智能电池系统，含智能电池2组及以上；具有避障系统；具有RTK的高精度卫星导航定位系统（卫星接收机板卡类型及频点：北斗信号）；具有电子围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植保机械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农用（植保）无人驾驶航空器</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25L及以上单旋翼植保无人驾驶航空器</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药液箱额定容量≥25L；单旋翼；电动、油动、油电混动；电动须配置智能电池系统，含智能电池2组及以上；具有避障系统；具有RTK的高精度卫星导航定位系统</w:t>
            </w:r>
            <w:bookmarkStart w:id="11" w:name="OLE_LINK9"/>
            <w:r>
              <w:rPr>
                <w:rFonts w:hint="eastAsia" w:ascii="宋体" w:hAnsi="宋体" w:cs="宋体"/>
                <w:snapToGrid w:val="0"/>
                <w:color w:val="000000"/>
                <w:kern w:val="0"/>
                <w:sz w:val="18"/>
                <w:szCs w:val="18"/>
                <w:lang w:bidi="ar"/>
              </w:rPr>
              <w:t>（</w:t>
            </w:r>
            <w:bookmarkEnd w:id="11"/>
            <w:r>
              <w:rPr>
                <w:rFonts w:hint="eastAsia" w:ascii="宋体" w:hAnsi="宋体" w:cs="宋体"/>
                <w:snapToGrid w:val="0"/>
                <w:color w:val="000000"/>
                <w:kern w:val="0"/>
                <w:sz w:val="18"/>
                <w:szCs w:val="18"/>
                <w:lang w:bidi="ar"/>
              </w:rPr>
              <w:t>卫星接收机板卡类型及频点：北斗信号</w:t>
            </w:r>
            <w:bookmarkStart w:id="12" w:name="OLE_LINK10"/>
            <w:r>
              <w:rPr>
                <w:rFonts w:hint="eastAsia" w:ascii="宋体" w:hAnsi="宋体" w:cs="宋体"/>
                <w:snapToGrid w:val="0"/>
                <w:color w:val="000000"/>
                <w:kern w:val="0"/>
                <w:sz w:val="18"/>
                <w:szCs w:val="18"/>
                <w:lang w:bidi="ar"/>
              </w:rPr>
              <w:t>）</w:t>
            </w:r>
            <w:bookmarkEnd w:id="12"/>
            <w:r>
              <w:rPr>
                <w:rFonts w:hint="eastAsia" w:ascii="宋体" w:hAnsi="宋体" w:cs="宋体"/>
                <w:snapToGrid w:val="0"/>
                <w:color w:val="000000"/>
                <w:kern w:val="0"/>
                <w:sz w:val="18"/>
                <w:szCs w:val="18"/>
                <w:lang w:bidi="ar"/>
              </w:rPr>
              <w:t>；具有电子围栏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修剪防护管理机械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枝条切碎机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固定式枝条切碎机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功率≥5kW；切削直径≥5cm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修剪防护管理机械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枝条切碎机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1.3t/h及以上锤片式枝条切碎机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电机功率≥25kW（柴油机≥34马力）；机腔宽度≥25cm；木材进口尺寸≥25×25cm；主轴转速≥2500r/min，带移动脚轮</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1965</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田间管理机械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修剪防护管理机械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枝条切碎机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7-10cm固定式枝条切碎机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7cm≤粉碎最大直径＜10cm；粉碎效果：片状1-2cm；粒状可直接还田</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灌溉机械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喷灌机械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喷灌机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管径65mm以下卷盘式喷灌机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卷盘式：管径＜65mm；有效喷洒长度≥150m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灌溉机械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喷灌机械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喷灌机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管径65-75mm卷盘式喷灌机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卷盘式；65mm≤管径＜75mm；有效喷洒长度≥150m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灌溉机械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喷灌机械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喷灌机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管径75-85mm卷盘式喷灌机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卷盘式；75mm≤管径＜85mm；有效喷洒长度≥150m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灌溉机械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喷灌机械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喷灌机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管径85mm及以上卷盘式喷灌机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卷盘式；管径≥85mm；有效喷洒长度≥150m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1-3kg/s 自走轮式谷物联合收割机（含自走半履带式）</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1kg/s≤喂入量＜3kg/s；自走轮式（含自走半履带式）；喂入方式：全喂入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3-5kg/s 自走轮式谷物联合收割机（含自走半履带式）</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3kg/s≤喂入量＜5kg/s；自走轮式（含自走半履带式）；喂入方式：全喂入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5-7kg/s 自走轮式谷物联合收割机（含自走半履带式）</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5kg/s≤喂入量＜7kg/s；自走轮式（含自走半履带式）；喂入方式：全喂入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7kg/s 及以上自走轮式谷物联合收割机（含自走半履带式）</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喂入量≥7kg/s；自走轮式（含自走半履带式）；喂入方式：全喂入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12kg/s 及以上自走轮式谷物联合收割机（含自走半履带式）</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喂入量≥12kg/s；自走轮式（含自走半履带式）；喂入方式：全喂入；幅宽≥4.5m；配套动力≥161.8kW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68000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12kg/s 及以上辅助驾驶自走轮式谷物联合收割机（含自走半履带式）</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喂入量≥12kg/s；自走轮式（含自走半履带式）；喂入方式：全喂入；幅宽≥4.5m；配套动力≥161.8kW；前装辅助驾驶（系统）设备（卫星接收机板卡类型及频点：北斗信号）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71000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0.6-1kg/s自走履带式谷物联合收割机（全喂入），包含1-1.5kg/s自走履带式水稻联合收割机（全喂入）</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0.6kg/s≤喂入量＜1kg/s，1kg/s≤水稻机喂入量＜1.5kg/s；自走履带式；喂入方式：全喂入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1-1.5kg/s自走履带式谷物联合收割机（全喂入），包含1.5-2.1kg/s自走履带式水稻联合收割机（全喂入）</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1kg/s≤喂入量＜1.5kg/s，1.5kg/s≤水稻机喂入量＜2.1kg/s；自走履带式；喂入方式：全喂入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1.5-2.1kg/s自走履带式谷物联合收割机（全喂入），包含2.1-3kg/s自走履带式水稻联合收割机（全喂入）</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1.5kg/s≤喂入量＜2.1kg/s，2.1kg/s≤水稻机喂入量＜3kg/s；自走履带式；喂入方式：全喂入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2.1-3kg/s自走履带式谷物联合收割机（全喂入），包含3-4kg/s自走履带式水稻联合收割机（全喂入）</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2.1kg/s≤喂入量＜3kg/s，3kg/s≤水稻机喂入量＜4kg/s；自走履带式；喂入方式：全喂入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3-4kg/s自走履带式谷物联合收割机（全喂入），包含4kg/s及以上自走履带式水稻联合收割机（全喂入）</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3kg/s≤喂入量＜4kg/s，水稻机喂入量≥4kg/s；自走履带式；喂入方式：全喂入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4-6kg/s 自走履带式谷物联合收割机（全喂入），包含6kg/s 及以上自走履带式水稻联合收割机（全喂入）</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4kg/s≤喂入量＜6kg/s，水稻机喂入量≥6kg/s；自走履带式；喂入方式：全喂入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6kg/s 及以上自走履带式谷物联合收割机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（全喂入）</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喂入量≥6kg/s；自走履带式；喂入方式：全喂入</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6kg/s 及以上辅助驾驶自走履带式谷物联合收割机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（全喂入）</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喂入量≥6kg/s；自走履带式；喂入方式：全喂入；前装辅助驾驶（系统）设备（卫星接收机板卡类型及频点：北斗信号）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43300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3行35马力及以上半喂入联合收割机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收获行数：3行；喂入方式：半喂入；功率≥35马力</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谷物联合收割机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4行及以上35马力及以上半喂入联合收割机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收获行数≥4行；喂入方式：半喂入；功率≥35马力</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39400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2行摘穗剥皮型自走式玉米收获机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2行割台；1m≤工作幅宽＜1.6m；型式：自走式（摘穗剥皮型）</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3行摘穗剥皮型自走式玉米收获机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3行割台；1.6m≤工作幅宽＜2.2m；型式：自走式（摘穗剥皮型）</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40100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4行摘穗剥皮型自走式玉米收获机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4行割台；2.2m≤工作幅宽＜2.8m；型式：自走式（摘穗剥皮型）</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57700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5行及以上摘穗剥皮型自走式玉米收获机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5行及以上割台；工作幅宽≥2.8m；型式：自走式（摘穗剥皮型）</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67600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3行及以上摘穗剥皮型自走式玉米收获机（窄行距）</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3行及以上割台；1m≤工作幅宽＜1.6m；型式：自走式（摘穗剥皮型）</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4行及以上摘穗剥皮型自走式玉米收获机（窄行距）</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4行及以上割台；1.6m≤工作幅宽＜2.2m；型式：自走式（摘穗剥皮型）</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40100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5行及以上摘穗剥皮型自走式玉米收获机（窄行距）</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5行及以上割台；2.2m≤工作幅宽＜2.8m；型式：自走式（摘穗剥皮型）</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57700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4行自走式玉米籽粒联合收获机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4行割台；2.2m≤工作幅宽＜2.8m；型式：自走式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5行及以上自走式玉米籽粒联合收获机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5行及以上割台；工作幅宽≥2.8m；型式：自走式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68000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5行及以上辅助驾驶自走式玉米籽粒联合收获机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5行及以上割台；工作幅宽≥2.8m；型式：自走式；前装辅助驾驶（系统）设备（卫星接收机板卡类型及频点：北斗信号）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71000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5行及以上自走式玉米籽粒联合收获机（窄行距）</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5行及以上割台；2.2m≤工作幅宽＜2.8m；型式：自走式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42900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2行穗茎兼收玉米收获机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2行割台；1m≤工作幅宽＜1.6m；型式：自走式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3行穗茎兼收玉米收获机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3行割台；1.6m≤工作幅宽＜2.2m；型式：自走式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45100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4行穗茎兼收玉米收获机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4行割台；2.2m≤工作幅宽＜2.8m；型式：自走式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62900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5行及以上穗茎兼收玉米收获机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5行及以上割台；工作幅宽≥2.8m；型式：自走式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72100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3行及以上穗茎兼收玉米收获机（窄行距）</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3行及以上割台；1m≤幅宽＜1.6m；型式：自走式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4行及以上穗茎兼收玉米收获机（窄行距）</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4行及以上割台；1.6m≤幅宽＜2.2m；型式：自走式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45100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玉米收获机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5行及以上穗茎兼收玉米收获机（窄行距）</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5行及以上割台；2.2m≤幅宽＜2.8m；型式：自走式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62900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500mm及以上</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手扶直联薯类挖掘机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工作幅宽≥500mm；收获型式：挖掘机；结构型式：手扶直联式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700—1000mm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薯类挖掘机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700mm≤工作幅宽＜1000mm；收获型式：挖掘机；结构型式：悬挂式、牵引式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1000—1500mm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薯类挖掘机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1000mm≤工作幅宽＜1500mm；收获型式：挖掘机；结构型式：悬挂式、牵引式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1500—1700mm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薯类挖掘机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1500mm≤工作幅宽＜1700mm；收获型式：挖掘机；结构型式：悬挂式、牵引式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1700mm及以上薯类挖掘机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工作幅宽≥1700mm；收获型式：挖掘机；结构型式：悬挂式、牵引式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1500mm及以上自走式薯类捡拾机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工作幅宽≥1500mm；收获型式：捡拾机；结构型式：自走式；发动机额定功率≥88.2kW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700-000mm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牵引式薯类联合收获机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700mm≤工作幅宽＜1000mm；收获型式：联合收获机；结构型式：牵引式；配置清选分离装置；卸薯方式：即时装袋或集中装车</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1000-1500mm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牵引式薯类联合收获机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1000mm≤工作幅宽＜1500mm；收获型式：联合收获机；结构型式：牵引式；配置清选分离装置；卸薯方式：即时装袋或集中装车</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1500mm及以上牵引式薯类联合收获机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工作幅宽≥1500mm；收获型式：联合收获机；结构型式：牵引式；配置清选分离装置；卸薯方式：即时装袋或集中装车</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44000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700-1000mm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自走式薯类联合收获机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700mm≤工作幅宽＜1000mm；收获型式：联合收获机；结构型式：自走式；发动机额定功率≥25.8kW；配置清选分离装置；卸薯方式：即时装袋或集中装车</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1000-1500mm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自走式薯类联合收获机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1000mm≤工作幅宽＜1500mm；收获型式：联合收获机；结构型式：自走式；发动机额定功率≥66.1kW；配置清选分离装置；卸薯方式：即时装袋或集中装车</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1500mm及以上自走式薯类联合收获机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工作幅宽≥1500mm；收获型式：联合收获机；结构型式：自走式；发动机额定功率≥88.2kW；配置清选分离装置；卸薯方式：即时装袋或集中装车</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1-3kg/s 自走轮式大豆收获机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结构型式：自走轮式，全喂入；1kg/s≤喂入量＜3kg/s；拨禾轮型式：弹齿式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3-5kg/s 自走轮式大豆收获机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结构型式：自走轮式，全喂入；3kg/s≤喂入量＜5kg/s；拨禾轮型式：弹齿式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5-7kg/s 自走轮式大豆收获机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结构型式：自走轮式，全喂入；5kg/s≤喂入量＜7kg/s；拨禾轮型式：弹齿式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7-12kg/s 自走轮式大豆收获机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结构型式：自走轮式，全喂入；7kg/s≤喂入量＜12kg/s；拨禾轮型式：弹齿式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12kg/s及以上自走轮式大豆收获机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结构型式：自走轮式，全喂入；喂入量≥12kg/s；拨禾轮型式：弹齿式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68000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12kg/s及以上</w:t>
            </w:r>
            <w:bookmarkStart w:id="13" w:name="OLE_LINK11"/>
            <w:r>
              <w:rPr>
                <w:rFonts w:hint="eastAsia" w:ascii="宋体" w:hAnsi="宋体" w:cs="宋体"/>
                <w:snapToGrid w:val="0"/>
                <w:color w:val="000000"/>
                <w:kern w:val="0"/>
                <w:sz w:val="18"/>
                <w:szCs w:val="18"/>
                <w:lang w:bidi="ar"/>
              </w:rPr>
              <w:t>辅助驾驶</w:t>
            </w:r>
            <w:bookmarkEnd w:id="13"/>
            <w:r>
              <w:rPr>
                <w:rFonts w:hint="eastAsia" w:ascii="宋体" w:hAnsi="宋体" w:cs="宋体"/>
                <w:snapToGrid w:val="0"/>
                <w:color w:val="000000"/>
                <w:kern w:val="0"/>
                <w:sz w:val="18"/>
                <w:szCs w:val="18"/>
                <w:lang w:bidi="ar"/>
              </w:rPr>
              <w:t>自走轮式大豆收获机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结构型式：自走轮式，全喂入；喂入量≥12kg/s；拨禾轮型式：弹齿式；前装辅助驾驶（系统）设备（卫星接收机板卡类型及频点：北斗信号）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71000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0.6-1kg/s自走履带式大豆收获机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结构型式：自走履带式，全喂入；0.6kg/s≤喂入量＜1kg/s；拨禾轮型式：弹齿式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1-1.5kg/s自走履带式大豆收获机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结构型式：自走履带式，全喂入；1kg/s≤喂入量＜1.5kg/s；拨禾轮型式：弹齿式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1.5-2.1kg/s自走履带式大豆收获机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结构型式：自走履带式，全喂入；1.5kg/s≤喂入量＜2.1kg/s；拨禾轮型式：弹齿式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2.1-3kg/s自走履带式大豆收获机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结构型式：自走履带式，全喂入；2.1kg/s≤喂入量＜3kg/s；拨禾轮型式：弹齿式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3-4kg/s自走履带式大豆收获机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结构型式：自走履带式，全喂入；3kg/s≤喂入量＜4kg/s；拨禾轮型式：弹齿式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4-6kg/s自走履带式大豆收获机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结构型式：自走履带式，全喂入；4kg/s≤喂入量＜6kg/s；拨禾轮型式：弹齿式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6kg/s及以上自走履带式大豆收获机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结构型式：自走履带式，全喂入；喂入量≥6kg/s；拨禾轮型式：弹齿式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6kg/s及以上辅助驾驶自走履带式大豆收获机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结构型式：自走履带式，全喂入；喂入量≥6kg/s；拨禾轮型式：弹齿式前装辅助驾驶（系统）设备（卫星接收机板卡类型及频点：北斗信号）</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43300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花生收获机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配套动力11-15kW花生摘果机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花生摘果机，11kW≤配套动力＜15kW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油料作物收获机械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花生收获机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配套动力15kW及以上花生摘果机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花生摘果机，配套动力≥15kW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秸秆收集处理机械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秸秆粉碎还田机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1-1.5m秸秆粉碎还田机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1m≤作业幅宽</w:t>
            </w:r>
            <w:bookmarkStart w:id="14" w:name="OLE_LINK12"/>
            <w:r>
              <w:rPr>
                <w:rFonts w:hint="eastAsia" w:ascii="宋体" w:hAnsi="宋体" w:cs="宋体"/>
                <w:snapToGrid w:val="0"/>
                <w:color w:val="000000"/>
                <w:kern w:val="0"/>
                <w:sz w:val="18"/>
                <w:szCs w:val="18"/>
                <w:lang w:bidi="ar"/>
              </w:rPr>
              <w:t>＜</w:t>
            </w:r>
            <w:bookmarkEnd w:id="14"/>
            <w:r>
              <w:rPr>
                <w:rFonts w:hint="eastAsia" w:ascii="宋体" w:hAnsi="宋体" w:cs="宋体"/>
                <w:snapToGrid w:val="0"/>
                <w:color w:val="000000"/>
                <w:kern w:val="0"/>
                <w:sz w:val="18"/>
                <w:szCs w:val="18"/>
                <w:lang w:bidi="ar"/>
              </w:rPr>
              <w:t>1.5m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秸秆收集处理机械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秸秆粉碎还田机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1.5-2m秸秆粉碎还田机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1.5m≤作业幅宽＜2m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秸秆收集处理机械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秸秆粉碎还田机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2-2.5m秸秆粉碎还田机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2m≤作业幅宽＜2.5m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秸秆收集处理机械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秸秆粉碎还田机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2.5m及以上秸秆粉碎还田机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作业幅宽≥2.5m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收获割台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大豆收获专用割台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1.5m及以上大</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豆收获专用割台</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工作幅宽≥1.5m；拨禾轮拨指材料：非金属</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收获割台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大豆收获专用割台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2.5-5m大豆收获挠性专用割台</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2.5m≤工作幅宽＜5m；结构型式：全喂入挠式；仿形机构型式：四连杆机械仿形或电液控制液压仿形；仿形量（垂直水平面方向）≥90mm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收获割台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大豆收获专用割台</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5m及以上大豆收获挠性专用割台</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工作幅宽≥5m；结构型式：全喂入挠式；仿形机构型式：四连杆机械仿形或电液控制液压仿形；仿形量（垂直水平面方向）≥90mm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收获机械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田间作业监控设备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辅助驾驶（系统）设备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农业用北斗终端</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卫星接收机板卡类型及频点：北斗信号；直线度精度≤2.5cm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搂草机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5.4m及以上指轮式液压折叠搂草机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搂幅宽度≥5.4m；液压折叠式；指轮式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4020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压缩室截面积（宽×高）0.1344㎡及以上方捆捡拾压捆机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方捆；压缩室截面积（宽×高）≥0.1344㎡；打结器数量≥2个；捡拾宽度≥1.2m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压缩室截面积（宽×高）0.154㎡及以上方捆捡拾压捆机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方捆；压缩室截面积（宽×高）≥0.154㎡；打结器数量≥2个；捡拾宽度≥1.7m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压缩室截面积（宽×高）0.162㎡及以上方捆捡拾压捆机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方捆；压缩室截面积（宽×高）≥0.162㎡；打结器数量≥2个；捡拾宽度≥2.2m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压缩室截面积（宽×高）0.1998㎡及以上方捆捡拾压捆机（3个及以上打结器）</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方捆；压缩室截面积（宽×高）≥0.1998㎡；打结器数量≥3个；捡拾宽度≥2.2m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压缩室直径0.5m及上圆捆捡拾压捆机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圆捆；压缩室直径≥0.5m；压缩室宽度≥0.7m；捡拾宽度≥0.7m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压缩室直径0.8m及以上圆捆捡拾压捆机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圆捆；压缩室直径≥0.8m；压缩室宽度≥0.8m；捡拾宽度≥1.2m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压缩室直径1m及以上圆捆捡拾压捆机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圆捆；压缩室直径≥1m；压缩室宽度≥1m；捡拾宽度≥1.7m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压缩室直径1.2m及以上圆捆捡拾压捆机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圆捆；压缩室直径≥1.2m；压缩室宽度≥1.2m；捡拾宽度≥2.2m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压缩室直径0.52m及以上圆捆压捆机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圆捆；压缩室直径≥0.52m；压缩室宽度≥0.52m；功率≥4kW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压缩室截面积（宽×高）0.081㎡及以上方捆压捆机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方捆；压缩室截面积（宽×高）≥0.081㎡；7.5kW≤功率＜15kW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压缩室截面积（宽×高）0.105㎡及以上方捆压捆机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方捆；压缩室截面积（宽×高）≥0.105㎡；功率≥15kW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压缩室截面积（宽×高）0.0936㎡及以上无打结器自动套袋方捆捡拾压捆机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方捆；压缩室截面积（宽×高）≥0.0936㎡；捡拾宽度≥1.7m；自动套袋</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压缩室截面积（宽×高）0.1344㎡及以上无打结器自动套袋方捆捡拾压捆机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方捆；压缩室截面积（宽×高）≥0.1344㎡；捡拾宽度≥2.2m；自动套袋</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打（压）捆机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压缩室直径1m及以上带割台自走式圆捆打捆机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圆捆；自走式；捡拾宽度≥1.7m；压缩室直径≥1m；压缩室宽度≥0.85m；捡拾器结构型式：圆盘式割台</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工作部件和行走装置由自带发动机驱动，并且在行走过程中利用自带收获或捡拾台等部件对作物连续完成收获、打捆作业过程的机械。</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0.9-1.1m悬挂单圆盘式青饲料收获机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悬挂单圆盘式；0.9m≤割幅＜1.1m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1.1m及以上悬挂单圆盘式青饲料收获机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悬挂单圆盘式；割幅≥1.1m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0.9-1.1m悬挂双圆盘式青饲料收获机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悬挂双圆盘式；0.9m≤割幅＜1.1m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1.1-2.1m悬挂双圆盘式青饲料收获机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悬挂双圆盘式；1.1m≤割幅＜2.1m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2.1-2.2m悬挂双圆盘式青饲料收获机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悬挂双圆盘式；2.1m≤割幅＜2.2m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2.2m及以上悬挂双圆盘式青饲料收获机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悬挂双圆盘式；割幅≥2.2m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3"/>
                <w:szCs w:val="13"/>
              </w:rPr>
            </w:pPr>
            <w:r>
              <w:rPr>
                <w:rFonts w:hint="eastAsia" w:ascii="宋体" w:hAnsi="宋体" w:cs="宋体"/>
                <w:snapToGrid w:val="0"/>
                <w:color w:val="000000"/>
                <w:kern w:val="0"/>
                <w:sz w:val="13"/>
                <w:szCs w:val="13"/>
                <w:lang w:bidi="ar"/>
              </w:rPr>
              <w:t>割台切割器型式不包含甩刀（锤爪）式。</w:t>
            </w: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2.2m及以上悬挂其他式青饲料收获机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悬挂其他式；割幅≥2.2m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1.1m及以上牵引式青饲料收获机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牵引式；割幅≥1.1m</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2-2.6m自走圆盘式青饲料收获机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自走圆盘式；2m≤割幅＜2.6m；籽粒破碎机构：无或非对辊式；配套发动机功率≥110kW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2-2.6m自走圆盘式青饲料收获机，带对辊式籽粒破碎机构</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自走圆盘式；2m≤割幅＜2.6m；籽粒破碎机构：对辊式；配套发动机功率≥115kW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73600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2.6m及以上自走圆盘</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式青饲料收获机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自走圆盘式；割幅≥2.6m；籽粒破碎机构：无或非对辊式；配套发动机功率≥130kW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101900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2.6m及以上自走圆盘</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式青饲料收获机，带对辊式籽粒破碎机构</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自走圆盘式；割幅≥2.6m；籽粒破碎机构：对辊式；配套发动机功率≥150kW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111900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1.8-2.2m自走其他式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自走其他式；1.8m≤割幅＜2.2m；籽粒破碎机构：无或非对辊式；配套发动机功率≥90kW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1.8-2.2m自走其他式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青饲料收获机，带对辊式籽粒破碎机构</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自走其他式；1.8m≤割幅＜2.2m；籽粒破碎机构：对辊式；配套发动机功率≥105kW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51300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2.2-2.6m自走其他式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自走其他式；2.2m≤割幅＜2.6m；籽粒破碎机构：无或非对辊式；配套发动机功率≥115kW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53300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2.2-2.6m自走其他式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青饲料收获机，带对辊式籽粒破碎机构</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自走其他式；2.2m≤割幅＜2.6m；籽粒破碎机构：对辊式；配套发动机功率≥115kW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59300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2.6-2.9m自走其他式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自走其他式；2.6m≤割幅＜2.9m；籽粒破碎机构：无或非对辊式；配套发动机功率≥150kW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2.6-2.9m自走其他式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青饲料收获机，带对辊式籽粒破碎机构</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自走其他式；2.6m≤割幅＜2.9m；籽粒破碎机构：对辊式；配套发动机功率≥150kW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69600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2.9m及以上自走其他</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式青饲料收获机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自走其他式；割幅≥2.9m；籽粒破碎机构：无或非对辊式；配套发动机功率≥190kW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95900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饲料（草）收获加工运输设备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饲料（草）收获机械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青（黄）饲料收获机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2.9m及以上自走其他</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式青饲料收获机，带对辊式籽粒破碎机构</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自走其他式；割幅≥2.9m；籽粒破碎机构：对辊式；配套发动机功率≥215kW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107200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1杯组手动移动式挤奶机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杯组数：1；脱杯方式：手动；型式：移动式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2杯组手动移动式挤奶机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杯组数：2；脱杯方式：手动；型式：移动式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24-40杯组鱼骨式挤奶机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24≤杯组数＜40；型式：鱼骨式；脉动器型式：电子；计量方式：电子计量；脱杯方式：自动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86250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40杯组及以上鱼骨式挤奶机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杯组数≥40；型式：鱼骨式；脉动器型式：电子；计量方式：电子计量；脱杯方式：自动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16-20杯组并列式挤奶机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16≤杯组数＜20；型式：并列式；脉动器型式：电子；计量方式：电子计量；脱杯方式：自动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20杯组及以上并列（转盘）式挤奶机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杯组数≥20；型式：并列（转盘）式；脉动器型式：电子；计量方式：电子计量；脱杯方式：自动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挤奶机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自动挤奶设备</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套杯时间≤120s</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1000-3000L非全自动清洗冷藏罐</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1000L≤容量＜3000L；清洗方式：非全自动清洗</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3000-6000L非全自动清洗冷藏罐</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3000L≤容量＜6000L；清洗方式：非全自动清洗</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6000L及以上非全自动清洗冷藏罐</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容量≥6000L；清洗方式：非全自动清洗</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1000-3000L全自动清洗冷藏罐</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1000L≤容量＜3000L；清洗方式：全自动清洗</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3000-6000L全自动清洗冷藏罐</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3000L≤容量＜6000L；清洗方式：全自动清洗</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畜禽产品采集储运设备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畜禽产品采集设备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散装乳冷藏罐</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6000L及以上全自动清洗冷藏罐</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容量≥6000L；清洗方式：全自动清洗</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水质调控设备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增氧机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普通型增氧机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普通型增氧机；配套动力≥0.5kW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水质调控设备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增氧机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微孔曝气式增氧机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曝气式增氧机；配套动力≥1kW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910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批处理量1-4t移动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式谷物烘干机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批处理量1-4t；移动式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批处理量4t及以上</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移动式谷物烘干机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批处理量≥4t；移动式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批处理量1-4t循环式谷物烘干机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1t≤批处理量＜4t；循环式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批处理量4-10t循环式谷物烘干机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4t≤批处理量＜10t；循环式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批处理量10-20t循环式谷物烘干机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10t≤批处理量＜20t；循环式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批处理量20-30t循环式谷物烘干机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20t≤批处理量＜30t；循环式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批处理量30t及以上循环式谷物烘干机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批处理量≥30t；循环式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46900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处理量20-50t/d连续式谷物烘干机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20t/d≤处理量＜50t/d；连续式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处理量50-100t/d连续式谷物烘干机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50t/d≤处理量＜100t/d；连续式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处理量 100-300t/d 连续式谷物烘干机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100t/d≤处理量＜300t/d；连续式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71200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处理量 300t/d 及以上连续式谷物烘干机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处理量≥300t/d；连续式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装载量 3-5t批式静</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态谷物烘干机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3t≤装载量＜5t；批式静态</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粮油糖初加工机械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粮食初加工机械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谷物（粮食）干燥机（烘干机）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装载量 5t及以上批式静态谷物烘干机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装载量≥5t；批式静态</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果菜茶初加工机械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果蔬冷藏保鲜设备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库容200m³以下简易保鲜储藏设备</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库容＜200m³</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65元/m³</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果菜茶初加工机械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果蔬冷藏保鲜设备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库容200-400m³简易保鲜储藏设备</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200m³≤库容＜400m³</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52元/m³</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果菜茶初加工机械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果蔬初加工机械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果蔬冷藏保鲜设备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库容400m³及以上简易保鲜储藏设备</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库容≥400m³</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42元/m³</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30-40马力两轮驱动拖拉机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30马力≤功率＜40马力；驱动方式：两轮驱动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40-50马力两轮驱动拖拉机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40马力≤功率＜50马力；驱动方式：两轮驱动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50-60马力两轮驱动拖拉机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50马力≤功率＜60马力；驱动方式：两轮驱动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60-70马力两轮驱动拖拉机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60马力≤功率＜70马力；驱动方式：两轮驱动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70-80马力两轮驱动拖拉机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70马力≤功率＜80马力；驱动方式：两轮驱动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80-90马力两轮驱动拖拉机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80马力≤功率＜90马力；驱动方式：两轮驱动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90-100马力两轮驱动拖拉机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90马力≤功率＜100马力；驱动方式：两轮驱动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100马力及以上两轮驱动拖拉机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功率≥100马力；驱动方式：两轮驱动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30-40马力四轮驱动拖拉机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30马力≤功率＜40马力；驱动方式：四轮驱动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40-50马力四轮驱动拖拉机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40马力≤功率＜50马力；驱动方式：四轮驱动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50-60马力四轮驱动拖拉机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50马力≤功率＜60马力；驱动方式：四轮驱动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60-70马力四轮驱动拖拉机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60马力≤功率＜70马力；驱动方式：四轮驱动</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70-80马力四轮驱动拖拉机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70马力≤功率＜80马力；驱动方式：四轮驱动,最小使用比质量（kg/kW）≥38</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9800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80-90马力四轮驱动拖拉机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80马力≤功率＜90马力；驱动方式：四轮驱动,最小使用比质量（kg/kW）≥40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90-100马力四轮驱动拖拉机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90马力≤功率＜100马力；驱动方式：四轮驱动,最小使用比质量（kg/kW）≥40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100-120马力四轮驱动拖拉机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100马力≤功率＜120马力；驱动方式：四轮驱动,最小使用比质量（kg/kW）≥43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120-140马力四轮驱动拖拉机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120马力≤功率＜140马力；驱动方式：四轮驱动,最小使用比质量（kg/kW）≥43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140-160马力四轮驱动拖拉机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140马力≤功率＜160马力；驱动方式：四轮驱动,最小使用比质量（kg/kW）≥43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160-180马力四轮驱动拖拉机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160马力≤功率＜180马力；驱动方式：四轮驱动,最小使用比质量（kg/kW）≥43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180-200马力四轮驱动拖拉机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180马力≤功率＜200马力；驱动方式：四轮驱动，最小使用比质量（kg/kW）≥43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200马力及以上四轮驱动拖拉机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功率≥200马力；驱动方式：四轮驱动，最小使用比质量（kg/kW）≥43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38600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80-90马力四轮驱动动力换挡拖拉机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80马力≤功率＜90马力；驱动方式：四轮驱动；换挡方式：部分动力换挡、动力换挡/换向、无级变速，最小使用比质量（kg/kW）≥40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90-100马力四轮驱动动力换挡拖拉机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90马力≤功率＜100马力；驱动方式：四轮驱动；换挡方式：部分动力换挡、动力换挡/换向、无级变速，最小使用比质量（kg/kW）≥40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100-120马力四轮驱动动力换挡拖拉机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100马力≤功率＜120马力；驱动方式：四轮驱动；换挡方式：部分动力换挡、动力换挡/换向、无级变速，最小使用比质量（kg/kW）≥43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120-140马力四轮驱动动力换挡拖拉机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120马力≤功率＜140马力；驱动方式：四轮驱动；换挡方式：部分动力换挡、动力换挡/换向、无级变速，最小使用比质量（kg/kW）≥43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38900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140-160马力四轮驱动动力换挡拖拉机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140马力≤功率＜160马力；驱动方式：四轮驱动；换挡方式：部分动力换挡、动力换挡/换向、无级变速，最小使用比质量（kg/kW）≥43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41900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160-180马力四轮驱动动力换挡拖拉机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160马力≤功率＜180马力；驱动方式：四轮驱动；换挡方式：部分动力换挡、动力换挡/换向、无级变速，最小使用比质量（kg/kW）≥43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48500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180-200马力四轮驱动动力换挡拖拉机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180马力≤功率＜200马力；驱动方式：四轮驱动；换挡方式：部分动力换挡、动力换挡/换向、无级变速，最小使用比质量（kg/kW）≥43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54000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200马力及以上四轮驱动动力换挡拖拉机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功率≥200马力；驱动方式：四轮驱动；换挡方式：部分动力换挡、动力换挡/换向、无级变速,最小使用比质量（kg/kW）≥43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72200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80-90马力四轮驱动动力换挡智控拖拉机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 马力≤功率＜90 马力；驱动方式：四轮驱动；换挡方式：部分动力换挡、动力换挡/换向、无级变速；智能控制；最小使用比质量（kg/kW）≥40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90-100马力四轮驱动动力换挡智控拖拉机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90马力≤功率＜100 马力；驱动方式：四轮驱动；换挡方式： 部分动力换挡、动力换挡/换向、无级变速；智能控制；最小使用比质量（kg/kW）≥40</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100—120马力四轮驱动动力换挡智控拖拉机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100马力≤功率＜120 马力；驱动方式：四轮驱动；换挡方式：部分动力换挡、动力换挡/换向、无级变速；智能控制；最小使用比质量（kg/kW）≥43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120-140马力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四轮驱动动力换挡控拖拉机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120马力≤功率＜140 马力；驱动方式：四轮驱动；换挡方式：部分动力换挡、动力换挡/换向、无级变速；智能控制；最小使用比质量（kg/kW）≥43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140-160马力四轮驱动动力换挡智控拖拉机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140马力≤功率＜160 马力；驱动方式：四轮驱动；换挡方式：部分动力换挡、动力换挡/换向、无级变速；智能控制；最小使用比质量（kg/kW）≥43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43600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160-180马力四轮驱动动力换挡智控拖拉机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160马力≤功率＜180 马力；驱动方式：四轮驱动；换挡方式：部分动力换挡、动力换挡/换向、无级变速；智能控制；最小使用比质量（kg/kW）≥43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51000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180-200马力四轮驱动动力换挡智控拖拉机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180 马力≤功率＜200 马力；驱动方式：四轮驱动；换挡方式：部分动力换挡、动力换挡/换向、无级变速；智能控制；最小使用比质量（kg/kW）≥43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56500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轮式拖拉机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200马力及以上四轮驱动动力换挡智控拖拉机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功率≥200马力；驱动方式：四轮驱动；换挡方式：部分动力换挡、动力换挡/换向、无级变速；智能控制；最小使用比质量（kg/kW）≥43</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74700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80-100马力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重型履带式拖拉机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80马力≤功率＜100马力；驱动方式：履带式；最小使用质量≥6000kg</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47200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100-130马力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重型履带式拖拉机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100马力≤功率＜130马力；驱动方式：履带式；最小使用质量≥6500kg</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58300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130-160马力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重型履带式拖拉机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130马力≤功率＜160马力；驱动方式：履带式；最小使用质量≥7000kg</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82200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160马力及以上重型履带式拖拉机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功率≥160马力；驱动方式：履带式；最小使用质量≥8000kg</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102600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50-70马力差速转向履带式拖拉机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50马力≤功率＜70马力；驱动方式：履带式；转向型式：差速式转向；最大牵引功率≥70%发动机标定功率；最小使用比质量≥35kg/kW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70-90马力差速转向履带式拖拉机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70马力≤功率＜90马力；驱动方式：履带式；转向型式：差速式转向；最大牵引功率≥70%发动机标定功率；最小使用比质量≥35kg/kW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28500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90-110马力差速转向履带式拖拉机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90马力≤功率＜110马力；驱动方式：履带式；转向型式：差速式转向；最大牵引功率≥70%发动机标定功率；最小使用比质量≥35kg/kW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36200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110-130 马力差速转向履带式拖拉机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110马力≤功率＜130马力；驱动方式：履带式；转向型式：差速式转向；最大牵引功率≥70%发动机标定功率；最小使用比质量≥40kg/kW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42200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130-150 马力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差速转向履带式拖拉机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130马力≤功率＜150马力；驱动方式：履带式；转向型式：差速式转向；最大牵引功率≥70%发动机标定功率；最小使用比质量≥40kg/kW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48200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150马力及以上差速转向履带式拖拉机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功率≥150马力；驱动方式：履带式；转向型式：差速式转向；最大牵引功率≥70%发动机标定功率；最小使用比质量≥40kg/kW</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54200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50-70马力轻型履带式拖拉机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50马力≤功率＜70马力；驱动方式：履带式；橡胶履带</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70-100马力轻型履带式拖拉机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70马力≤功率≤100马力；驱动方式：履带式；橡胶履带</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50-70马力差速转向轻型履带式拖拉机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50马力≤功率＜70马力；驱动方式：履带式；转向型式：差速式转向；橡胶履带</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农用动力机械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拖拉机</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履带式拖拉机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70-100 马力差速转向轻型履带式拖拉机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70马力≤功率≤100马力；驱动方式：履带式；转向型式：差速式转向；橡胶履带</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20600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农用搬运机械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农用运输机械</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田间搬运机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功率4.0kW及以上自走履带式田园搬运机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标定功率≥4.0kW；额定载质量≥200kg；结构型式：自走履带式</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农用水泵</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农用水泵</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地面泵（机组）</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3.8-11kW离心泵</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3.8kW≤配套功率＜11kW；机座、底阀</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设施环境控制设备</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设施环境控制设备</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拉幕（卷帘）设备</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卷帘机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卷帘机</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农田基本建设机械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平地机械（限与拖拉机配套）</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平地机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幅宽2-3m平地机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2m≤幅宽</w:t>
            </w:r>
            <w:bookmarkStart w:id="15" w:name="OLE_LINK13"/>
            <w:r>
              <w:rPr>
                <w:rFonts w:hint="eastAsia" w:ascii="宋体" w:hAnsi="宋体" w:cs="宋体"/>
                <w:snapToGrid w:val="0"/>
                <w:color w:val="000000"/>
                <w:kern w:val="0"/>
                <w:sz w:val="18"/>
                <w:szCs w:val="18"/>
                <w:lang w:bidi="ar"/>
              </w:rPr>
              <w:t>＜</w:t>
            </w:r>
            <w:bookmarkEnd w:id="15"/>
            <w:r>
              <w:rPr>
                <w:rFonts w:hint="eastAsia" w:ascii="宋体" w:hAnsi="宋体" w:cs="宋体"/>
                <w:snapToGrid w:val="0"/>
                <w:color w:val="000000"/>
                <w:kern w:val="0"/>
                <w:sz w:val="18"/>
                <w:szCs w:val="18"/>
                <w:lang w:bidi="ar"/>
              </w:rPr>
              <w:t>3m；控制方式：激光控制或卫星控制（卫星接收机板卡类型及频点：北斗信号）；限与拖拉机配套</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7400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r>
        <w:tblPrEx>
          <w:tblCellMar>
            <w:top w:w="0" w:type="dxa"/>
            <w:left w:w="108" w:type="dxa"/>
            <w:bottom w:w="0" w:type="dxa"/>
            <w:right w:w="108" w:type="dxa"/>
          </w:tblCellMar>
        </w:tblPrEx>
        <w:trPr>
          <w:cantSplit/>
          <w:trHeight w:val="0" w:hRule="atLeast"/>
          <w:jc w:val="center"/>
        </w:trPr>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农田基本建设机械</w:t>
            </w:r>
          </w:p>
        </w:tc>
        <w:tc>
          <w:tcPr>
            <w:tcW w:w="1423"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平地机械（限与拖拉机配套）</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平地机</w:t>
            </w:r>
          </w:p>
        </w:tc>
        <w:tc>
          <w:tcPr>
            <w:tcW w:w="1950"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幅宽3m及以上平地机</w:t>
            </w:r>
          </w:p>
        </w:tc>
        <w:tc>
          <w:tcPr>
            <w:tcW w:w="416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幅宽≥3m；控制方式：激光控制或卫星控制（卫星接收机板卡类型及频点：北斗信号）；限与拖拉机配套</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8900</w:t>
            </w:r>
          </w:p>
        </w:tc>
        <w:tc>
          <w:tcPr>
            <w:tcW w:w="1666" w:type="dxa"/>
            <w:tcBorders>
              <w:top w:val="single" w:color="000000" w:sz="4" w:space="0"/>
              <w:left w:val="single" w:color="000000" w:sz="4" w:space="0"/>
              <w:bottom w:val="single" w:color="000000" w:sz="4" w:space="0"/>
              <w:right w:val="single" w:color="000000" w:sz="4" w:space="0"/>
            </w:tcBorders>
            <w:noWrap w:val="0"/>
            <w:vAlign w:val="center"/>
          </w:tcPr>
          <w:p>
            <w:pPr>
              <w:keepLines/>
              <w:widowControl/>
              <w:spacing w:line="240" w:lineRule="exact"/>
              <w:jc w:val="center"/>
              <w:rPr>
                <w:rFonts w:hint="eastAsia" w:ascii="宋体" w:hAnsi="宋体" w:cs="宋体"/>
                <w:snapToGrid w:val="0"/>
                <w:color w:val="000000"/>
                <w:kern w:val="0"/>
                <w:sz w:val="13"/>
                <w:szCs w:val="13"/>
              </w:rPr>
            </w:pPr>
          </w:p>
        </w:tc>
      </w:tr>
    </w:tbl>
    <w:p>
      <w:pPr>
        <w:snapToGrid w:val="0"/>
        <w:spacing w:line="560" w:lineRule="exact"/>
        <w:rPr>
          <w:rFonts w:hint="eastAsia" w:ascii="黑体" w:hAnsi="黑体" w:eastAsia="黑体" w:cs="黑体"/>
          <w:kern w:val="0"/>
          <w:sz w:val="32"/>
          <w:szCs w:val="32"/>
          <w:lang w:bidi="ar"/>
        </w:rPr>
      </w:pPr>
      <w:r>
        <w:rPr>
          <w:rFonts w:ascii="方正小标宋简体" w:hAnsi="方正小标宋简体" w:eastAsia="方正小标宋简体" w:cs="方正小标宋简体"/>
          <w:kern w:val="0"/>
          <w:sz w:val="44"/>
          <w:szCs w:val="44"/>
          <w:lang w:bidi="ar"/>
        </w:rPr>
        <w:br w:type="page"/>
      </w:r>
      <w:r>
        <w:rPr>
          <w:rFonts w:hint="eastAsia" w:ascii="黑体" w:hAnsi="黑体" w:eastAsia="黑体" w:cs="黑体"/>
          <w:kern w:val="0"/>
          <w:sz w:val="32"/>
          <w:szCs w:val="32"/>
        </w:rPr>
        <w:t>附件1</w:t>
      </w:r>
      <w:r>
        <w:rPr>
          <w:rFonts w:hint="eastAsia" w:ascii="黑体" w:hAnsi="黑体" w:eastAsia="黑体" w:cs="黑体"/>
          <w:kern w:val="0"/>
          <w:sz w:val="32"/>
          <w:szCs w:val="32"/>
          <w:lang w:eastAsia="zh-CN"/>
        </w:rPr>
        <w:t>的</w:t>
      </w:r>
      <w:r>
        <w:rPr>
          <w:rFonts w:hint="eastAsia" w:ascii="黑体" w:hAnsi="黑体" w:eastAsia="黑体" w:cs="黑体"/>
          <w:kern w:val="0"/>
          <w:sz w:val="32"/>
          <w:szCs w:val="32"/>
          <w:lang w:bidi="ar"/>
        </w:rPr>
        <w:t>附件4</w:t>
      </w:r>
    </w:p>
    <w:p>
      <w:pPr>
        <w:snapToGrid w:val="0"/>
        <w:spacing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2024—2026年度北京市农机购置与应用补贴</w:t>
      </w:r>
    </w:p>
    <w:p>
      <w:pPr>
        <w:snapToGrid w:val="0"/>
        <w:spacing w:line="560" w:lineRule="exact"/>
        <w:jc w:val="center"/>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kern w:val="0"/>
          <w:sz w:val="44"/>
          <w:szCs w:val="44"/>
          <w:lang w:bidi="ar"/>
        </w:rPr>
        <w:t>市级</w:t>
      </w:r>
      <w:r>
        <w:rPr>
          <w:rFonts w:hint="eastAsia" w:ascii="方正小标宋简体" w:hAnsi="方正小标宋简体" w:eastAsia="方正小标宋简体" w:cs="方正小标宋简体"/>
          <w:kern w:val="0"/>
          <w:sz w:val="44"/>
          <w:szCs w:val="44"/>
          <w:lang w:val="en-US" w:eastAsia="zh-CN" w:bidi="ar"/>
        </w:rPr>
        <w:t>财政</w:t>
      </w:r>
      <w:r>
        <w:rPr>
          <w:rFonts w:hint="eastAsia" w:ascii="方正小标宋简体" w:hAnsi="方正小标宋简体" w:eastAsia="方正小标宋简体" w:cs="方正小标宋简体"/>
          <w:kern w:val="0"/>
          <w:sz w:val="44"/>
          <w:szCs w:val="44"/>
          <w:lang w:bidi="ar"/>
        </w:rPr>
        <w:t>资金补贴额一览表（第一批）</w:t>
      </w:r>
    </w:p>
    <w:tbl>
      <w:tblPr>
        <w:tblStyle w:val="13"/>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846"/>
        <w:gridCol w:w="1116"/>
        <w:gridCol w:w="1544"/>
        <w:gridCol w:w="7211"/>
        <w:gridCol w:w="936"/>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黑体" w:hAnsi="黑体" w:eastAsia="黑体" w:cs="黑体"/>
                <w:snapToGrid w:val="0"/>
                <w:color w:val="000000"/>
                <w:kern w:val="0"/>
                <w:sz w:val="24"/>
              </w:rPr>
            </w:pPr>
            <w:r>
              <w:rPr>
                <w:rFonts w:hint="eastAsia" w:ascii="黑体" w:hAnsi="黑体" w:eastAsia="黑体" w:cs="黑体"/>
                <w:snapToGrid w:val="0"/>
                <w:color w:val="000000"/>
                <w:kern w:val="0"/>
                <w:sz w:val="24"/>
                <w:lang w:bidi="ar"/>
              </w:rPr>
              <w:t>大类</w:t>
            </w:r>
          </w:p>
        </w:tc>
        <w:tc>
          <w:tcPr>
            <w:tcW w:w="846" w:type="dxa"/>
            <w:noWrap w:val="0"/>
            <w:vAlign w:val="center"/>
          </w:tcPr>
          <w:p>
            <w:pPr>
              <w:widowControl/>
              <w:spacing w:line="240" w:lineRule="exact"/>
              <w:jc w:val="center"/>
              <w:textAlignment w:val="center"/>
              <w:rPr>
                <w:rFonts w:hint="eastAsia" w:ascii="黑体" w:hAnsi="黑体" w:eastAsia="黑体" w:cs="黑体"/>
                <w:snapToGrid w:val="0"/>
                <w:color w:val="000000"/>
                <w:kern w:val="0"/>
                <w:sz w:val="24"/>
              </w:rPr>
            </w:pPr>
            <w:r>
              <w:rPr>
                <w:rFonts w:hint="eastAsia" w:ascii="黑体" w:hAnsi="黑体" w:eastAsia="黑体" w:cs="黑体"/>
                <w:snapToGrid w:val="0"/>
                <w:color w:val="000000"/>
                <w:kern w:val="0"/>
                <w:sz w:val="24"/>
                <w:lang w:bidi="ar"/>
              </w:rPr>
              <w:t>小类</w:t>
            </w:r>
          </w:p>
        </w:tc>
        <w:tc>
          <w:tcPr>
            <w:tcW w:w="1116" w:type="dxa"/>
            <w:noWrap w:val="0"/>
            <w:vAlign w:val="center"/>
          </w:tcPr>
          <w:p>
            <w:pPr>
              <w:widowControl/>
              <w:spacing w:line="240" w:lineRule="exact"/>
              <w:jc w:val="center"/>
              <w:textAlignment w:val="center"/>
              <w:rPr>
                <w:rFonts w:hint="eastAsia" w:ascii="黑体" w:hAnsi="黑体" w:eastAsia="黑体" w:cs="黑体"/>
                <w:snapToGrid w:val="0"/>
                <w:color w:val="000000"/>
                <w:kern w:val="0"/>
                <w:sz w:val="24"/>
              </w:rPr>
            </w:pPr>
            <w:r>
              <w:rPr>
                <w:rFonts w:hint="eastAsia" w:ascii="黑体" w:hAnsi="黑体" w:eastAsia="黑体" w:cs="黑体"/>
                <w:snapToGrid w:val="0"/>
                <w:color w:val="000000"/>
                <w:kern w:val="0"/>
                <w:sz w:val="24"/>
                <w:lang w:bidi="ar"/>
              </w:rPr>
              <w:t>品目</w:t>
            </w:r>
          </w:p>
        </w:tc>
        <w:tc>
          <w:tcPr>
            <w:tcW w:w="1544" w:type="dxa"/>
            <w:noWrap w:val="0"/>
            <w:vAlign w:val="center"/>
          </w:tcPr>
          <w:p>
            <w:pPr>
              <w:widowControl/>
              <w:spacing w:line="240" w:lineRule="exact"/>
              <w:jc w:val="center"/>
              <w:textAlignment w:val="center"/>
              <w:rPr>
                <w:rFonts w:hint="eastAsia" w:ascii="黑体" w:hAnsi="黑体" w:eastAsia="黑体" w:cs="黑体"/>
                <w:snapToGrid w:val="0"/>
                <w:color w:val="000000"/>
                <w:kern w:val="0"/>
                <w:sz w:val="24"/>
              </w:rPr>
            </w:pPr>
            <w:r>
              <w:rPr>
                <w:rFonts w:hint="eastAsia" w:ascii="黑体" w:hAnsi="黑体" w:eastAsia="黑体" w:cs="黑体"/>
                <w:snapToGrid w:val="0"/>
                <w:color w:val="000000"/>
                <w:kern w:val="0"/>
                <w:sz w:val="24"/>
                <w:lang w:bidi="ar"/>
              </w:rPr>
              <w:t>档次名称</w:t>
            </w:r>
          </w:p>
        </w:tc>
        <w:tc>
          <w:tcPr>
            <w:tcW w:w="7211" w:type="dxa"/>
            <w:noWrap w:val="0"/>
            <w:vAlign w:val="center"/>
          </w:tcPr>
          <w:p>
            <w:pPr>
              <w:widowControl/>
              <w:spacing w:line="240" w:lineRule="exact"/>
              <w:jc w:val="center"/>
              <w:textAlignment w:val="center"/>
              <w:rPr>
                <w:rFonts w:hint="eastAsia" w:ascii="黑体" w:hAnsi="黑体" w:eastAsia="黑体" w:cs="黑体"/>
                <w:snapToGrid w:val="0"/>
                <w:color w:val="000000"/>
                <w:kern w:val="0"/>
                <w:sz w:val="24"/>
              </w:rPr>
            </w:pPr>
            <w:r>
              <w:rPr>
                <w:rFonts w:hint="eastAsia" w:ascii="黑体" w:hAnsi="黑体" w:eastAsia="黑体" w:cs="黑体"/>
                <w:snapToGrid w:val="0"/>
                <w:color w:val="000000"/>
                <w:kern w:val="0"/>
                <w:sz w:val="24"/>
                <w:lang w:bidi="ar"/>
              </w:rPr>
              <w:t>基本配置和参数</w:t>
            </w:r>
          </w:p>
        </w:tc>
        <w:tc>
          <w:tcPr>
            <w:tcW w:w="936" w:type="dxa"/>
            <w:noWrap w:val="0"/>
            <w:vAlign w:val="center"/>
          </w:tcPr>
          <w:p>
            <w:pPr>
              <w:widowControl/>
              <w:spacing w:line="240" w:lineRule="exact"/>
              <w:jc w:val="center"/>
              <w:textAlignment w:val="center"/>
              <w:rPr>
                <w:rFonts w:hint="eastAsia" w:ascii="黑体" w:hAnsi="黑体" w:eastAsia="黑体" w:cs="黑体"/>
                <w:snapToGrid w:val="0"/>
                <w:color w:val="000000"/>
                <w:kern w:val="0"/>
                <w:sz w:val="24"/>
              </w:rPr>
            </w:pPr>
            <w:r>
              <w:rPr>
                <w:rFonts w:hint="eastAsia" w:ascii="黑体" w:hAnsi="黑体" w:eastAsia="黑体" w:cs="黑体"/>
                <w:snapToGrid w:val="0"/>
                <w:color w:val="000000"/>
                <w:kern w:val="0"/>
                <w:sz w:val="24"/>
                <w:lang w:bidi="ar"/>
              </w:rPr>
              <w:t>最高补贴额（元）</w:t>
            </w:r>
          </w:p>
        </w:tc>
        <w:tc>
          <w:tcPr>
            <w:tcW w:w="759" w:type="dxa"/>
            <w:noWrap w:val="0"/>
            <w:vAlign w:val="center"/>
          </w:tcPr>
          <w:p>
            <w:pPr>
              <w:widowControl/>
              <w:spacing w:line="240" w:lineRule="exact"/>
              <w:jc w:val="center"/>
              <w:textAlignment w:val="center"/>
              <w:rPr>
                <w:rFonts w:hint="eastAsia" w:ascii="黑体" w:hAnsi="黑体" w:eastAsia="黑体" w:cs="黑体"/>
                <w:snapToGrid w:val="0"/>
                <w:color w:val="000000"/>
                <w:kern w:val="0"/>
                <w:sz w:val="24"/>
              </w:rPr>
            </w:pPr>
            <w:r>
              <w:rPr>
                <w:rFonts w:hint="eastAsia" w:ascii="黑体" w:hAnsi="黑体" w:eastAsia="黑体" w:cs="黑体"/>
                <w:snapToGrid w:val="0"/>
                <w:color w:val="000000"/>
                <w:kern w:val="0"/>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绑蔓机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4档电动绑蔓机</w:t>
            </w:r>
          </w:p>
        </w:tc>
        <w:tc>
          <w:tcPr>
            <w:tcW w:w="7211" w:type="dxa"/>
            <w:noWrap w:val="0"/>
            <w:vAlign w:val="top"/>
          </w:tcPr>
          <w:p>
            <w:pPr>
              <w:widowControl/>
              <w:spacing w:line="240" w:lineRule="exact"/>
              <w:jc w:val="left"/>
              <w:textAlignment w:val="top"/>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设备速度≥60次/分钟；盘头绑蔓效率：1600-2200头（株）/小时；耗材圈径≥22mm；功率≥25W；档位：4档；续航≥8h。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1680</w:t>
            </w:r>
          </w:p>
        </w:tc>
        <w:tc>
          <w:tcPr>
            <w:tcW w:w="759" w:type="dxa"/>
            <w:noWrap w:val="0"/>
            <w:vAlign w:val="center"/>
          </w:tcPr>
          <w:p>
            <w:pPr>
              <w:widowControl/>
              <w:spacing w:line="240" w:lineRule="exact"/>
              <w:jc w:val="center"/>
              <w:rPr>
                <w:rFonts w:hint="eastAsia"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绑蔓机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5档电动绑蔓机</w:t>
            </w:r>
          </w:p>
        </w:tc>
        <w:tc>
          <w:tcPr>
            <w:tcW w:w="7211" w:type="dxa"/>
            <w:noWrap w:val="0"/>
            <w:vAlign w:val="top"/>
          </w:tcPr>
          <w:p>
            <w:pPr>
              <w:widowControl/>
              <w:spacing w:line="240" w:lineRule="exact"/>
              <w:jc w:val="left"/>
              <w:textAlignment w:val="top"/>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设备速度≥60次/分钟；盘头绑蔓效率：1600-2200头（株）/小时；耗材圈径≥22mm；功率≥25W；档位：5档；续航≥10h。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w:t>
            </w:r>
          </w:p>
        </w:tc>
        <w:tc>
          <w:tcPr>
            <w:tcW w:w="759" w:type="dxa"/>
            <w:noWrap w:val="0"/>
            <w:vAlign w:val="center"/>
          </w:tcPr>
          <w:p>
            <w:pPr>
              <w:widowControl/>
              <w:spacing w:line="240" w:lineRule="exact"/>
              <w:jc w:val="center"/>
              <w:rPr>
                <w:rFonts w:hint="eastAsia"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槽、架、墙体等配套设施装备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柔性温室保温墙体</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1.外层1000D双面涂层纳米高分子材料，表面亚克力裱处。断烈强度经向≥2700N，纬向≥2450N。耐低温-30℃，耐高温+70℃。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2.内层840D双层涂层纳米高分子材料，表面亚克力裱处。断烈强度经向≥2200N，纬向≥1980N。耐低温-30℃，耐高温+70℃。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3.高效新型纳米高分子保温墙体，内部采用保温层:内二层混合涤纶纤维棉(阻燃处理)，内三层为 5T EPE棉，内四内五层为太空棉，内六层为花毡，保温棉被共七层，正反面为新型纳米高分子材料。</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4.保温被采用高频与热风设备结合无缝焊接工艺生产制造，无针孔无针线缝合，B1级阻燃。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5.保温率克罗值≥11.5，热传导系数≤0.037W/(m·K)，墙体厚度8cm-10cm。每㎡克重2000-4000g。</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槽、架、墙体等配套设施装备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不锈钢土壤立体栽培系统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1.不锈钢材质。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2.加温设备400㎡≥27kW。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3.水温要求≥70℃。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4.加热管道直径≥15mm(热镀锌)。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5.工作温度≥-35℃。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6.电配备≥50kW/棚。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7.使用年限≥10年。</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455元/㎡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槽、架、墙体等配套设施装备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铁质土壤立体栽培系统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1.铁质材质。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2.加温设备400㎡≥27kW。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3.水温要求≥70℃。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4.加热管道直径≥15mm(热镀锌)。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5.工作温度≥-35℃。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6.电配备≥50kW/棚。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7.使用年限≥5年。</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315元/㎡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槽、架、墙体等配套设施装备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H型基质栽培系统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1.栽培架高≥1.2m（含下埋≥0.3m）。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2.栽培槽宽度≥300mm。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3.种植面宽度≥260mm。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4.基质高度≥150mm。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5.架间距≤1.5m。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6.栽培架材料1/2英寸热镀锌管，壁厚≥2mm。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7.卡槽双卡簧热镀锌卡槽厚度≥0.6mm。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8.卡簧：包塑固膜卡簧。</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9.下水口：注塑件一次成型。</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10.排水软管单根长度平均≥0.8m。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11.防虫网目数≥40目。</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12.黑白膜厚度≥0.14mm，宽度≥1m。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13.防折支架：注塑件一次成型。</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14.托果网重量≥60g/㎡，宽度≥30cm。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53元/延米</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槽、架、墙体等配套设施装备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栽培槽</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PP、PVC或布料材质；可装基质容量≥30L/m。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10.5元/延米</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槽、架、墙体等配套设施装备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草莓专用栽培槽</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1.栽培槽宽度≥240mm，高度≥60mm，种植面宽度≥200mm。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2.材料采用≥0.7mm聚酯涂层镀锌板，镀锌层≥120g/㎡，正反镀锌。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3.通长连接底板≥1.5mm热镀锌板。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4.草莓专用种植盆：塑料专用草莓盆。</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5.端部斜撑：热镀锌圆管。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6.堵头：镀锌板喷塑。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7.下水口：注塑件一次成型。</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8.排水软管单根长度平均≥0.8m。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31.5元/延米</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槽、架、墙体等配套设施装备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加热栽培槽</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1.种植面宽度≥200mm。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2.材质聚酯涂层镀锌板，正反镀锌层≥120g/㎡。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3.排水沟吊挂件采用热镀锌圆钢。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4.横梁吊挂件材质：热镀锌板。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5.中部落蔓钢筋：热镀锌圆钢。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6.栽培槽加强筋：热镀锌圆钢。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7.堵头：镀锌板喷塑。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8.包括加热设备。</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42元/㎡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槽、架、墙体等配套设施装备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升降栽培槽</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1.栽培槽宽度≥250mm，高度≥100mm，种植面宽度≥200mm。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2.材料≥0.7mm厚聚酯涂层镀锌板，镀锌层：≥120g/㎡，正反镀锌。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3.自锁电机控制每条栽培槽的升降。</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4.堵头：镀锌板喷塑。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5.驱动电机（专用自锁）≥0.75kW，转速≥6r/min。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6.独立升降控制。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7.传动轴：1.5寸国标镀锌圆管。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8.包括绕线筒、金属动滑轮组、防坠器等。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9.电控箱：电器原件独立控制。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84元/延米</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槽、架、墙体等配套设施装备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基质覆土机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完成苗穴种子的覆土工作；功率≥0.18kW。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槽、架、墙体等配套设施装备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基质搅拌机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出料舱门自动开启和关闭；功率≥1.5kW；作业容量≥650L。</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抗UV-PE编织膜保温被</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1.保温被上面料为抗UV-PE编织膜，中间填充喷胶棉≥700g/㎡，下层为PE防水布，棉被整体无针孔全防水工艺。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2.前坡保温被蓬松状态下厚度为5cm以上。</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3.其拉断强力＞1200N，撕破强力＞500N，阻燃≤10s。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4.连接方式：保温被连接采用粘扣连接，搭接缝纫处理。</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5.保温被技术参数：热阻≥1.09（㎡·k）/w；克罗值≥7.06；折算保温率：≥90%；传热系数:≤0.95W/（㎡·K）；保修期限≥8年。每㎡重量≥0.75kg。</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白色牛津布保温被</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1.保温被上面料白色牛津布，中间填充喷胶棉≥100g/㎡，下层为白色牛津布，棉被整体轻盈。</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2.保温被蓬松状态下厚度为1.5cm以上。</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3.其拉断强力＞1200N，撕破强力＞500N，阻燃≤10s。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4.连接方式：保温被采用搭接缝纫处理。</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5.保温被保温率：≥70%；传热系数:≤0.75W/（㎡·K）；质保期≥5 年。每㎡重量≥0.2kg。</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橡塑保温被</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1.保温被为柔性橡塑材料复合而成，表观密度≤95kg/m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2.真空体积吸水率≤0.50%；压缩回弹率≥70%。</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3.耐温性能（尺寸变化率）：长度、宽度均≤7.0%,厚度≤15.0%。</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4.抗老化性能：150h试验后样品无裂纹、针孔、无明显变形、允许轻微起皱。</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5.保温被技术参数：平均温度（-20±2）℃时导热系数≤0.034W/（m·K）；或传热系数:≤0.95W/（㎡·K）；质保期限≥8年。</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聚酯纤维无纺布保温被（前坡用）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1.保温被上面料为聚酯纤维无纺布，中间填充粗纺毛纱，下层为聚脂纤维无纺布。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2.保温被蓬松状态下厚度≥5cm。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3.其拉断强度≥1000N，撕破强度≥1000N。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4.连接方式：保温被采用粘扣连接，搭接缝纫处理。</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5.保温被技术参数：热阻1.0㎡·k/w；克罗值≥7.2；折算保温率≥90%；传热系数≤1.1W/（㎡·K）；质保期限≥8年；每平米重量≥3kg。</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8.4元/㎡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聚酯纤维无纺布保温被（后坡用）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1.保温被上面料为聚酯纤维无纺布，中间填充聚乙烯发泡棉，下层为聚脂纤维无纺布。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2.保温被蓬松状态下厚度≥3cm。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3.其拉断强度≥2000N，撕破强度≥1800N。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4.连接方式：保温被采用粘扣连接，搭接缝纫处理。</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5.保温被技术参数：热阻0.3㎡·k/w；克罗值≥6.5；折算保温率≥90%；传热系数：≤1.2W/（㎡·K）；质保期限≥8年；每平米重量≥0.75kg。</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8.5元/㎡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电动卷膜器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功率≥60W，输出轴扭矩≥65N·m，输出轴转速≥3r/min。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126</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自动开窗机（成套设备）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1.由1.2m宽固定窗扇和1.2m宽活动窗扇组成。</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2.窗框采用40×20×1.5mm热镀锌矩管和2.0mm热镀锌钢板制作而成。</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3.覆盖材料0.15mmPO膜；B型齿轮齿条传动。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4.采用GWA250-D-220V减速电机。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5.自动温度时间控制系统。</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6.3cm孔径防老化塑料防兜水网。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7.折叠防虫网：1.0×1.0mm。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215元/延米</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电动卷膜机(成套设备)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含卷膜器、卷膜轴、控制器等；功率≥80W，输出轴扭矩≥100N·m，输出轴转速≥3r/min，标准棚。</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虫情测报灯</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1.远红外虫体处理致死率≥98%。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2.虫体完整率≥95%；高温加热虫体处理仓温度控制：85-135℃可调。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3.杀虫时长10-180min可调。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4.带定位功能。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5.测报灯功率≥450W。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6.待机功率≤5W，使用寿命≥5年。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7.诱虫光源：≥20W黑光灯管或200W白炽灯泡，灯管启动时间≤5s，工作最大功耗≤200W。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虫情测报成套设备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1.诱虫光源≥20W诱虫灯管，波长300nm-650nm，灯管启动时间＜5s。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2.图像采集器≥1200W，具有实时采集传送带上的虫子情况，通过网络平台进行识别和计数，通过平台远程操作采集图像和工作模式更改等功能。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3.工作环境温度：0-70℃。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4.工作环境湿度≤95%。</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29750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虫情测报系统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1.具有诱捕与识别技术集成功能。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2.图像采集器像素≥2000W，具有远程设置工作模式，通过网络平台或手机控制远程自动拍照，分时段设置和控制。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3.自动识别测报系统：白背飞虱的识别准确率≥80%，稻纵卷叶螟、二化螟和大螟的识别准确率≥90%。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4.诱虫光源功率≥20W，诱虫灯管启动时间＜5s。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5.工作环境温度：0-70℃。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6.工作环境湿度≤90%。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56000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拉幕系统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1.包括2层幕布，一层为高透光性保温幕布，一层为带一定遮光率的遮阳幕布。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2.驱动系统：功率≥750W；电机防护等级IP44；三级减速箱，减速比250-500。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3.输出轴扭矩≥800N·m，输出轴转速≥5r/min。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4.减速箱体材质铝合金。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5.减速箱体自带双向限位装置。</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6.减速电机工作温度-10-40℃。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31.5元/㎡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室内空气循环设备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1.环流风机，可横向、纵向给风。</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2.风机功率≥0.5kW。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3.每小时风量可以实现整个温室空气循环2次及以上。</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 及以上通风机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转速≥1450r/min；风量≥2400m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/h；风压≥77Pa；功率≥0.09kW。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112</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8路温室环境调控设备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1.电路、控制通路、工作状态反馈三路集成。</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2.设备外接负载数量：8路及以上，支持AC380V、AC220、DC24V三种外接电路。</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3.远程自动控制增降温、通风、除湿、补光、灌溉和二氧化碳补充等操作。</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4.所有控制指令有状态反馈信息，设备故障短信报警；可实现远程操控。</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5.设备集成安装。</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6580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16路温室环境调控设备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1.电路、控制通路、工作状态反馈三路集成。</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2.设备外接负载数量：16路及以上，支持AC380V、AC220、DC24V三种外接电路。</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3.远程自动控制增降温、通风、除湿、补光、灌溉和二氧化碳补充等操作。</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4.所有控制指令有状态反馈信息，设备故障短信报警。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5.具有人脸识别、语音识别、双向语音功能，可实现远程操控。</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6.设备集成安装。</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10430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40路温室环境调控设备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1.设备外接负载数量：40路及以上。</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2.支持AC380V正反转8路，AC380V6路，AC220V30路。</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3.具有过压、欠压、漏电、过载、缺相、三相不平衡等保护功能以及电量统计、功率限定等功能。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4.可以智能开关风机、湿帘水泵、内循环风扇、顶开窗、内保温等设备。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5.所有控制指令有状态反馈信息，设备故障短信报警。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6.具有人脸识别、语音识别、双向语音功能，可实现远程操控。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7.可播放视频和推送种植指导信息。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8.可远程程序更新。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9.工作环境温度-20-60℃，工作环境湿度0-95%。</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34930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温室环境监测设备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1.可实时监测温室内空气温度、空气湿度、光照强度和照片参数。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2.空气温度测定范围-30-75℃、分辨率≥0.1℃、误差±0.2。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3.空气湿度测定范围0-100%、分辨率≥1%RH、误差±3%（相对湿度≤80%）、±5%（相对湿度≥80%）。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4.光照强度测定范围0-65535lux、分辨率1lux、误差1lux。</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5.摄像头≥200万像素，图像采集分辨率≥1600*1200。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6.工作环境温度-30-90℃、工作环境湿度：0-100%。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7.支持4G通讯和太阳能供电，防护等级IP66。</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8.可扩展外接土壤温湿度。</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875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温室空气循环轴流风机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1.气流方式：轴流。</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2.功率≥120W。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3.送风量≥3000m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4.扇叶为不锈钢材质。</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4元/平米</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温室空气循环设备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1.环流风机系统：转速≥1400r/min、风量≥9800m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/h、噪音≤80dB。</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2.拉幕电机：转速≥2800r/min、输出转速≥5.2r/min、输出扭矩≥600N·m、电机速比≥538.46i、使用系数≥2.07f、噪音≤72dB。</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3.卷膜器：额定功率≥100W、额定扭矩≥100N·m、输出转速≥3r/min。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4.配电箱：配有中枢及温湿传感器，上网模块RTU。</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17200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智能放风机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1.温度范围：-40-125℃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2.测量精度：±0.1℃。</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3.温度分辨率≥0.1℃。</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4.湿度范围：0-100%RH。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5.湿度精度：±0.1%</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6.湿度分辨率≥ 0.1%</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7.使用环境：温度0-80℃；湿度≤90%。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8.使用电力载波进行部署，方便安装维护。</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9.电机能够控制距离≥30m。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10.智能放风机控制器：具备远程监控功能，可实现手机App远程监视和控制；配置温湿度传感器，准确控温，可实现定时控制和温度控制；使用电力线载波进行本地通讯部署。</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525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全自动温室屋顶清洗设备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1.连栋温室种植面积≥2公顷。</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2.主体材质铝合金。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3.配备玻璃毛刷和天沟毛刷。</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4.独立液压卷轴装置可在0.5℃和沟槽长度≥300m情况下正常使用。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5.紧急限位轮≥4个。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6.窗户限位≥4个。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7.清洗速度≥14m/min。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8.水泵压力≥55bar。</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9.平台及清洗机具有遥控器和手动控制功能。</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238000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二氧化碳施肥系统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1.包括烟气冷凝装置、CO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输出装置、CO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探测器、CO探测器等。</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2.冷凝器，冷却锅炉尾气。</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3.冷却泵用于冷凝器供水。</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4.三通阀配合管道泵从系统回水中获取冷凝用水。</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中心收集CO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，送往温室。</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传感器检测所收集气体中CO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浓度。</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7.CO传感器检测所收集气体中CO浓度。</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8.NO传感器检测所收集气体中NO浓度。</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9.温度传感器检测所收集气体温度。</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检测盒检测温室内CO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浓度。</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控制中心一旦传感器检测超标，报警并停止CO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中心工作。</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553000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臭氧发生器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臭氧发生率≥20g/h，消毒容积≥300m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840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多功能智能臭氧发生器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1.设备功能：具有臭氧杀菌、防病，光诱、主动式杀虫，实现设施环境实时监测、极端低温辅助加温、手机APP远程监控等多功能。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2.设备材料：外壳ABS合金阻燃料。</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3.总功率≥1.2kW；其中：灭菌、杀虫、智能控制、无线通讯≥290W；辅助加热功率≥1000W。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4.出风口风向调节：360°环形滑动。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5.控制仓除湿功能：可自动加热除湿。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6.臭氧量调节功能：手机APP臭氧量1～100%可调节。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7.臭氧发生器空气过滤：在臭氧发生器进气口设有过滤网。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8.主动式杀虫：LED黄蓝变频灯光。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9.设施环境实时监测：具有温度、湿度、光照传感器，光照传感器范围0～60000LX；湿度测量范围0～100%RH；温度测量范围-10～95℃。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10.极端低温辅助加温：具有在极端低温天气自动开启加热功能。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11.设备远程监控功能：具有手机APP实时数据显示，设备运行状态远程调控等功能。</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2940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自动化控制系统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1.连栋温室种植面积≥2公顷。</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2.可控制模块数量≥3个，包括能源、气候（温度、湿度、光照、二氧化碳浓度等）、灌溉等。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3.传感器种类数量≥6类，包括二氧化碳、温度、湿度、光照、风向风速等。</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温室加温设备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1.连栋温室种植面积≥2公顷。</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2.包括热源、蓄热罐、分水器组、加温管道组等。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3.加温管道组包括轨道层、生长层、融雪层等；工作压力≥1个标准大气压；有自动压力平衡器；温室加温温度≥18℃。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4.非燃煤锅炉总装机容量≥2吨/公顷。</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49元/㎡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100W-150W钠灯</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100W≤功率＜150W，功率因数≥0.98，工作温度-30-50℃，防水等级IP65，光源类型钠灯，使用寿命≥8000h。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119</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150W-600W钠灯</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150W≤功率＜600W，功率因数≥0.98，工作温度-30-50℃，防水等级IP65，光源类型钠灯，使用寿命≥8000h。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154</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600W-1000W钠灯</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600W≤功率＜1000W，功率因数≥0.98，工作温度-30-50℃，防水等级IP65，光源类型钠灯，使用寿命≥8000h。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273</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1000W及以上钠灯</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输出功率≥1000W，功率因数≥0.98，工作温度-30-50℃，防水等级IP65，光源类型钠灯，使用寿命≥8000h。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553</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15-100W红蓝光补光灯</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15W≤功率＜100W，功率因数≥0.9，PPF≥198umoL/s，防水等级IP65，光源类LED红蓝光，使用寿命≥8000h。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100-200W红蓝光补光灯</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100W≤功率＜200W，功率因数≥0.9，PPF≥230umoL/s，防水等级IP65，光源类LED红蓝光，使用寿命≥8000h。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238</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200-300W红蓝光补光灯</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200W≤功率＜300W，功率因数≥0.9，PPF≥580umoL/s，防水等级IP65，光源类LED红蓝光，使用寿命≥8000h。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840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300W及以上红蓝光补光灯</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功率≥300W，功率因数≥0.9，PPF≥1000umoL/s，防水等级IP65，光源类LED红蓝光，使用寿命≥8000h。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1260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全光谱LED补光灯</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光源：LED；功率≥600W±5%；全光谱(380-840nm）；照射面积≥8㎡；使用寿命≥50000h。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补光灯控制系统（控制模块）</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1.工业电源。</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2.输入≥220V，输出≥48V，功率≥3kW。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3.含安装电控盒及辅材。</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945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环境监测与控制装备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400㎡及以上温室植物光环境系统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1.温室面积≥400㎡。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2.顶端补光系统：单灯输出功率≥1000W，功率因数≥0.98，工作温度-30-50℃，防水等级IP65，光源类型钠灯、金卤灯。</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3.植株间补光系统：单灯输出功率≥80W，功率因数≥0.95，PPF≥2.6umoL/J，防水等级IP65，光源类LED红蓝光。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4.调光系统：光功率、光量子值自动（手动）调节光量子数维持在＞2.0umoL/J。</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5.智能配电单元：输出功率≥1000W。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6.智能控制系统：综合光电性能控制器，双向通讯控制器，云控制平台，光电自动诊断系统不少于两种，工作温度-25-40℃环境温度。</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7.环境监测模块数量≥3个，包括能源、气候（温度、湿度、光照、二氧化碳浓度等）。传感器种类数量≥6个，包括二氧化碳、温度、湿度、光照、降雨、风向风速等。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8.数据监测系统：数据存储记录单元，数据清洗模块，数据分析系统，多场景自动建模单元等，不少于三种功能。</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126元/㎡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育苗装备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育苗播种流水线</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1.工作幅宽≥562mm，播种形式：气吸式，铺土箱容积≥1260L，播种箱容积≥2L，最大播种量≥25g/盘。最小播种量：0.4克/盘，覆土箱容积≥52L。</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2.输送传动形式：皮带传动；喷淋器形式：喷淋式；作业流程：提土-铺土-打穴-播种-覆土-淋水。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3.总功率≥1.61kW，空穴率≤2%，小时生产率≥500盘/小时。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设施耕整地装备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履带式多功能作业平台</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1.结构形式：履带式。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2.动力：220V电机驱动,整机功率≥10kW。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3.轨距≥1550mm，履带宽度≥150mm，最小离地间隙≥180mm，最小转弯半径≥850mm，机体重量≥800kg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4.速度范围：0-3.5km/h。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5.操纵形式：遥控式最大遥控距离≥100m。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6.起垄高度：150-200mm，垄顶宽度≥600mm，垄底宽度≥900mm，最小垄距≥1300mm，起垄效率≥1500m/h。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34510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设施耕整地装备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草莓起垄机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起垄尺寸：垄面宽≥40cm，垄沟宽≥30cm，垄距宽≥90cm，作业效率≥0.5亩/小时。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11480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设施耕整地装备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土豆培土机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1.配套动力:36.8-73.5kW。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2.作业幅宽≥125cm。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3.行数≥2。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4.垄数≥1。</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5.作业生产率≥0.3h㎡/h。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2065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设施耕整地装备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深耕机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1.配套动力≥35马力。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2.耕深≥30cm。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3.作业幅宽≥100cm。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4.犁刀数量≥6把。</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5.其他要求：带破碎滚碾。</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23800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设施耕整地装备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悬挂式起垄覆膜一体机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1.配套动力≥35马力。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2.45cm≤作业幅宽≤120cm，13cm≤垄高≤28cm，90cm≤适用地膜宽度≤200cm。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3.配置条件：需包含旋耕部件、起垄部件、镇压部件、铺滴灌装置、铺膜装置。</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9975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设施耕整地装备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自走式起垄覆膜机一体机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1.发动机类型：汽油机。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2.功率≥5kW。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3.450mm≤垄面宽度≤1200mm；150mm≤起垄高度≤250mm。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4.其他配置：含覆膜、铺管装置。</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10430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设施耕整地装备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旋耕起垄机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1.机身长度≥1.65m。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2.起垄宽度加刀具≥1.3m，把手高低可调。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3.机身重量≥180kg。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4.工作效率≥1.5亩/小时。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1855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设施耕整地装备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基质旋耕机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1.耕作宽度16-240cm。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2.用于基质架式栽培，基质槽内基质旋耕使用。</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移栽、播种装备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100亩及以上双行蔬菜移栽成套设备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1.由1台移栽机、2000张秧盘组成，可担负100亩移栽面积。</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2.移栽机≥2行，自走式，自动取投苗；单人单机作业，配套动力额定功率≥1.5kW；配套动力额定转速≥3600r/min。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3.行距≥450mm；株距调节范围50-520mm(标准株距20档)。</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4.蔬菜钵苗育秧盘秧盘质量≥477g；钵穴孔数220个。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5.秧盘材质工业用改性聚丙烯树脂；渗水孔型式十字型；钵穴孔上口沿尺寸≥20mm。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6.纵向传送爪孔中心距≥300mm。作业小时生产率≥0.2hm</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54530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移栽、播种装备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250亩及以上蔬菜移栽成套设备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1.由1台移栽机、5000张秧盘组成，可担负250亩移栽面积。</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2.移栽机≥2行，自走式，自动取投苗；单人单机作业，配套动力额定功率≥1.5kW；配套动力额定转速≥3600r/min。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3.行距≥450mm；株距调节范围50～520mm(标准株距20档)。</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4.蔬菜钵苗育秧盘秧盘质量≥477g；钵穴孔数220个；秧盘材质工业用改性聚丙烯树脂。</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5.渗水孔型式十字型；钵穴孔上口沿尺寸直径≥23mm；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6.纵向传送爪孔中心距300mm。作业小时生产率≥0.2hm</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68180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移栽、播种装备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100亩及以上单行蔬菜移栽成套设备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1.由1台移栽机、5000张秧盘组成，可担负100亩大葱移栽面积。</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2.移栽机≥1行，自走式，自动取投苗；单人单机作业；额定功率≥1.5kW；额定转速≥3600r/min。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株距调节范围53-116mm（可调）。</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3.蔬菜钵苗育秧盘秧盘质量≥477g；钵穴孔数220个。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4.秧盘材质工业用改性聚丙烯树脂；渗水孔型式十字型；钵穴孔上口沿尺寸直径≥23mm。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5.纵向传送爪孔中心距300mm。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6.作业小时生产率≥0.04hm</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48300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移栽、播种装备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2行及以上自走式钵苗蔬菜移栽成套设备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1.移栽机≥2行，自走式，自动取投苗。</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2.单人单机作业，配套动力额定功率≥1.5kW。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3.配套动力额定转速≥3600r/min。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4.行距≥450mm。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5.株距调节范围50～520mm(标准株距20档)。</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6.作业小时生产率≥0.2hm</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45430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移栽、播种装备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1行自走式钵苗蔬菜移栽成套设备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1.1行，自走式，自动取投苗。</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2.单人单机作业。</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3.额定功率≥1.5kW。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4.额定转速≥3600r/min。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5.株距调节范围53～116mm（可调）。</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6.作业小时生产率≥0.04hm</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25550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移栽、播种装备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手扶自走式蔬菜移栽成套设备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1.机器结构形式：手扶自走式。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2.前轮/后轮轮距1100-1300mm。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3.取苗方式：自动取苗；栽植行数2行。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4.栽植器形式鸭嘴式。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5.行距（可调）350-550mm。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6.株距（可调）250-550mm。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7.栽植效率6000-7000株/小时。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8.适应苗盘72孔和128孔。</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9.标准硬塑穴盘。</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43050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移栽、播种装备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4行牵引式蔬菜移栽机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1.栽植行数：4行。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2.行距：350-450mm。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3.株距：200-450mm。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4.工作效率：13000株/小时。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5.配套动力：70马力。</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9100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移栽、播种装备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大葱全程管理一体机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1.标定功率≥23.5kW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2.行走方式：履带式行走。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3.开沟、培土、施肥、收获作业宽度≥900mm。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4.作业高度≥1300mm。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5.喷施作业宽度≥9000mm。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6.自载水量≥1000L。</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7.肥箱容积≥100kg。</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33530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移栽、播种装备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蔬菜种子</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编织机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1.电机功率＞1.25kW，真空泵功率≥0.75kW。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2.工作效率＞2000m/h。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3.播种精度≥95%。</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移栽、播种装备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土豆播种机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1.配套动力：25.7-29.4kW。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2.作业幅宽：90-120cm。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3.行数≥2；垄数≥1。</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4.作业生产率≥0.12h㎡/h。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6790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水肥施用装备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沙石过滤器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1.过流量≥80m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2.Q235碳钢材质内外静电喷粉防腐处理，进出水口4寸。</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3.含电磁阀、控制器、滤料。</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3850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水肥施用装备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叠片过滤器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1.流量：50-80m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2.进出水口4寸，排污口3寸。</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3.3寸叠头3单元，Q235碳钢管道。</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2485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水肥施用装备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水泵变频器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1.10种主辅频率源，含辅助频率微调、频率合成功能。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2.模拟量输入增加两组4点输入曲线。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3.两组电机参数，可实现两台电机切换控制。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3115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水肥施用装备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悬挂式自走喷灌设备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1.运行速度4-16m/min。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2.喷洒宽度7-15m。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3.喷嘴流量：45/90/136 L/h。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4.支持本地、远程机手机端控制。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49元/㎡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水肥施用装备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4通道流量≥10m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/h水肥一体化成套设备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1.吸肥通道数量≥4。</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2.吸酸通道数量≥1。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3.双EC和双pH传感器。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4.流量≥10m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5.混合罐容积≥100升。</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6.PH吸肥带量杯量程100L/h。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7.吸肥带量杯量程≥300L/h。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水肥施用装备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连栋温室水肥一体化系统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1.混合桶系统容量≥110升(净容量≥80升)带溢流连接；</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2.液位保护：低水位保护；</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3.施肥通道数：≥2条EC的肥通道和1条pH的酸通道，可扩充；</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4.施肥通道的流量≥300L/h；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5.水泵流量≥10m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6.功率≥1.2 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7.传感器≥10bar高压双pH传感器；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8.紫外消毒机：功率≥800W，酸通道流量≥2L/h，系统泵流量≥15m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/h，压力≥2bar；</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9.RO水处理设备：反渗透膜（RO膜）孔径≤1/10000μm；出水标准：纯净水；进水水温：10-95℃，进水硬度：＜900mg/L。</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10.包括水源、贮水及供给设施、水处理设施、灌溉和施肥设施、田间管路、灌水器（如滴头）等。</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水肥施用装备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10-60m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/h智能水肥一体化系统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/h≤流量＜60m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2.通道数≥5个。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3.每个通道水肥吸量≥100L/h。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4.配肥精度EC值±0.1，PH±0.1。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5.总功率≥5.5kW。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6.可通过手机、网络平台等进行远程控制。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水肥施用装备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60m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/h及以上智能水肥一体化系统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1.流量≥60m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2.通道数≥9个。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3.每个通道水肥吸量≥200L/h。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4.配肥精度EC值±0.1，PH±0.1。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5.总功率≥8kW。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6.可通过手机、网络平台等进行远程控制。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水肥施用装备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中型集中灌溉式智能水肥一体化设备</w:t>
            </w:r>
          </w:p>
        </w:tc>
        <w:tc>
          <w:tcPr>
            <w:tcW w:w="7211" w:type="dxa"/>
            <w:noWrap w:val="0"/>
            <w:vAlign w:val="center"/>
          </w:tcPr>
          <w:p>
            <w:pPr>
              <w:widowControl/>
              <w:spacing w:line="16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sz w:val="13"/>
                <w:szCs w:val="13"/>
                <w:lang w:bidi="ar"/>
              </w:rPr>
              <w:t>一、灌溉首部</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灌溉首部负责水源提取、水源过滤、恒压供水，由潜水泵、恒压供水变频柜、三级过滤等设备组成。</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1.潜水泵</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流量≥80m</w:t>
            </w:r>
            <w:r>
              <w:rPr>
                <w:rFonts w:hint="eastAsia" w:ascii="宋体" w:hAnsi="宋体" w:cs="宋体"/>
                <w:snapToGrid w:val="0"/>
                <w:color w:val="000000"/>
                <w:kern w:val="0"/>
                <w:sz w:val="13"/>
                <w:szCs w:val="13"/>
                <w:lang w:bidi="ar"/>
              </w:rPr>
              <w:t>³</w:t>
            </w:r>
            <w:r>
              <w:rPr>
                <w:rStyle w:val="18"/>
                <w:rFonts w:ascii="宋体" w:hAnsi="宋体" w:eastAsia="宋体" w:cs="宋体"/>
                <w:snapToGrid w:val="0"/>
                <w:kern w:val="0"/>
                <w:sz w:val="13"/>
                <w:szCs w:val="13"/>
                <w:lang w:bidi="ar"/>
              </w:rPr>
              <w:t>/h，扬程≥50m，功率≥15kW。</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2.恒压供水变频柜</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潜水泵配套恒压供水变频器功率≥15kW。</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3.离心过滤器</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离心过滤器≥4寸，进出水口≥DN100。</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4.自动砂石过滤器</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砂石过滤器罐体数量≥2个，罐体直径≥1000mm；含设备本体、管道，电控，滤料；设备进出主管≥DN100。</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5.自动反冲洗叠片过滤器</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配置至少3组3寸全自动叠片过滤器，过滤精度≤150微米；进出口管径≥DN100，含三通阀、电磁阀和控制器；含自动反冲洗功能。</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二、智能水肥一体机（中型）</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集中灌溉式智能水肥一体机负责规模化精准配肥、自动灌溉施肥。</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10亩≤设备控制灌溉面积≤50亩</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1.智能水肥主机</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（1）主路式多通道智能水肥一体机主机，配置工业触摸屏≥15英寸，本地触屏控制+手机远程控制+电脑远程控制。</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（2）智能水肥机与物联网平台对接，实现数据上传和远程控制。</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（3）支持程序远程更新。</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4）设备关键组成：高可靠工业级PLC控制器，工业交换机，不锈钢肥料电磁阀（≥IP65防水线圈），循环电动阀，补水电动阀，射流器、断路器、中间继电器、接触器、恒压供水变频器、液位变送器、压力变送器、EC高精准传感器、PH高精准传感器、无线/有线通讯网关等。</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（5）本机支持精准配肥，全自动化配比施肥，每通道可设置不同吸肥比例。配肥精度：EC≤0.05 ms/cm，配肥稳定时间：标准工况下≤30s；注肥量≥3000升/小时/通道。</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（6）支持自动轮灌模式和定时灌溉模式。</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（7）本机配置支持10路及以上灌溉分区，可扩展灌溉分区。</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（8）采用化工级PVC混肥管道，可承受≥10公斤水压，强耐腐蚀，抗老化，不变形，使用寿命≥30年。</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2.注肥泵</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配置注肥泵4台，单通道注肥泵流量≥3m</w:t>
            </w:r>
            <w:r>
              <w:rPr>
                <w:rFonts w:hint="eastAsia" w:ascii="宋体" w:hAnsi="宋体" w:cs="宋体"/>
                <w:snapToGrid w:val="0"/>
                <w:color w:val="000000"/>
                <w:kern w:val="0"/>
                <w:sz w:val="13"/>
                <w:szCs w:val="13"/>
                <w:lang w:bidi="ar"/>
              </w:rPr>
              <w:t>³</w:t>
            </w:r>
            <w:r>
              <w:rPr>
                <w:rStyle w:val="18"/>
                <w:rFonts w:ascii="宋体" w:hAnsi="宋体" w:eastAsia="宋体" w:cs="宋体"/>
                <w:snapToGrid w:val="0"/>
                <w:kern w:val="0"/>
                <w:sz w:val="13"/>
                <w:szCs w:val="13"/>
                <w:lang w:bidi="ar"/>
              </w:rPr>
              <w:t>/h，扬程≥25m，功率≥0.75kW。</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3.循环施肥泵</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循环施肥泵数量≥2台。循环施肥泵配置不锈钢叶轮，流量≥45m</w:t>
            </w:r>
            <w:r>
              <w:rPr>
                <w:rFonts w:hint="eastAsia" w:ascii="宋体" w:hAnsi="宋体" w:cs="宋体"/>
                <w:snapToGrid w:val="0"/>
                <w:color w:val="000000"/>
                <w:kern w:val="0"/>
                <w:sz w:val="13"/>
                <w:szCs w:val="13"/>
                <w:lang w:bidi="ar"/>
              </w:rPr>
              <w:t>³</w:t>
            </w:r>
            <w:r>
              <w:rPr>
                <w:rStyle w:val="18"/>
                <w:rFonts w:ascii="宋体" w:hAnsi="宋体" w:eastAsia="宋体" w:cs="宋体"/>
                <w:snapToGrid w:val="0"/>
                <w:kern w:val="0"/>
                <w:sz w:val="13"/>
                <w:szCs w:val="13"/>
                <w:lang w:bidi="ar"/>
              </w:rPr>
              <w:t>/h，扬程≥40m，功率≥10kW。</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4.变频器</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变频器数量≥2台。变频器为高性能矢量型变频器，功率≥10kW，独立风道设计。</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5.母液罐</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锥形母液罐容量≥1.5m</w:t>
            </w:r>
            <w:r>
              <w:rPr>
                <w:rFonts w:hint="eastAsia" w:ascii="宋体" w:hAnsi="宋体" w:cs="宋体"/>
                <w:snapToGrid w:val="0"/>
                <w:color w:val="000000"/>
                <w:kern w:val="0"/>
                <w:sz w:val="13"/>
                <w:szCs w:val="13"/>
                <w:lang w:bidi="ar"/>
              </w:rPr>
              <w:t>³</w:t>
            </w:r>
            <w:r>
              <w:rPr>
                <w:rStyle w:val="18"/>
                <w:rFonts w:ascii="宋体" w:hAnsi="宋体" w:eastAsia="宋体" w:cs="宋体"/>
                <w:snapToGrid w:val="0"/>
                <w:kern w:val="0"/>
                <w:sz w:val="13"/>
                <w:szCs w:val="13"/>
                <w:lang w:bidi="ar"/>
              </w:rPr>
              <w:t>；搅拌电机功率≥0.75kW。母液罐配置不锈钢外保护玻璃液位计，计量母液罐液位；配置母液自动稀释系统，配置不锈钢电磁阀和液位变送器，通过智能水肥主机程序实现母液自动按比例稀释；母液罐具备无液停机和液位溢出保护功能。</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6.混肥罐</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混肥罐分别单独配置自动补水系统，并与智能水肥主机联动控制，实现水肥在混肥罐中精准预混。配置2台混肥罐，单混肥罐容量≥20m</w:t>
            </w:r>
            <w:r>
              <w:rPr>
                <w:rFonts w:hint="eastAsia" w:ascii="宋体" w:hAnsi="宋体" w:cs="宋体"/>
                <w:snapToGrid w:val="0"/>
                <w:color w:val="000000"/>
                <w:kern w:val="0"/>
                <w:sz w:val="13"/>
                <w:szCs w:val="13"/>
                <w:lang w:bidi="ar"/>
              </w:rPr>
              <w:t>³</w:t>
            </w:r>
            <w:r>
              <w:rPr>
                <w:rStyle w:val="18"/>
                <w:rFonts w:ascii="宋体" w:hAnsi="宋体" w:eastAsia="宋体" w:cs="宋体"/>
                <w:snapToGrid w:val="0"/>
                <w:kern w:val="0"/>
                <w:sz w:val="13"/>
                <w:szCs w:val="13"/>
                <w:lang w:bidi="ar"/>
              </w:rPr>
              <w:t>；混肥罐配置精准液位变送器，智能水肥机屏幕实时显示混肥罐水肥总量，具备无液停机和液位溢出保护功能。</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7.肥料流量计</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配置≥DN25电磁流量计4套，耐腐蚀。</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8.水肥总流量计</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 xml:space="preserve">配置≥DN100电磁流量计1套，耐腐蚀。 </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三、智能阀控设备</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智能阀控设备与智能水肥一体机有线联动控制，实现远程阀门控制。</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1.分区电动球阀</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 xml:space="preserve">安装分区电动球阀数量≥10套；分区电动球阀密封防护等级≥IP65；通径≥DN50，承压≥10公斤；电压AC220V，电机功率≥50W。 </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2.有线控制线缆</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 xml:space="preserve"> 配套国标RVV控制线缆。</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水肥施用装备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大型集中灌溉式智能水肥一体化设备</w:t>
            </w:r>
          </w:p>
        </w:tc>
        <w:tc>
          <w:tcPr>
            <w:tcW w:w="7211" w:type="dxa"/>
            <w:noWrap w:val="0"/>
            <w:vAlign w:val="center"/>
          </w:tcPr>
          <w:p>
            <w:pPr>
              <w:widowControl/>
              <w:spacing w:line="16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sz w:val="13"/>
                <w:szCs w:val="13"/>
                <w:lang w:bidi="ar"/>
              </w:rPr>
              <w:t>一、灌溉首部</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灌溉首部负责水源提取、水源过滤、恒压供水，由潜水泵、恒压供水变频柜、三级过滤等设备组成。</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1.潜水泵</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流量≥120m³/h，扬程≥45m，功率≥25kW。</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2.恒压供水变频柜</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潜水泵配套恒压供水变频器功率≥25kW。</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3.离心过滤器</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离心过滤器≥6寸，进出水口≥DN150。</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4.自动砂石过滤器</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砂石过滤器罐体数量≥2个，罐体直径≥1200mm；含设备本体、管道，电控，滤料；设备进出主管≥DN150。</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5.自动反冲洗叠片过滤器</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配置至少3组4寸全自动叠片过滤器，过滤精度≤150微米；进出口管径≥DN150，含三通阀、电磁阀和控制器；含自动反冲洗功能。</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二、智能水肥一体机（大型）</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集中灌溉式智能水肥一体机负责规模化精准配肥、自动灌溉施肥。</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50亩≤设备控制灌溉面积≤120亩</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1.智能水肥主机</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（1）主路式多通道智能水肥一体机主机，配置工业触摸屏≥15英寸，本地触屏控制+手机远程控制+电脑远程控制。</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（2）智能水肥机与物联网平台对接，实现数据上传和远程控制。</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（3）支持程序远程更新。</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4）设备关键组成：高可靠工业级PLC控制器，工业交换机，不锈钢肥料电磁阀（≥IP65防水线圈），循环电动阀，补水电动阀，射流器、断路器、中间继电器、接触器、恒压供水变频器、液位变送器、压力变送器、EC高精准传感器、PH高精准传感器、无线/有线通讯网关等。</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（5）本机支持精准配肥，全自动化配比施肥，每通道可设置不同吸肥比例。配肥精度：EC ≤0.05 ms/cm，配肥稳定时间：标准工况下≤30s；注肥量≥3000L/小时/通道。</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（6）支持自动轮灌模式和定时灌溉模式。</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（7）本机配置支持30路及以上灌溉分区，可扩展灌溉分区。</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（8）采用化工级PVC混肥管道，可承受≥10公斤水压，强耐腐蚀，抗老化，不变形，使用寿命≥30年。</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2.注肥泵</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配置注肥泵8台，单通道注肥泵流量≥3m³/h，扬程≥25m，功率≥0.75kW。</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3.循环施肥泵</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循环施肥泵数量≥4台。循环施肥泵配置不锈钢叶轮，流量≥45m³/h，扬程≥40米，功率≥10kW。</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4.变频器</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变频器数量≥4台。变频器为高性能矢量型变频器，功率≥10KW，独立风道设计。</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5.母液罐</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锥形母液罐容量≥2m³；配置搅拌电机≥1.5kW。母液罐配置不锈钢外保护玻璃液位计，计量母液罐液位；配置母液自动稀释系统，配置不锈钢电磁阀和液位变送器，通过智能水肥主机程序实现母液自动按比例稀释；母液罐具备无液停机和液位溢出保护功能。</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6.混肥罐</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混肥罐分别单独配置自动补水系统，并与智能水肥主机联动控制，实现水肥在混肥罐中精准预混。配置4台混肥罐，单混肥罐容量≥50m</w:t>
            </w:r>
            <w:r>
              <w:rPr>
                <w:rFonts w:hint="eastAsia" w:ascii="宋体" w:hAnsi="宋体" w:cs="宋体"/>
                <w:snapToGrid w:val="0"/>
                <w:color w:val="000000"/>
                <w:kern w:val="0"/>
                <w:sz w:val="13"/>
                <w:szCs w:val="13"/>
                <w:lang w:bidi="ar"/>
              </w:rPr>
              <w:t>³</w:t>
            </w:r>
            <w:r>
              <w:rPr>
                <w:rStyle w:val="18"/>
                <w:rFonts w:ascii="宋体" w:hAnsi="宋体" w:eastAsia="宋体" w:cs="宋体"/>
                <w:snapToGrid w:val="0"/>
                <w:kern w:val="0"/>
                <w:sz w:val="13"/>
                <w:szCs w:val="13"/>
                <w:lang w:bidi="ar"/>
              </w:rPr>
              <w:t xml:space="preserve">；混肥罐配置精准液位变送器，智能水肥机屏幕实时显示混肥罐水肥总量，具备无液停机和液位溢出保护功能。 </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7.肥料流量计</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配置≥DN25电磁流量计8套，耐腐蚀。</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8.水肥总流量计</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 xml:space="preserve">配置≥DN100电磁流量计2套，耐腐蚀。 </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三、智能阀控设备</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智能阀控设备与智能水肥一体机有线联动控制，实现远程阀门控制。</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1.分区电动球阀</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 xml:space="preserve">安装分区电动球阀数量≥30套；分区电动球阀密封防护等级≥IP65；通径≥DN50，承压≥10公斤；电压AC220V，电机功率≥50W。 </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2.有线控制线缆</w:t>
            </w:r>
            <w:r>
              <w:rPr>
                <w:rStyle w:val="18"/>
                <w:rFonts w:ascii="宋体" w:hAnsi="宋体" w:eastAsia="宋体" w:cs="宋体"/>
                <w:snapToGrid w:val="0"/>
                <w:kern w:val="0"/>
                <w:sz w:val="13"/>
                <w:szCs w:val="13"/>
                <w:lang w:bidi="ar"/>
              </w:rPr>
              <w:br w:type="textWrapping"/>
            </w:r>
            <w:r>
              <w:rPr>
                <w:rStyle w:val="18"/>
                <w:rFonts w:ascii="宋体" w:hAnsi="宋体" w:eastAsia="宋体" w:cs="宋体"/>
                <w:snapToGrid w:val="0"/>
                <w:kern w:val="0"/>
                <w:sz w:val="13"/>
                <w:szCs w:val="13"/>
                <w:lang w:bidi="ar"/>
              </w:rPr>
              <w:t>配套国标RVV控制线缆。</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设施植保装备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无土栽培基质蒸汽消毒机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1.包括蒸汽发生装置、换热装置和水质软化装置等。</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2.蒸汽温度120-200℃，可调。</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3.整机功率≥8kW；生产率≥2.5m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/h；耗油量≤4kg/h。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56000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设施植保装备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除草机器人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行走电机：800w电机/2个；行走方式：履带；爬坡能力：小于55度；重量：450kg；割草宽度：80cm；割草效率：3-5亩/小时。可自主作业。</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22750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设施植保装备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自动喷雾机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1.连栋温室种植面积≥2公顷。</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2.具有消毒、灌溉、加湿等功能。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3.软管长度≥200m。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4.行进速度≥70m/min。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5.导轨宽度：40-80cm。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设施植保装备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臭氧物理防治设备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1.电源电压≥220V。</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2.整机功率≥320W。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3.控制空间≥1亩。</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4.整机质量≥15kg。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5.风机风量≥1000m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6.臭氧发生量≥10g/h。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4830</w:t>
            </w:r>
          </w:p>
        </w:tc>
        <w:tc>
          <w:tcPr>
            <w:tcW w:w="759" w:type="dxa"/>
            <w:noWrap w:val="0"/>
            <w:vAlign w:val="center"/>
          </w:tcPr>
          <w:p>
            <w:pPr>
              <w:widowControl/>
              <w:spacing w:line="240" w:lineRule="exact"/>
              <w:jc w:val="center"/>
              <w:rPr>
                <w:rFonts w:hint="eastAsia"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设施植保装备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自走式动力喷雾机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1.吸水量≥21.4L/min。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2.最高压力≥4.0Mpa。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3.标定功率≥3.0kW。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4.软管长度≥100m。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5.机器可自走，选配1把喷枪；100m软管可自动回收（可再延接）；配合各种喷枪，达到不同效果，可在温室、菜园、果园等多种场合使用。</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14700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设施植保装备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自走式多功能遥控喷雾机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1.定向导航，自动记忆，主动避障，可原地自转。</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2.流量≥30L/h。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3.喷雾运行时间≥2h。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4.施药效率≥4亩/h。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5.雾滴直径≤100</w:t>
            </w:r>
            <w:r>
              <w:rPr>
                <w:rStyle w:val="19"/>
                <w:rFonts w:hint="eastAsia" w:ascii="宋体" w:hAnsi="宋体" w:cs="宋体"/>
                <w:snapToGrid w:val="0"/>
                <w:kern w:val="0"/>
                <w:lang w:bidi="ar"/>
              </w:rPr>
              <w:t>μ</w:t>
            </w:r>
            <w:r>
              <w:rPr>
                <w:rStyle w:val="18"/>
                <w:rFonts w:ascii="宋体" w:hAnsi="宋体" w:eastAsia="宋体" w:cs="宋体"/>
                <w:snapToGrid w:val="0"/>
                <w:kern w:val="0"/>
                <w:lang w:bidi="ar"/>
              </w:rPr>
              <w:t>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6.喷射距离≥12m。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7.药箱容量≥30L。</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设施植保装备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高压微雾设备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1.喷嘴直径≤5mm，雾粒粒径≤50</w:t>
            </w:r>
            <w:r>
              <w:rPr>
                <w:rStyle w:val="19"/>
                <w:rFonts w:hint="eastAsia" w:ascii="宋体" w:hAnsi="宋体" w:cs="宋体"/>
                <w:snapToGrid w:val="0"/>
                <w:kern w:val="0"/>
                <w:lang w:bidi="ar"/>
              </w:rPr>
              <w:t>μ</w:t>
            </w:r>
            <w:r>
              <w:rPr>
                <w:rStyle w:val="18"/>
                <w:rFonts w:ascii="宋体" w:hAnsi="宋体" w:eastAsia="宋体" w:cs="宋体"/>
                <w:snapToGrid w:val="0"/>
                <w:kern w:val="0"/>
                <w:lang w:bidi="ar"/>
              </w:rPr>
              <w:t>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2.AC380V供电、功率≥550W。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3.带高低液位保护及三级过滤。</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4.支持本地、远程机手机端控制。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设施植保装备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7.5kW高压微雾设备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1.可远程调控，实现自主调节压力。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2.高压微雾设备进水水质包括洁净的自来水或者软化水、纯水。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3.运行功率4.5-7.5kW，转速1450r/min，流量80L/min，压力30-90Pa。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4.喷雾半径≥2.5m。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5.可进行时间控制，手动/自动、智能可切换。</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设施植保装备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高压喷雾系统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1.连栋温室种植面积≥2公顷。</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2.包括超高压不锈钢管道、超高压软管、不锈钢喷头、超高压水泵等，喷雾工作压力≥8kpa，雾滴直径≤10μm。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3.不锈钢喷头，喷嘴孔径≤0.4mm。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14元/㎡</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设施采收运装备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采收平台</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1.包括双层采收平台及单层采收平台。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2.双层采收平台：带滑轮，可在轨道及平地移动，举升高度≥2.5m。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3.单层铝板采收车：带滑轮，可在轨道及平地移动，可配合牵引装置使用。</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设施采收运装备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半自动登高采摘车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1.工作平台尺寸≥1000×400mm，平台载重≥150kg，举升高度≥2.8m。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2.设备行走电机≥0.5kW，设备电池≥24V/25A、两块，行驶速度≥60m/min。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3.工作方式：双人手动调节升高高度，脚踏开关控制车辆前进/后退。</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设施采收运装备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全自动升降平台</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1.最小高度50cm，举升高度≥3m。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2.承载能力≥250kg。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3.行进速度≥60m/min。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设施采收运装备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200-250kg轨道采摘车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1.无级调速前进后退，工作台自动控制液压升降，工作平台尺寸≥1.5m×0.5m。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2.举升高度≥2.5m，200kg≤额定载荷＜250kg，速度≥1.0m/s。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3.电池容量≥100AH，液压站功率≥800W，驱动电机功率≥300W。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设施采收运装备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250kg及以上轨道采摘车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1.无级调速前进后退，工作台自动控制液压升降，工作平台尺寸≥1.8m×0.5m。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2.举升高度≥3m，额定载荷≥250kg，速度≥60m/min。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3.电池容量≥150AH，液压站功率≥1kW，驱动电机功率≥0.35kW。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28700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设施采收运装备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温室内外运输车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1.电机功率≥800W；载重≥500kg；续航里程≥25h；刹车：机械鼓刹；座椅：可正骑和倒骑，座椅可旋转。</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2.无需掉头，零排放。适用于传统温室大棚。</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997</w:t>
            </w:r>
          </w:p>
        </w:tc>
        <w:tc>
          <w:tcPr>
            <w:tcW w:w="759" w:type="dxa"/>
            <w:noWrap w:val="0"/>
            <w:vAlign w:val="center"/>
          </w:tcPr>
          <w:p>
            <w:pPr>
              <w:widowControl/>
              <w:spacing w:line="240" w:lineRule="exact"/>
              <w:jc w:val="left"/>
              <w:rPr>
                <w:rFonts w:hint="eastAsia"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设施采收运装备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智能采收称重设备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1.可将农作物种植地块、品种等信息数据自动上传到平台。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2.量程≥100kg，通讯方式包括WiFi、蓝牙。</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3.测量精度≥0.01kg；工作环境温度-20-55℃，储藏环境湿度-30-70℃。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1400</w:t>
            </w:r>
          </w:p>
        </w:tc>
        <w:tc>
          <w:tcPr>
            <w:tcW w:w="759" w:type="dxa"/>
            <w:noWrap w:val="0"/>
            <w:vAlign w:val="center"/>
          </w:tcPr>
          <w:p>
            <w:pPr>
              <w:widowControl/>
              <w:spacing w:line="240" w:lineRule="exact"/>
              <w:jc w:val="left"/>
              <w:rPr>
                <w:rFonts w:hint="eastAsia"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设施采收运装备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电动土上蔬菜收获机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1.功能：可实现贴地、离地切割，直立生长、倒伏类叶菜均可收割。</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2.结构形式：手扶式。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3.配套动力：电机。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4.配套动力：标定功率≥1kW。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5.电池类型：磷酸铁锂电池。</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6.电池容量AhV≥48V≥40ah。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7.制动形式：鼓刹。</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8.驱动结构形式：电动后轮两驱。</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9.行走方式：畦面直线行走。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10.割刀型式：往复式双动割刀。</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12.作业幅宽≥1200mm；割茬高度调节范围0-250mm。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13.速度0.2-0.4m/s。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14.生产率0.04-0.08h㎡/h。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设施采收运装备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土上叶菜收获机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1.作业幅宽≥120cm。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2.割刀形式：带刀式。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4.电机功率≥3kW。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5.动力类型：电机驱动。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6.生产效率1-1.5亩/小时。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7.作业速度≤0.3m/s。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8.行驶速度≤0.6m/s。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9.割茬高度调节范0-115mm。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10.最小离地间隙≥270mm。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11.行走方式：轮式前驱。</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12.变速方式：电位调速。</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26320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设施采收运装备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土下叶菜收获机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1.配套动力≥27hp。</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2.结构形式：履带式。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3.割刀形式：锯齿往复式。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4.割茬高度调节范围土下20—土上100mm。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5.履带中心距≥1000mm。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6.最小离地间隙≥200mm。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7.工作宽幅≥1200mm。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8.作业速度≥6m/min。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29610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设施采收运装备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电动土下蔬菜收获机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1.功能：可实现入土切割叶菜，收获后叶菜不散棵。</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2.结构型式：手扶式。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3.配套动力：电机。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4.电池类型：磷酸铁锂电池。</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5.电池容量≥48V≥40ah。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6.制动形式：鼓刹。</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7.驱动结构形式：电动后轮两驱。</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8.行走方式：畦面直线行走。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9.割刀型式：摆动式锯片刀。</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11.作业幅宽≥1200mm。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12.割茬高度调节范围0-160mm；输送装置：履带。</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13.作业速度0.05-0.15m/s。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14.生产率0.02-0.065h㎡/h。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19600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设施废弃物处理设备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处理能力≥15t/h果蔬残体综合节能成套处理设备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1.机身防腐工艺双层粉末吸附喷涂。</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静音综合粉碎机处理物料直径不限、干湿不限，主机功率≤30kW，处理能力≥15t/h，噪音控制≤45分贝，上料方式机械入料，进料口面积≥1㎡，刀片材质高硬度高耐磨550型终生免更换，防腐工艺双层粉末吸附喷涂。</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3.联动控制系统配有综合电控箱1个，PLC程控系统可编程，可调节一套，全套设备可联动可独立运行，自动、点动多种模式切换控制。</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4.自动出料电机功率≤3kW，材质一体式聚丙乙烯环形带，出料高度≥3m高低可调，工作效率≥300m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147000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设施废弃物处理设备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处理能力≥25t/h果蔬残体综合节能成套处理设备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1.机身防腐工艺双层粉末吸附喷涂。</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静音综合粉碎机处理物料直径不限、干湿不限，主机功率≤60kW，处理能力≥25t/h，噪音控制≤45分贝，上料方式机械入料，进料口面积≥1.5㎡，刀片材质高硬度高耐磨550型终生免更换，防腐工艺双层粉末吸附喷涂。</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3.联动控制系统配有综合电控箱1个，PLC程控系统可编程，可调节一套，全套设备可联动可独立运行，自动、点动多种模式切换控制。</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4.自动出料电机功率≤3kW，材质一体式聚丙乙烯环形带，出料高度≥3m高低可调，工作效率≥300m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269500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设施废弃物处理设备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果蔬残体处理设备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锤片≥40片，刀轴转速≥1860转/分，粉碎长度2-10毫米，配套动力≥30kW。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16870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设施废弃物处理设备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薯类碎秧机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1.配套动力：18马力以上四轮拖拉机。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2.机构形式：三点式悬挂。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3.工作效率：3-5亩/小时。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1960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设施废弃物处理设备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藤蔓粉碎机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1.供给口宽≥300mm。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2.破碎直径50-70mm。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3.发动机功率≥9.0kW/1800r/min。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4.发动机类型：汽油版发动机。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5.爬坡能力≥25（度）。</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6.档位数前进3档，后退2档。</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26320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高效智慧设施农业成套设备</w:t>
            </w:r>
          </w:p>
        </w:tc>
        <w:tc>
          <w:tcPr>
            <w:tcW w:w="7211" w:type="dxa"/>
            <w:noWrap w:val="0"/>
            <w:vAlign w:val="top"/>
          </w:tcPr>
          <w:p>
            <w:pPr>
              <w:widowControl/>
              <w:spacing w:line="240" w:lineRule="exact"/>
              <w:jc w:val="left"/>
              <w:textAlignment w:val="top"/>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1.连栋温室种植面积≥2公顷，种植架材质镀锌钢管，镀锌量≥120g/m</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，喷塑厚度≥160μm，种植架长度≥500延米。</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2.种植槽和种植盘：EPS材质发泡率：≤20，种植槽大棚膜：EVA，厚度≥0.3mm。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3.补光灯：功率≥40W，LED，使用寿命≥5000h，反射率＞95%。</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4.通风系统：风量≥5500m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/h，功率≥1.5kW，全压≥400pa，静压≥250pa，转速≥1400r/min，机组效率≥55%。</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5.营养液供给系统：供给量≥1000mL/min；EC配比范围0-20mS/cm；PH配比范围0-14pH；精度：EC±4%，PH±0.03，温度±1℃。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6.潜水泵：Q≥50m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/h，H≥10m，功率≥3kW；提升泵 Q≥45m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/h，H≥30m，功率≥5.5kW，转速2900r/min。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7.环境控制设备：循环风量≥15000m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/h，制冷量≥70kW，功率≥23kW；电加热器功率≥30kW，送风距离≥7m，加湿量≥15kg/h；新风机：风量L≥6000m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/h，电机功率≥6kW，风压≥300Pa，主轴转速≥1400r/min。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8.二氧化碳供给设备额定进口压力：≥15MPa；额定出口压力：0-0.8MPa（可调）；自动切换压力：1MPa（通过压力表调节）；空瓶警示压力：1MPa（通过压力表调节）。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9.除湿机：除湿量≥12L/h，处理风量：≥3000m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/h，控制湿度10%-90%，精度±3%。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10.风淋室：喷嘴≥12个，过滤效率≥99%，喷口风速≥25m/s，循环风量≥2400m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/h，功率≥0.5kW。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11.货淋室：喷嘴≥36个，过滤效率≥99%，喷口风速≥25m/s，循环风量2400m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/h，功率≥0.5kW。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12.种子保藏设施：有效容积≥400L，控温范围0-10℃，控温精度：±1℃，湿度范围30%-60%RH以下，控湿精度：±5%RH，控制方式：全自动；热功率≥1kW。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13.质量控制设备：电解水设备制水量≥350L/h；称重机：304不锈钢台面，称重范围40g-10kg；金属检测机功率≥300W，检测铁标准≤1.0mm，检测非铁≤1.5mm；PH值5.0-6.5，有效氯浓度介于10ppm-30ppm。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14.作业平台：304不锈钢作业台面及水槽；定植/临时定植台车，铝材和EPS；平台额定荷载≥300kg，最小转弯半径：≤1200mm，蓄电池：≥2×12V/80Ah。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15.中央控制系统：包括显示、监控、存储、远程数据监控等功能。</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1946000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日光温室作物生长监测调控成套设备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日光温室种植面积≥700㎡。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温室环境图像智能监测系统：实时监测温室内空气温度、空气湿度、光照强度和照片参数，上传图像数据；空气温度测定范围-30-75℃；空气湿度测定范围0～100%；光照强度测定范围0～65535lux；图像采集分辨率1600×1200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2.作物长势监控系统：能够远程监控温室内作物的生长状况，支持温室环境数据接收；200万像素，采用无线数据传输，实现远程在线监测。</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3.智能卷被系统：可按比例精准控制卷被的停放位置，在控制卷被的自动开启、关闭的时候，自动监测卷被的运动状态，并实时反馈，实现远程控制。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4.智能风口控制系统：在上下卷膜机上集成行程、限位、电流等多个传感器，实现对上下卷膜机远程控制的同时，对其工作状态进行精准监测，并实时反馈，实现远程控制。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温室环境智能调控系统：电路、控制通路、工作状态反馈三路集成，可扩展3路环境控制设备的智能开启关闭及工作状态反馈，（配备15.6寸显示屏，支持本地手动控制、手机/电脑远程控制；支持时控、阈值控制；开合类电机行程控制；支持用电安全监测；交流支路用电量统计。</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20.3/㎡</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连栋温室作物生长监测调控成套设备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连栋温室种植面积≥5亩。</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温室环境图像智能监测系统：实时监测温室内空气温度、空气湿度、光照强度和照片参数，上传图像数据；空气温度测定范围-30-75℃；空气湿度测定范围0～100%；光照强度测定范围0～65535lux；图像采集分辨率1600×1200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2.作物长势监控系统：能够远程监控温室内作物的生长状况，支持温室环境数据接收；200万像素，采用无线数据传输，实现远程在线监测。</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3.外遮阳控制系统：可按比例精准控制外遮阳的停放位置，在控制外遮阳的自动开启、关闭的时候，自动监测外遮阳的运行状态，并实时反馈，实现远程控制。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4.智能风口控制系统：在上下卷膜机上集成行程、限位、电流等多个传感器，实现对上下卷膜机远程控制的同时，对其工作状态进行精准监测，并实时反馈，实现远程控制。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温室环境智能调控系统：电路、控制通路、工作状态反馈三路集成，可扩展8路环境控制设备的智能开启关闭及工作状态反馈，配备15.6寸显示屏，支持本地手动控制、手机/电脑远程控制；支持时控、阈值控制；开合类电机行程控制；支持用电安全监测；交流支路用电量统计。</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23.8/㎡</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集装箱式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植物工厂</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1.补光灯灯光功率≥6900W。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2.补光灯灯光波峰：450nm和630nm。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3.红蓝比例4：1。</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4.紫外消毒灯≥80W。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5.制冷空调≥5匹。</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6.种植架层数≥3层。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7.喷淋量（水）≥20L/min。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8.最大雾化量≥10L/h，自吸。</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72800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500-2000㎡植物工厂定植采收操作系统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1.自动行走升降梯：1台，最大高度≥3500mm、最低高度≤800mm，额定荷载≥300kg，最小转弯半径≤1200mm，蓄电池≥80Ah（2×12V），工作平台≥1150×600mm，行走速度≥4km/h，升降速度≥75mm/s。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2.定植/临时定植用转运架：1台，铝材和EPS，规格≥2000×1600mm×700mm，4层。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3.收获作业转运架：2台，铝材和EPS，规格≥2000×1600mm×700mm，4层。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4.托盘干燥架：2个，铝材，规格≥2000×1500mm×400mm，层数2。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5.白钢作业台：2台，304不锈钢，规格≥2400×1200mm×700mm。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6.蔬菜暂存柜/具有相同技术指标的冷库：1台，冷藏柜有效内容积≥1667L,控温范围0-12℃，控温精度士1℃，控制方式全自动，热功率≥1kW。                                                                                                                      7.2000㎡以下，以500㎡为一个基本建设单元。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87150元/500㎡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大于2000㎡植物工厂定植采收操作系统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1.定植/采收操作台：1座，基材Q235B+冷轧钢，工艺热镀锌，镀锌量≥120g/m²，主材符合标准《碳素钢结构》（GB/T700-2006）；按种植架布局定制，工作台面宽度≥120mm，工作台面总长度≥100m。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2.升降梯：1台，基材Q235B+铝合金型材，工艺无基坑液压升降电梯，主要参数升降速度为≥0.5m/min，安装方式高强螺栓连接，地脚固定，工作平台≥1600×2000mm，载重≥2t，升高≥3500mm。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3.自动行走升降梯：1台，最大高度≥3500mm，最低高度≤800mm，额定荷载≥300kg，最小转弯半径≤1200mm，蓄电池≥80Ah（2×12V），工作平台≥1150×600mm，行走速度≥4km/h，升降速度≥75mm/s。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4.定植/临时定植用转运架：2台，铝材和EPS，规格≥2000×1600mm×700mm，4层。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5.收获作业转运架：4台，铝材和EPS，规格≥2000×1600mm×700mm，4层。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6.托盘干燥架：8个，铝材，规格≥2000×1500mm×400mm，层数2。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7.白钢作业台：4台，304不锈钢，规格≥2400×1200mm×700mm。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8.蔬菜暂存柜/具有相同技术指标的冷库：4台，冷藏柜有效内容积≥1667L，控温范围0-12℃，控温精度士1℃，控制方式全自动；热功率≥1kW。                                                                                                                           9.2000㎡以上，以2000㎡为一个基本建设单元。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148050元/2000㎡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500-2000㎡植物工厂环境、营养液等远程监控系统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1.温度湿度CO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光照四合一传感器：4套；温度测量范围0-60℃，测量精度±0.3℃；湿度测量范围0-100%RH，测量精度±3%（10-90RH%，25℃）；CO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传感器测量范围0-5000ppm，工作温度0-45℃，分辨率≥1ppm，测量精度±3%；光照传感器测量范围0-200000Lux，工作温度-10-70℃，测量精度±7%，RS485通讯。</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营养液监测：1套营养液液位传感器测量范围0～10m，分辨率0.1mm，测量精度±1mm，RS485通讯；营养液温度传感器测量范围0-60℃，测量精度±0.3℃，RS485通讯；营养液EC传感器量程0-1999us/cm，操作温度0-50℃，分辨率≥1us/cm，精度±2%FS，RS485通讯；营养液pH传感器量程0-14，操作温度0-60℃，分辨率≥0.01pH，精度±0.01pH，RS485通讯。</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3.数据存储：1套，高速存储服务器，内存≥8GB，硬盘≥1TB，吞吐量≥139QPS。</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4.数据监视：1套，LED高清显示器，分辨率≥4k。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5.2000㎡以下，以500㎡为一个基本建设单元。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173600元/500㎡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大于2000㎡植物工厂环境、营养液等远程监控系统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1.温度湿度CO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光照四合一传感器：16套，温度测量范围0-60℃，测量精度±0.3℃；湿度测量范围0-100%RH，测量精度±3%（10-90RH%，25℃）；CO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传感器测量范围0-5000ppm，工作温度0-45℃，分辨率≥1ppm，测量精度±3%；光照传感器测量范围0-200000Lux，工作温度-10-70℃，测量精度±7%，RS485通讯。</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营养液监测：2套，营养液液位传感器测量范围0-10m，分辨率0.1mm，测量精度±1mm，RS485通讯；营养液温度传感器测量范围0-60℃，测量精度±0.3℃，RS485通讯；营养液EC传感器量程0-1999us/cm，操作温度0-50℃，分辨率≥1us/cm，精度±2%FS，RS485通讯；营养液pH传感器量程0-14，操作温度0-60℃，分辨率≥0.01pH，精度±0.01pH，RS485通讯。</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3.数据存储：1套，高速存储服务器，内存≥8GB，硬盘≥4TB，吞吐量≥139QPS。</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4.数据监视：1套，LED高清显示器，分辨率≥4k。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5.2000㎡以上，以2000㎡为一个基本建设单元。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218750元/2000㎡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500-2000㎡植物工厂环境控制系统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1.恒温恒湿空调机组：2套，循环风量≥15000m³/h，制冷量≥70kW，功率≥23kW；电加热器功率≥30kW，送风距离≥7m，加湿量≥15kg/h；初效+中效空气过滤器。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2.新风机：2套，风量≥6000m³/h，电机功率≥6kW，风压≥300Pa，主轴转速≥1400r/min。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3.通风系统：1套，风量≥5500m³/h，功率≥15kW，全压≥400Pa，静压≥250Pa，转速≥1400r/min，机组效率≥55%。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4.空气UV消毒：2套，石英UV消毒灯，寿命≥8000h。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5.除湿机：2套，除湿量≥12L/h，处理风量≥3000m³/h，控制湿度10%-90%，精度士3%。</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6.风淋室：1套，双吹，喷嘴≥12个，过滤效率≥99%，喷口风速≥25m/s，循环风量≥2400m³/h，功率≥0.5kW。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7.风淋室（带喷淋）：1套，双吹，喷嘴≥12个，过滤效率≥99%，喷口风速≥25m/s，循环风量≥2400m³/h，功率≥0.5kW。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8.货淋室：1套，喷嘴≥36个，过滤效率≥99%，喷口风速≥25m/s，循环风量2400m³/h，功率≥0.5kW;宽度≥2200mm，深度≥1500mm，高度≥2100mm。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9.2000㎡以下，以500㎡为一个基本建设单元。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340200元/500㎡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大于2000㎡植物工厂环境控制系统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1.恒温恒湿空调机组：8套，循环风量≥15000m³/h，制冷量≥70kW，功率≥23kW;电加热器功率≥30kW，送风距离≥7m，加湿量≥15kg/h；初效+中效空气过滤器。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2.新风机：4套，风量≥6000m³/h，电机功率≥6kW，风压≥300Pa，主轴转速≥1400r/min。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3.通风系统：2套，风量≥5500m³/h，功率≥15kW，全压≥400Pa，静压≥250Pa，转速≥1400r/min，机组效率≥55%。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4.空气UV消毒：4套，石英UV消毒灯，寿命≥8000h。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5.除湿机：4套，除湿量≥12L/h，处理风量≥3000m³/h，控制湿度10%-90%，精度士3%。</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6.风淋室：1套，双吹，喷嘴≥12个，过滤效率≥99%，喷口风速≥25m/s，循环风量≥2400m³/h，功率≥0.5kW。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7.风淋室（带喷淋）：1套，双吹，喷嘴≥12个，过滤效率≥99%，喷口风速≥25m/s，循环风量≥2400m³/h，功率≥0.5kW。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8.货淋室：1套，喷嘴≥36个，过滤效率≥99%，喷口风速≥25m/s，循环风量2400m³/h，功率≥0.5kW；宽度≥2200mm，深度≥1500mm，高度≥2100mm。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9.2000㎡以上，以2000㎡为一个基本建设单元。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758450元/2000㎡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500-2000㎡植物工厂通风及二氧化碳供应系统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1.全自动气动切换CO</w:t>
            </w:r>
            <w:r>
              <w:rPr>
                <w:rFonts w:hint="eastAsia" w:ascii="宋体" w:hAnsi="宋体" w:cs="宋体"/>
                <w:snapToGrid w:val="0"/>
                <w:color w:val="000000"/>
                <w:kern w:val="0"/>
                <w:sz w:val="18"/>
                <w:szCs w:val="18"/>
                <w:vertAlign w:val="subscript"/>
                <w:lang w:bidi="ar"/>
              </w:rPr>
              <w:t>2</w:t>
            </w:r>
            <w:r>
              <w:rPr>
                <w:rFonts w:hint="eastAsia" w:ascii="宋体" w:hAnsi="宋体" w:cs="宋体"/>
                <w:snapToGrid w:val="0"/>
                <w:color w:val="000000"/>
                <w:kern w:val="0"/>
                <w:sz w:val="18"/>
                <w:szCs w:val="18"/>
                <w:lang w:bidi="ar"/>
              </w:rPr>
              <w:t>气体汇流排：1套，4-6瓶组；额定进口压力15MPa，额定出口压力0-0.8MPa（可调）；自动切换压力≥1MPa（通过压力表调节）；空瓶警示压力≥1MPa（通过压力表调节）；警示讯声光报警；电源电压≥AC220V；工作电压≥DC24V（供报警讯号灯和电磁阀使用）；二氧化碳传输管路，材质≥PVC-U。</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2.种植架供风管路：1套，材质≥PVC-U，直径≥8cm。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3.主管道供风风机：1套，风量≥3500m³/h,功率≥1.5kW，全压≥400Pa，静压≥250Pa，转速≥1400r/min，机组效率≥55%。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4.分管道供风风机：1套，风量≥2000m³/h,功率≥0.5kW，全压≥250Pa，静压≥150Pa，转速≥1400r/min，机组效率≥55%。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5.2000㎡以下，以500㎡为一个基本建设单元。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60900元/500㎡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大于2000㎡植物工厂通风及二氧化碳供应系统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1.全自动气动切换CO</w:t>
            </w:r>
            <w:r>
              <w:rPr>
                <w:rFonts w:hint="eastAsia" w:ascii="宋体" w:hAnsi="宋体" w:cs="宋体"/>
                <w:snapToGrid w:val="0"/>
                <w:color w:val="000000"/>
                <w:kern w:val="0"/>
                <w:sz w:val="18"/>
                <w:szCs w:val="18"/>
                <w:vertAlign w:val="subscript"/>
                <w:lang w:bidi="ar"/>
              </w:rPr>
              <w:t>2</w:t>
            </w:r>
            <w:r>
              <w:rPr>
                <w:rStyle w:val="18"/>
                <w:rFonts w:ascii="宋体" w:hAnsi="宋体" w:eastAsia="宋体" w:cs="宋体"/>
                <w:snapToGrid w:val="0"/>
                <w:kern w:val="0"/>
                <w:lang w:bidi="ar"/>
              </w:rPr>
              <w:t>气体汇流排：4套，4-6瓶组；额定进口压力15MPa，额定出口压力0-0.8MPa（可调）；自动切换压力1MPa（通过压力表调节）；空瓶警示压力1MPa（通过压力表调节）；警示讯号声光报警；电源电压≥AC220V；工作电压≥DC24V（供报警讯号灯和电磁阀使用）；二氧化碳传输管路，材质PVC-U。</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2.种植架供风管路材质：4套，PVC-U，直径≥8cm。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3.主管道供风风机：4套，风量≥3500m³/h，功率≥1.5kW，全压≥400Pa，静压≥250Pa，转速≥1400r/min，机组效率≥55%。</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4.分管道供风风机：4套，风量≥2000m³/h，功率≥0.5kW，全压≥250Pa，静压≥150Pa，转速≥1400r/min，机组效率≥55%。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5.2000㎡以上，以2000㎡为一个基本建设单元。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215250元/2000㎡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500-2000㎡植物工厂营养液系统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1.纯水机：1套，制水量≥4T/h，质量标准电导率＜35。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2.营养液配比：1套，营养液配比机供给量≥1000mL/min；EC配比范围0-20mS/cm；pH配比范围0-14pH；精度：EC±4%，pH±0.03，温度±1℃。</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营养液供给与循环：1套，供液箱≥3m³，材质316L不锈钢；回液箱≥2m³，材质316L不锈钢；循环管路采用PVC-U给水管道，压力等级PN10；潜水泵流量Q≥50m³/h，扬程H≥10m，功率≥3kW，材料316L不锈钢；管道泵材质316L不锈钢，流量Q≥80m³/h，功率≥7kW，扬程H≥24m，腔体材料316L不锈钢，反水轮材料316L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4.营养液过滤设备：1套，过滤器材质316L不锈钢，过滤网≤120mm，流量≥50m³/h。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5.营养液消毒：1套，营养液消毒机循环水量20-200L/min，臭氧发生量≥2g/h。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6.营养液冷却：1套，营养液制冷机制冷量≥13kW；制热量≥14kW；制冷功率≥4kW；制热功率≥4kW；制冷剂R22；制冷水流量≥2m³/h；压缩机形式全封闭旋转式。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7.营养液增氧：1套，旋涡气泵风量1000m³/h,功率≥20kW，全压≥80kPa，转速≥2500r/min。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8.废液处理：1套，铸铁潜水泵，流量Q≥50m³/h，扬程H≥10m，功率≥3kW。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9.2000㎡以下，以500㎡为一个基本建设单元。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364350元/500㎡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2000㎡以上植物工厂营养液系统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1.纯水机：1套，制水量≥16t/h，质量标准电导率＜35。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2.营养液配比：2套，营养液配比机供给量≥1000mL/min；EC配比范围0-20mS/cm；pH配比范围0-14pH；精度：EC±4%，pH±0.03，温度±1℃。</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营养液供给与循环：2套，供液箱≥3m³，材质316L不锈钢；回液箱≥2m³，材质316L不锈钢；循环管路采用PVC-U给水管道，压力等级≥PN10；潜水泵流量Q≥50m³/h，扬程H≥10m，功率≥3kW，材料316L不锈钢；管道泵材质316L不锈钢，流量Q≥80m³/h，功率≥7kW，扬程H≥24m，腔体材料316L不锈钢，反水轮材料316L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4.营养液过滤设备：2套，过滤器材质316L不锈钢，过滤网≤120mm，流量≥50m³/h。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5.营养液消毒：2套，营养液消毒机循环水量20-200L/min，臭氧发生量≥2g/h。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6.营养液冷却：2套，营养液制冷机制冷量≥13kW；制热量≥14kW；制冷功率≥4kW；制热功率≥4kW；制冷剂R22；制冷水流量≥2m³/h；压缩机形式全封闭旋转式。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7.营养液增氧：2套，旋涡气泵风量1000m³/h，功率≥20kW，全压≥80kPa，转速≥2500r/min。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8.废液处理：1套，铸铁潜水泵，流量Q≥50m³/h，扬程H≥10m，功率≥3kW。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9.2000㎡以上，以2000㎡为一个基本建设单元。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687750元/2000㎡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500-2000㎡植物工厂育苗系统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1.催芽架：4个，材质Q235B，工艺底层采用环氧富锌+白色喷塑，镀锌量≥120g/m²，喷塑厚度≥160μm；长150cm×宽60cm×高200cm，5层，层间高30-40cm。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2.育苗盘：320个，PET复合材质，规格≥30×30cm。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3.种子储藏设施/具有相同技术指标的冷库：1套，有效容积≥400L，控温范围0-10℃，控温精度±1℃，湿度范围30-60%RH以下，控湿精度±5%RH，控制方式全自动；热功率≥1kW。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4.2000㎡以下，以500㎡为一个基本建设单元。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18900元/500㎡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2000㎡以上植物工厂育苗系统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1.催芽架：16个，材质Q235B，工艺底层采用环氧富锌+白色喷塑，镀锌量≥120g/m²，喷塑厚度≥160μm；长150cm×宽60cm×高200cm，5层，层间高30-40cm。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2.育苗盘：1280个，PET复合材质，规格≥30×30cm。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3.种子储藏设施/具有相同技术指标的冷库：2套，有效容积≥400L，控温范围0-10℃，控温精度±1℃，湿度范围30-60%RH以下，控湿精度士5%RH，控制方式全自动；热功率≥1kW。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4.2000㎡以上，以2000㎡为一个基本建设单元。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57050元/2000㎡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500-2000㎡植物工厂质量控制系统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1.电解水设备数量≥1套，制水量≥350L/h，pH值5.0-6.5，有效氯浓度介于10ppm-30ppm。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2.称重机数量≥1套，304不锈钢台面，称重范围40g-10kg，精度±1g。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3.金属检测数量≥1套，金属检测机功率≥300W，检测铁标准≤1.0mm，检测非铁≤1.5mm。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4.水质监测数量≥1套，水质检测仪测量范围0-14pH，精度±0.01pH。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营养液监测数量≥1套，酸碱度pH计量程0-14，操作温度0-60℃，分辨率0.01pH，精度±0.01pH；EC计量程0-1999us/cm，操作温度0-50℃，分辨率1us/cm，精度±2%FS；二氧化碳浓度检测仪测量范围0-10%VOL，工作温度0-50℃，分辨率0.01%VOL，测量精度3%FS；溶氧率检测仪测量范围0.0-30.0mg/L，工作温度0-60℃，分辨率0.1，测量精度±3%。</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蔬菜安全监测数量≥1套，农残检测仪光电流稳定性≤±1%T/3min，透射比准确度≤±1.5%T，透射比重复性≤0.5%T，线性误差≤±5%，绝缘电阻＞20MΩ；ATP荧光仪检测范围≥9999RLUs；检测精度≥1RLU，检测时间≤20秒，检测误差±5RLUs，内存≥2000个检测结果，串行接口EIA-232兼容；微生物培养箱容积≥300L，温度范围RT+5-60℃，温度波动±0.5℃，温度均匀性±1℃，控制方式PID，安全装置超温报警；钾离子含量检测仪：测量范围0-39g/L，工作温度0-45℃，分辨率0.01，测量精度±1%；钠离子含量检测仪测量范围0-23g/L，工作温度0-60℃，分辨率0.01，测量精度±2%；钙离子含量检测仪测量范围0-40g/L，工作温度0-5℃，分辨率0.01，测量精度±0.3%；硝酸根离子含量检测仪测量范围0-19g/L，工作温度0-45℃，分辨率0.01，测量精度±0.3%。                                                         7.2000㎡以下，以500㎡为一个基本建设单元。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135800元/500㎡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大于2000㎡植物工厂质量控制系统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1.电解水设备数量≥1套，制水量≥1500L/h，pH值5.0-6.5，有效氯浓度介于10ppm-30ppm。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2.称重机数量≥2套，304不锈钢台面，称重范围40g-10kg，精度±1g。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3.金属检测数量≥2套，金属检测机功率≥300W，检测铁标准≤1.0mm，检测非铁≤1.5mm。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4.水质监测数量≥2套，水质检测仪测量范围0-14pH，精度±0.01pH。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营养液监测×2套，酸碱度pH计量程0-14，操作温度0-60℃，分辨率0.01pH，精度±0.01pH；EC计量程0-1999us/cm，操作温度0-50℃，分辨率1us/cm，精度±2%FS；二氧化碳浓度检测仪测量范围0-10%VOL，工作温度0-50℃，分辨率0.01%VOL，测量精度3%FS；溶氧率检测仪测量范围0.0-30.0mg/L，工作温度0-60℃，分辨率0.1，测量精度±3%。</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蔬菜安全监测数量≥2套，农残检测仪光电流稳定性≤±1%T/3min，透射比准确度≤±1.5%T，透射比重复性≤0.5%T，线性误差≤±5%，绝缘电阻＞20MΩ；ATP荧光仪检测范围≥9999RLUs；检测精度1RLU，检测时间≤20s，检测误差±5RLUs，内存≥2000个检测结果，串行接口EIA-232兼容；微生物培养箱容积≥300L，温度范围RT+5-60℃，温度波动±0.5℃，温度均匀性±1℃，控制方式PID，安全装置超温报警；钾离子含量检测仪测量范围0-39g/L，工作温度0-45℃，分辨率0.01，测量精度±1%；钠离子含量检测仪测量范围0-23g/L，工作温度0-60℃，分辨率0.01，测量精度±2%；钙离子含量检测仪测量范围0-40g/L，工作温度0-45℃，分辨率0.01，测量精度±0.3%；硝酸根离子含量检测仪测量范围0-19g/L，工作温度0-45℃，分辨率0.01，测量精度±0.3%。                                                                                                                      7.2000㎡以上，以2000㎡为一个基本建设单元。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232750元/2000㎡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500-2000㎡植物工厂种植系统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1.种植架：材质Q235B，工艺底层采用环氧富锌+白色喷塑，镀锌量≥120g/m</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，喷塑厚度≥160μm，柱脚化学锚栓固定地面，横梁和立柱间高强螺栓连接，种植架顶端连接，总长120m×宽0.8m×高5m，9层，层间高≥56cm。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2.种植槽：泡沫板＋环保薄膜结构，EPS材质发泡率≤30，种植槽防水膜EVA，厚度≥0.3mm；或高品质EPP材料；规格为外宽≥0.8m，内宽</w:t>
            </w:r>
            <w:r>
              <w:rPr>
                <w:rStyle w:val="20"/>
                <w:rFonts w:ascii="宋体" w:hAnsi="宋体" w:eastAsia="宋体" w:cs="宋体"/>
                <w:snapToGrid w:val="0"/>
                <w:kern w:val="0"/>
                <w:lang w:bidi="ar"/>
              </w:rPr>
              <w:t>≥</w:t>
            </w:r>
            <w:r>
              <w:rPr>
                <w:rStyle w:val="18"/>
                <w:rFonts w:ascii="宋体" w:hAnsi="宋体" w:eastAsia="宋体" w:cs="宋体"/>
                <w:snapToGrid w:val="0"/>
                <w:kern w:val="0"/>
                <w:lang w:bidi="ar"/>
              </w:rPr>
              <w:t>0.6m，槽深</w:t>
            </w:r>
            <w:r>
              <w:rPr>
                <w:rStyle w:val="20"/>
                <w:rFonts w:ascii="宋体" w:hAnsi="宋体" w:eastAsia="宋体" w:cs="宋体"/>
                <w:snapToGrid w:val="0"/>
                <w:kern w:val="0"/>
                <w:lang w:bidi="ar"/>
              </w:rPr>
              <w:t>≥</w:t>
            </w:r>
            <w:r>
              <w:rPr>
                <w:rStyle w:val="18"/>
                <w:rFonts w:ascii="宋体" w:hAnsi="宋体" w:eastAsia="宋体" w:cs="宋体"/>
                <w:snapToGrid w:val="0"/>
                <w:kern w:val="0"/>
                <w:lang w:bidi="ar"/>
              </w:rPr>
              <w:t>10cm，总长度≥960m。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3.种植盘：模塑成型，基材EPS，发泡率≤20，使用年限≥8年，或高品质EPP材料；生长区种植总面积等于种植槽内总面积。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4.2000㎡以下，以500㎡为一个基本建设单元。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243950元/500㎡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温室大棚设备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设施农业成套装备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大于2000㎡植物工厂种植系统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1.种植架：材质Q235B，工艺底层采用环氧富锌+白色喷塑，镀锌量≥120g/m</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，喷塑厚度≥160μm，柱脚化学锚栓固定地面，横梁和立柱间高强螺栓连接，种植架顶端连接，总长600m×宽0.8m×高5m，9层，层间高≥56cm。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2.种植槽：泡沫板＋环保薄膜结构，EPS材质发泡率≤30，种植槽防水膜EVA，厚度≥0.3mm；或高品质EPP材料；规格为外宽≥0.8m，内宽</w:t>
            </w:r>
            <w:r>
              <w:rPr>
                <w:rStyle w:val="20"/>
                <w:rFonts w:ascii="宋体" w:hAnsi="宋体" w:eastAsia="宋体" w:cs="宋体"/>
                <w:snapToGrid w:val="0"/>
                <w:kern w:val="0"/>
                <w:lang w:bidi="ar"/>
              </w:rPr>
              <w:t>≥</w:t>
            </w:r>
            <w:r>
              <w:rPr>
                <w:rStyle w:val="18"/>
                <w:rFonts w:ascii="宋体" w:hAnsi="宋体" w:eastAsia="宋体" w:cs="宋体"/>
                <w:snapToGrid w:val="0"/>
                <w:kern w:val="0"/>
                <w:lang w:bidi="ar"/>
              </w:rPr>
              <w:t>0.6m，槽深</w:t>
            </w:r>
            <w:r>
              <w:rPr>
                <w:rStyle w:val="20"/>
                <w:rFonts w:ascii="宋体" w:hAnsi="宋体" w:eastAsia="宋体" w:cs="宋体"/>
                <w:snapToGrid w:val="0"/>
                <w:kern w:val="0"/>
                <w:lang w:bidi="ar"/>
              </w:rPr>
              <w:t>≥</w:t>
            </w:r>
            <w:r>
              <w:rPr>
                <w:rStyle w:val="18"/>
                <w:rFonts w:ascii="宋体" w:hAnsi="宋体" w:eastAsia="宋体" w:cs="宋体"/>
                <w:snapToGrid w:val="0"/>
                <w:kern w:val="0"/>
                <w:lang w:bidi="ar"/>
              </w:rPr>
              <w:t>10cm，总长度≥4800m。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3模塑成型：基材EPS，发泡率≤20，使用年限≥8年，或高品质EPP材料；生长区种植总面积等于种植槽内总面积。                                                                                                                                                             4.2000㎡以上，以2000㎡为一个基本建设单元。</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591500元/2000㎡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上拉下卷式卷帘设备系统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1.卷帘型式：上拉下卷式。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2.PE双面淋膜，克重≥300g/m</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，径向强度≥1500N/5cm，纬向强度≥1500N/5cm，径向撕裂/纬向撕裂200N，缝入尼龙绳，配合铝合金卷轴，无需调布，方便安装。</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3.卷膜电机：电压220V，功率≤120W，扭矩≥100N·m，额定转速≥2.8r/min，输出轴直径≥20mm，双轴承支撑结构，稳定性好，输出轴采用不锈钢，双行程开关。</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4.手摇绞车≥1200磅，带自锁功能。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5.包含：铝合金卷膜轴、吊幕压条、镀锌方管、镀锌角钢等。</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77/㎡</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爬升式卷帘设备系统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1.卷帘型式：爬升式。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2.PE双面淋膜，克重≥300g/m</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，径向强度≥1500N/5cm，纬向强度≥1500N/5cm，径向撕裂/纬向撕裂200N，缝入尼龙绳，配合铝合金卷轴，无需调布，方便安装。</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3.卷膜电机：电压220V，功率≤120W，扭矩≥100N·m，额定转速≥2.8r/min，输出轴直径≥20mm，双轴承支撑结构，稳定性好，输出轴采用不锈钢，双行程开关。</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4.手摇绞车≥1200磅，带自锁功能。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5.包含：铝合金卷膜轴、吊幕压条、镀锌角钢等。</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幕帘下落式卷帘设备系统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1.卷帘型式：幕帘下落式。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2.PE双面淋膜，克重≥300g/m</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，径向强度≥1500N/5cm，纬向强度≥1500N/5cm，径向撕裂/纬向撕裂：200N，缝入尼龙绳，配合铝合金吊幕压条，无需调布，方便安装。</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3.卷膜电机：电压220V，功率≤120W。扭矩≥100N·m，额定转速：≥2.8r/min，输出轴直径≥20mm，双轴承支撑结构，稳定性好，输出轴采用不锈钢，双行程开关。</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4.手摇绞车≥1200磅，带自锁功能。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5.包含：镀锌圆管配重、吊幕压条、镀锌角钢等。</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73.5/㎡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电动控制通风窗设备系统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1.弧形进风窗：PVC外框，弧形PVC开启门，304不锈钢叶片连接轴、304不锈钢标准件，中间隔断增加通长丝杆，提升整体强度。</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2.直板进风窗：PVC外框，直板形PC透明中空板开启门，304不锈钢叶片连接轴、304不锈钢标准件；配重整体热镀锌再喷塑，可随意控制舍内采光。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3.220v拉杆电机，功率≤0.25kW,防水防尘等级≥IP66；最大负载≥5000N，包含固定支架、固定件。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4.回程系统采用弹簧或者配重，牵引绳采用不锈钢钢丝绳和涂塑钢丝配合。</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无动力通风窗设备系统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1.负压自动开启窗，开启关闭灵敏方便，自动维持舍内外压差，并且能让外界强光变得柔和。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2.产品材质：PVC外框、PC透明中空板开启门、304不锈钢叶片连接轴、304不锈钢标准件。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3.铝合金叶片包边、铝合金隔板密封边，配重整体热镀锌再喷塑。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4.中间隔断增加通长丝杆，提升整体强度。</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吊顶单开通风小窗设备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1.系统包含：单面吊顶进风窗≥20个、拉杆电机、牵引系统、拉簧或配重、换向轮等。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2.吊顶单开小窗：外形尺寸≥700mm×320mm；洞口尺寸≥660×270mm。ABS工程塑料注塑加工而成，强度高，韧性、抗老化性能好。重力自垂式开启，开启灵活，安静可靠。</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3.拉杆电机：220V/50Hz，行程45cm，最大负载≥5000N，功率≥168W，速度≥4.2mm/s，带手动归零。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4.牵引系统：包含涂塑钢丝，直径≥5mm；304不锈钢钢丝绳直径≥4mm；固定件等。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5.其它配件：304不锈钢拉簧或配重、换向轮等。</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735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吊顶双开通风小窗设备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1.统包含：双面吊顶进风窗≥20个、拉杆电机、牵引系统、拉簧或配重、换向轮等。</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2.吊顶双开小窗：外形尺寸≥730mm×560</w:t>
            </w:r>
            <w:r>
              <w:rPr>
                <w:rStyle w:val="20"/>
                <w:rFonts w:ascii="宋体" w:hAnsi="宋体" w:eastAsia="宋体" w:cs="宋体"/>
                <w:snapToGrid w:val="0"/>
                <w:kern w:val="0"/>
                <w:lang w:bidi="ar"/>
              </w:rPr>
              <w:t>mm</w:t>
            </w:r>
            <w:r>
              <w:rPr>
                <w:rStyle w:val="18"/>
                <w:rFonts w:ascii="宋体" w:hAnsi="宋体" w:eastAsia="宋体" w:cs="宋体"/>
                <w:snapToGrid w:val="0"/>
                <w:kern w:val="0"/>
                <w:lang w:bidi="ar"/>
              </w:rPr>
              <w:t>，洞口尺寸≥670mm×500mm，双开进风窗，ABS堵头，PVC中空扇叶板。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3.拉杆电机：行程≥45cm，最大负载≥5000N，功率≥168W，速度≥4.2mm/s，带手动归零。</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4.牵引系统：包含涂塑钢丝，直径≥5mm；304不锈钢钢丝绳直径≥4mm；固定件等。</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5.其它配件：304不锈钢拉簧或配重、换向轮等。</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猪场热量回收系统设备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1.通风换气量，送风、排风均可变频控制。</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2.50mm厚洁净板保温复合板机身，0.45mm双层钢板PE喷涂，苯板容重≥16kg/m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，铝合金型材封边。PVC板式换热芯，机身换热芯可冲洗消毒。</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材料：涤纶纤维400d×400d，厚度≥0.3mm，克重≥220g/㎡，出风孔径直径≥80mm，出风孔风速5-7m/s。出风方向：水平出风。风管结构：分段型拉链拼接，可拆卸冲洗。含吊挂件、吊挂丝杆、钢丝绳、绳夹、拉紧器、膨胀螺栓等                                                                                                 4.材料：0.45mm双层钢板PE喷涂，苯板容重≥16kg/m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，铝合金型材封边。含吊挂件、吊挂丝杆、钢丝绳、绳夹、拉紧器、膨胀螺栓等。                                                                                   5.环控全年自动控制，季节通风自动切换。数据记录：可连续记录60日，可导出温度湿度风量记录等。报警功能：机组故障监测报警，舍内温度湿度监测报警。分级管理:可进行操作分级设定。</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6.防锈型201箱体国。标电器元件系统控制箱：不锈钢箱体，国标正泰电器元件，应急温控器、声光报警。</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7.国标线缆：YJV，RVVR，VSP含PVC线槽，波纹软管。</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97019</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30000m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/h以上通风量养殖场除臭机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1.适用通风量＞30000m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2.水箱容积≥500L。</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3.材质：PP外壳（低风阻型）、FRP（玻璃钢）接风口、FRP（玻璃钢）水箱。</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4.过滤系统：矩形PVC喷管、潜水泵（0.55kW）、PP除臭湿帘（共聚PP高分子材料）、蜂窝吸水纸。</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20000-30000m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/h通风量养殖场除臭机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1.20000＜适用风量≤30000m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2.水箱容积≥350L；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3.材质：PP外壳（低风阻型）、FRP（玻璃钢）接风口、PP水箱。</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4.过滤系统：矩形PVC喷管、潜水泵（0.37kW）、PP除臭湿帘（共聚PP高分子材料）、蜂窝吸水纸。</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20000m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/h以下通风量养殖场除臭机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1.适用风量≤20000m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2.规格尺寸分三种：2000（含接风口长度）×1560×1850mm，水箱容积500L；1950（含接风口长度）×1470×1580mm，水箱容积350L； 1530（含接风口长度）×1120×1330mm，水箱容积180L。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3.材质：PP外壳（低风阻型）、接风口、PP水箱。</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4.过滤系统：矩形PVC喷管、潜水泵（0.37kW）、PP除臭湿帘（共聚PP高分子材料）、蜂窝吸水纸。</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孵化环控设备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年孵化量：蛋鸡 母雏≥2000万羽/肉鸡≥7000万羽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一、孵化室</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1.送风：同一点温度波动24小时内不超过1.5℃；风压1-5Pa。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2.孵化冷水：额定供应量≥8L/（min·台）。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3.孵化厅温度控制25±2℃，相对湿度55%±5，正压值1-5Pa，负压值-1-5Pa。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4、新风处理量≥24000CMH，废气能量回收处理风量≥24000CMH。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二、出雏室</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1.送风：同一点温度波动24小时内不超过1.5℃；风压1-5Pa，自调节。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2.废气排放：负压排风0-5Pa；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3.孵化冷水：额定供应量：≥8L/（min·台）。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4.出雏厅温度控制25±2℃，相对湿度55%±5，正压值1-5Pa，负压值-1-5Pa。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5.出雏厅新风处理量≥48000CMH，废气排放处理量≥64000CMH。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三、鸡苗分离室、鉴别及免疫室、母雏存放室、疫苗室</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1.温度：夏季26-30℃，温度误差不超过2℃。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2.湿度：范围控制在50%以上。</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3.通风：通风顺畅、均匀，无死角，符合防疫要求。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4.出鸡场地新风处理量≥100000CMH。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四、种蛋库</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1.温度18-20℃。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2.相对湿度60-70%，温湿度可调。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五、倒换蛋车室、接蛋室、熏蒸间：控制温度20-24℃可调。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六、孵化设备工艺冷却水系统</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1.冷却水水温15-18℃；热水水温50-55℃。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2.冷却水设置蓄能保冷水箱有效容积≥4t。</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3.热水设置蓄能保热水箱有效容积≥4t。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1330000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10000—50000枚高精度孵化环控设备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10000枚≤蛋容量＜50000枚。</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1.孵化机箱体：厚度≥40mm±0.5mm，材质比重≥32kg/m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，阻燃级别B2，散热系数≤0.2。</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2.蛋架车：镀锌量≥140g/㎡。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3.风扇马达：防水等级IP45级。</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4.传感器：温度传感器探头分辨率0.01℃；二氧化碳传感器采用红外检测。</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5.温控范围36.5-38.5℃，温差≤0.2℃，分辨率为0.01℃。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6.湿度控制系统：分辨率1%。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7.达到正常孵化要求时间≤4h。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8.孵化率：受精蛋孵化率≥96%。</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9.健雏率：健雏率≥99%。</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10.机器稳定性：机器正常运行≥1000h无故障。</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11.控制部分：具备联网和计算机群控，手机APP监控，独立超高温报警。</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50000枚及以上高精度孵化环控设备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蛋容量≥50000枚。</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1.孵化机箱体：厚度≥42mm±0.5mm，比重≥32kg/m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，阻燃级别B2，散热系数≤0.2。</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2.蛋架车：镀锌量≥140g/㎡。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3.风扇马达：防水等级IP45级。</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4.传感器：温度和湿度传感器分辨率0.01℃；二氧化碳传感器采用红外检测。</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5.温控范围36.5℃-38.5℃，温差≤0.2℃，分辨率为0.01℃。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6.湿度控制系统：分辨率1%。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7.达到正常孵化要求时间≤4h。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8.孵化率：受精蛋孵化率≥96%。</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9.健雏率：健雏率≥99%。</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10.机器稳定性：机器正常运行≥1000h无故障。</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11.控制部分：具备联网和计算机群控，手机APP监控。独立超高温报警。</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49000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环境监测与调控装备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种猪测定站设备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1.控制器：配有蓝色指示灯的单模块保护盒，VP8002型数据处理器，猪业云服务版。</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2.软件模块：VP2001型供电器 120/240V 50/60Hz 8A25VDC CN(中国标准)，控制器局域网(CAN)网线 数据传输+输电+同步线。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3.种猪性能测定站，带有称体重功能；配有蓝色指示灯和开关的单模块保护盒；VP1007-B 数据读取器（I/O 全双工)。</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4.选装组件：手持式耳标读取器。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5.V-tag B型粉色电子耳标（25只装）;V-tag B型蓝色电子耳标（25只装）；30mm圆形阳钉（100件）；Nedap D22，D25及D32型耳标钳。</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消毒装备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40t紫外消毒机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用于饮水消毒；处理水量≥40t/h；功率≥400W；材质304不锈钢。</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消毒装备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泡沫清洗机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功率≥7.5kW；工作压力≥250bar。</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2590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消毒装备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高压清洗机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高压清洗机≥300kg；发动机功率≥15kW；最大压力≥300bar；最大流量≥20L/min；进水温度≤60℃。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6650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消毒装备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5-15㎡人员消毒机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功率≥600W；喷雾量≥5L/h；5㎡≤适用面积＜15㎡；雾滴大小20-60μm；静风射程≥3m；材质304不锈钢。</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消毒装备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15㎡及以上封闭式人员消毒机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功率≥2kW；喷雾量≥8L/h；适用面积≥15㎡；雾滴大小20-60μm；静风射程≥5m；材质304不锈钢。</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消毒装备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50-500L场地消毒机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1.50L≤容积＜500L；功率≥2kW。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2.风量≥150m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/min；风压：≥350Pa。</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3.喷雾压力1.5-3.0MPa；喷雾流量≥10L/min。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4.水平射程≥30m；垂直射程≥20m。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5.雾粒度50-150μm；药液输出量操作方式：遥控式、自动式、手动式。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消毒装备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500L及以上场地消毒机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1.容积≥500L；功率≥2.5kW。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2.风量≥400m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/min；风压≥350Pa。</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3.喷雾压力1.5-3.0MPa；喷雾流量≥18L/min。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4.水平射程≥30m；垂直射程≥20m。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5.雾粒度50-150μm；药液输出量操作方式：遥控式、自动式、手动式。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27650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消毒装备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微酸性电解水机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无隔膜电解，出水pH5.0-6.5，出水流量≥60L/h，出水最高有效氯含量≥150mg/L。</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消毒装备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车辆消毒机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额定压力≥6MPa；流量≥20L/min。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78750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消毒装备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通道式车辆消毒机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喷雾粒径60-120μm；最大压力≥5MPa；包括自动控制和手动控制两种方式。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建档装备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仔猪建档车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1.重量约≥80kg。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2.读耳标建档（含称重）位≥1个。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3.注射位≥3个。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4.打电子耳标位≥2个。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5.断尾器≥1个。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6.磨牙器≥1个。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7.手持终端支架≥1个；含WiFi或4G+无线物联组网功能（不含网络环境和数据服务）；含SOC（嵌入式算法）；可实现云端智慧猪场APP（SAAS软件）猪场管理及母仔数据档案智能关联。</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8.车载户外电源≥1000W、容量≥1021Wh。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9.工作温度0-55℃。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10.相对湿度≤90%。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11.防水等级≥IP44。</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12.材质304不锈钢。</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32550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建档装备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电子耳标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1.工作频率符合EPCUHF标准。</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2.芯片寿命≥30年。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3.芯片数据只读。</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4.外观识别大号字激光打码。</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5.一次性使用。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6.工作温度-20-55℃。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7.储存温度-40-70℃。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8.防水等级≥IP67。</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9.材质复合塑料，整套含公扣和母扣。</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1元/个</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建档装备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奶牛发情监测器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含基站、项圈、接收器、后台软件对牛的情况进项分析。</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奶牛疾病诊断系统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1.主要功能：含诊断和分析功能。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2.波长范围7.5-14μm。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3.像素≥640×480。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4.像素尺寸≤17μm。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5.工作温度-30-60℃。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6.工作湿度≤85%（非冷凝）。</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7.防水等级IP54。</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8.电磁兼容：符合CE/FCC标准。</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9.包括奶牛身体各部位识别定位功能、手机终端系统等。</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监测耳标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1.温度测量范围0-56℃。</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2.精度±0.5℃；通信距离≥30m（无遮挡）。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3.数据丢失率≤5%；识别准确率≥95%。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4.数据传输周期≤10min；电池寿命≥200d。</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5.防水等级IP65；工作环境：5-40℃；相对湿度≤80%RH。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42元/个</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猪场智能液态料饲喂系统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1.饲喂规模≤5000头。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2.钻石型不锈钢搅拌罐：带一个称重单元、安全盖，罐内清洗单元搅拌电机≥1.5kW，桨式搅拌器。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3.高压离心泵：泵流量≥35000L/h，接触液体的零件由不锈钢或耐酸钢制成，能够在300m管道长度下长时间运行。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4.臭氧酸雾消毒装置：制造臭氧，能检测酸和臭氧浓度。</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5.含控制系统。</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种猪性能测定站</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1.适于猪体重范围25-170kg，单台测定头数≥12头。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2.食槽称重：标准误差在99%的置信度下≤1%，在95%的置信度下≤0.5%；耳牌识别率100%。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3.采食量称重精度误差±3g。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4.采食区空间适于猪体重范围25-170kg。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5.食槽区可控门材质：热镀锌。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6.测定站配有数据处理显示器。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7.含破拱器的下料装置：可装饲料≥70kg，料仓材质为不锈钢。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8.个体秤模块：不锈钢，系统称重可信度≥95%，称重精度≤0.1kg。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9.数据采集：采集猪只釆食、体重、饲料消耗数据。</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10.空压机容量≥440L/min；压力≥10bar。</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25头以下母猪智能饲喂站</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母猪智能饲喂系统（饲喂规模≤25头）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1.站的整体框架组成封闭直通道，出口无拐角；进口门采用气动双开门，对母猪进站采食无伤害应激，特别是对于新母猪的训练特适应。</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2.配有两个饲料仓75L，DC24V直流雨刷电机驱动定量下料装置，料仓配有防饲料结供装置6L，DC24V直流雨刷电机驱动定量下料装置用于精确饲喂微量元素和药物的料仓。</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3.配有定量加水装置：要求猪采食湿拌料。</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4.猪采食食槽及与界面接触部分全部采用不锈钢制造且食槽可快速拆卸，便于清洁。</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5.食槽配有LED食槽等，能为猪群夜间采食提供照明。</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6.配有两种颜色标记装置，能对猪群自动标记。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7.单台电子饲喂站配置手动遥控操作装置，能20m内遥控操作设备。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8.含控制系统。</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25头到60头母猪智能饲喂站</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母猪智能饲喂系统（25头＜饲喂规模≤60头）：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1.站的整体框架组成封闭直通道，出口无拐角；进口门采用气动双开门，对母猪进站采食无伤害应激，特别是对于新母猪的训练特适应。</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2.配有两个饲料仓75L，DC24V直流雨刷电机驱动定量下料装置，料仓配有防饲料结供装置6L，DC24V直流雨刷电机驱动定量下料装置用于精确饲喂微量元素和药物的料仓。</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3.配有定量加水装置：要求猪采食湿拌料。</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4.猪采食食槽及与界面接触部分全部采用不锈钢制造且食槽可快速拆卸，便于清洁。</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5.食槽配有LED食槽等，能为猪群夜间采食提供照明。</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6.配有两种颜色标记装置，能对猪群自动标记。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7.单台电子饲喂站配置手动遥控操作装置，能20m内遥控操作设备。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8.含控制系统。</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塞盘自动饲喂设备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料线主机：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1.电机380V，功率1.5kW，输送量≥1.5t/h。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2.塞盘：链环直径5±0.2mm；链条材质为20Mn，已打牙处理；塞片材质：≥PA66；塞片直径≥42mm；厚度≥6mm；塞片节距70mm；变形拉力≥1.2t；拉断拉力≥2.8t。</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3.含饲料容器（料塔，料箱），料斗，驱动器，闭合管路（料管，链条，转角），控制器，传感器和支撑等。</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恒温饮水槽</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1.规格：4000mm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2.材质：201/304不锈钢。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3.水温10-20℃。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4.加热板：硅胶加热板，使用寿命≥3年。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5.功率≥1600W。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6.浮球阀：浮球阀采用塑料（ABS）材质。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7.保温层厚度≥4cm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8.排水直径≥60mm。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9.配线：采用耐寒防水五芯护套线。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10.控制箱：独立立柱外挂。</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智慧鸡舍</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1.主体：彩钢复合板以及钢架组建，适用养殖蛋鸡≥150只；含有自动门、自动料仓、自动喂水、自动排风、自动喷雾、自动紫外杀菌、产蛋仓、V型栖架、集粪斗、视频摄像机、唤鸡音箱等装置。</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2.智能控制器：工作温度-10-70℃；工作湿度:0-85%（无凝结）。控制输出：8路250V/AC 10A继电器独立输出，继电器输出线锡层加厚，环保铜30A端子；采用 Cat1 无线通讯方式；液晶屏TFT液晶显示，LED背光；真彩65535色，分辨率≥800×480，液晶屏亮度≥200cd/㎡，电阻式触摸屏。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智慧管控功能：实时监测鸡舍内空气温度，湿度、光照强度、产蛋计数功能；依据设定自动开启门、排风、食槽，喷雾补光灯、唤鸡回舍音乐等；支持在线认养，并可查看实时有声视频，查看当天活动情况、产蛋数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11200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智能硬件管理器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1.电源输入AC≥220V、功率≥10W。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2.工作温度-20-55℃。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3.储存温度-40-70℃。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4.安装位置手机须能正常通话；含WIFI或4G+无线物联组网功能+LORA物联+热点（不含网络环境和数据服务）；含SOC（嵌入式算法）；可实现云端智慧猪场APP（SAAS软件）猪场管理及饲喂算法等远程升级。</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5.防水等级≥IP67。</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6.材质：工程塑料。</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肉鸡笼养系统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1.笼架钢材厚度≥1.5mm，所有横梁厚度≥1.5mm，表面≥275g/㎡热镀锌。</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2.鸡笼底网、笼门采用热浸/镀锌钢丝直径≥3mm，侧网、采食网采用热浸/镀锌丝直径≥2.0mm。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3.水线乳头流量≥100mL/min，乳头密度6-8只/个。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4.粪带采用pp材质，厚度≥1.0mm。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5.料槽采用镀锌材质，厚度≥0.8mm。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6.采用各列独立行车送料。</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7.料塔上锥厚度≥1.0mm，中锥板厚度≥1.2mm，下锥板厚度≥1.5mm，配称重靴，容积：每只鸡≥0.6公斤储存量；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8.环境控制器≥16个输出端口，配置温度探头和湿度探头，精度0.1℃。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9.风机，每万只鸡配置5台及以上50英寸风机，在-25Pa时风量≥35000m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10.含通风窗。</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11.水帘厚度≥15cm，原浆纸浆制作，带水帘翻板。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12.采用LED养殖专用照明灯管。</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13.按照地网面积每平米10只鸡计算养殖数量。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14.配置电力或天然气加热系统。</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8元/鸡位</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非笼养蛋鸡多层饲养系统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1.饲养量不小于2万只。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笼架系统，鸡笼头端饲料柱：镀铝锌板、出料口5挡调节、料挡及支撑、粪带调节、输蛋连接装置等；鸡笼末端不锈钢双刮刀，齿轮，挡粪帘，压紧轴；门式系统上方纵向隔断；暂时锁闭母鸡装置；产蛋箱驱逐装置；鸡笼组带产蛋箱。</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3.料塔及输料系统，料塔6支腿、安全梯、防护笼、延长支腿和观察窗，含称重器、称重控制模块，绞龙箱减震模块，料位传感器等。6支点称重，误差0.5%。输送直管PVC料管，外径90mm，壁厚5mm。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4.主供水系统，过滤器两个，加药器一个，水表一个，管路及配件主进水到水线。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5.通风系统，侧墙小窗负20Pa下排风量2500m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风机50寸带拢风筒风机；水帘框架和水帘纸，开放式框架，循环水槽，PVC材质；多级进风口5级挡板，每个挡板均配备密封件，可调节气流方向，挡板由坚固抗UV的PVC塑料制成，并且具有钢板防止挡板折弯；非常节省空间；整体易清洁；20Pa风量27300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/h；侧墙风机36寸，扇叶直径91cm，含风机、百叶窗；控制单元高低温报警器，声光报警，全套触屏式控制电脑。</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6.照明系统,含产蛋箱照明，走道内走道外照明。</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7.输粪系统.舍内至舍外横向除粪传送,舍外纵向除粪传送。</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8.控制系统.含静态压力传感器、温度探头、湿度探头，独立报警、声光报警。</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9.纵向鸡蛋收集系统，保证鸡蛋从蛋带柔和的输送到蛋线。坡度可达20°。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1225000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肉鸡笼养系统（自动出鸡）</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1.笼架钢材厚度≥1.5mm，所有横梁厚度≥1.5mm，表面275g/㎡热镀锌。</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2.鸡笼底网、笼门采用热浸/镀锌钢丝直径≥3mm，侧网、采食网采用热浸/镀锌丝直径≥2.0mm。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3.水线乳头流量≥100mL/min，乳头密度6-8只/个。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4.粪带采用pp材质，厚度≥1.5mm。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5.料槽采用镀锌材质厚度≥0.8mm，或采用绞龙料盘喂料。</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6.采用各列独立行车送料（如采用绞龙料盘喂料该项没有）。</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7.料塔上锥厚度≥1.0mm，中锥板厚度≥1.2mm，下锥板厚度≥1.5mm，配称重靴；容积：每只鸡≥0.6kg储存量。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8.环境控制器≥24个输出端口，配置温度探头和湿度探头，精度0.1℃。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9.风机，每万只鸡配置5台及以上50英寸风机，在-25Pa时风量≥35000m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10.含通风窗。</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11.水帘厚度≥15cm，原浆纸浆制作，带水帘翻板。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12.采用LED养殖专用照明灯管。</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13.自动出鸡系统，单栋每小时出鸡≥6000只。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14.按照地网面积每平米10只鸡计算养殖数量。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15.配置电力或天然气加热系统。</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14元/鸡位</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蛋鸡笼养系统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1.笼架钢材厚度≥2.0mm，所有横梁厚度≥1.5mm，表面≥275g/㎡热镀锌。</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2.鸡笼底网采用镀铝锌丝直径≥2.0mm，笼门采用热浸/镀锌钢丝直径≥5mm，侧网采用热浸/镀锌丝直径≥2.0mm。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3.水线乳头流量≥80mL/min，乳头密度8-9只/个。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4.粪带采用pp材质，厚度≥1.0mm。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5.料槽采用镀锌材质，厚度≥0.8mm。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6.采用各列独立行车送料。</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7.料塔锥板厚度≥1.0mm，配称重靴，容积：每只鸡≥0.6kg储存量。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8.环境控制器≥20个输出端口，配置温度探头和湿度探头，精度0.1℃。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9.风机，每万只鸡配置4台及以上50英寸风机，在负25帕时风量≥35000m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10.含通风窗。</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11.水帘厚度≥15cm，原浆纸浆制作，带水帘翻板。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12.采用LED养殖专用照明灯管。</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13.按照底网面积每平米25只鸡计算养殖数量。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14.底网称重≥50kg。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15.包括自动计蛋系统。</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14元/鸡位</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育雏鸡笼养系统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1.笼架钢材厚度≥2.0mm，所有横梁厚度≥1.5mm，表面≥275g/㎡热镀锌。</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2.鸡笼底网、侧网、采食网采用热浸/镀锌丝直径≥2.0mm，笼门采用热浸/镀锌钢丝直径≥3mm。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3.水线乳头流量≥80mL/min，乳头密度16-20只/个。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4.粪带采用pp材质，厚度≥1.0mm。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5.料槽采用镀锌材质，厚度≥0.8mm。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6.采用各列独立行车送料。</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7.料塔锥板厚度≥1.0mm，配称重靴；容积：每只鸡≥0.6kg储存量。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8.环境控制器≥20个输出端口，配置温度探头和湿度探头，精度0.1℃。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9.风机，每万只鸡配置4台及以上50英寸风机，在-25Pa时风量≥35000m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10.通风窗满足一般风机通风量。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11.水帘厚度≥15cm。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12.采用LED养殖专用照明灯管。</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13.按照底网面积每平米30只鸡计算养殖数量。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14.底网称重≥50kg。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15.配置电力或天然气加热系统。</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14元/鸡位</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非笼养育雏鸡多层饲养系统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sz w:val="15"/>
                <w:szCs w:val="15"/>
                <w:lang w:bidi="ar"/>
              </w:rPr>
              <w:t>1.单栋饲养量不小于2万只，3层系统，两片式滑动前网，1、2层配料线，1、2、3层配水线。每层含铰链式外部栖杆、坡网及桥网。</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2.料塔塔身镀锌板材质，高度5630mm，直径2750mm。机械上料，6个支腿。带安全梯、防护笼、延长支腿，支撑构件和观察窗口。                                                                                           3.含称重器、称重控制模块，绞龙箱减震模块，料位传感器等。6支点称重，误差0.5%。</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4.主供水过滤器两个，加药器一个，水表一个。</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5.侧墙小窗-20Pa下排风量2500m</w:t>
            </w:r>
            <w:r>
              <w:rPr>
                <w:rFonts w:hint="eastAsia" w:ascii="宋体" w:hAnsi="宋体" w:cs="宋体"/>
                <w:snapToGrid w:val="0"/>
                <w:color w:val="000000"/>
                <w:kern w:val="0"/>
                <w:sz w:val="15"/>
                <w:szCs w:val="15"/>
                <w:lang w:bidi="ar"/>
              </w:rPr>
              <w:t>³</w:t>
            </w:r>
            <w:r>
              <w:rPr>
                <w:rStyle w:val="18"/>
                <w:rFonts w:ascii="宋体" w:hAnsi="宋体" w:eastAsia="宋体" w:cs="宋体"/>
                <w:snapToGrid w:val="0"/>
                <w:kern w:val="0"/>
                <w:sz w:val="15"/>
                <w:szCs w:val="15"/>
                <w:lang w:bidi="ar"/>
              </w:rPr>
              <w:t>/h，配置遮光罩。</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6.侧墙风机36寸，扇叶直径91cm，含风机、百叶窗、金属防护网、配备遮光罩。大风机50寸，含风机、百叶窗、玻璃纤维扇叶。山墙墙风机前1.5-2m安装遮光墙。</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7.水帘框架和水帘纸 开放式框架，循环水槽，泄水阀，PVC材质。</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8.多级进风口5级挡板，每个挡板均配备密封件，可调节气流方向，挡板由坚固抗UV的PVC塑料制成，并且具有钢板防止挡板折弯；20Pa风量27300m</w:t>
            </w:r>
            <w:r>
              <w:rPr>
                <w:rFonts w:hint="eastAsia" w:ascii="宋体" w:hAnsi="宋体" w:cs="宋体"/>
                <w:snapToGrid w:val="0"/>
                <w:color w:val="000000"/>
                <w:kern w:val="0"/>
                <w:sz w:val="15"/>
                <w:szCs w:val="15"/>
                <w:lang w:bidi="ar"/>
              </w:rPr>
              <w:t>³</w:t>
            </w:r>
            <w:r>
              <w:rPr>
                <w:rStyle w:val="18"/>
                <w:rFonts w:ascii="宋体" w:hAnsi="宋体" w:eastAsia="宋体" w:cs="宋体"/>
                <w:snapToGrid w:val="0"/>
                <w:kern w:val="0"/>
                <w:sz w:val="15"/>
                <w:szCs w:val="15"/>
                <w:lang w:bidi="ar"/>
              </w:rPr>
              <w:t xml:space="preserve">/h。                                                                        9.鸡舍内采用禽类专业防水、直流LED灯，灯泡间距2m左右；光照强度和光照时间可由控制器自动调节(调节范围0-100%，强度可达50-60lux)；鸡舍灯泡采用高低灯，低灯配备升降系统（调幅1m），整栋采用一套手动升降系统。可模拟日出日落；灯泡按通道分路控制。                                                   </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10.控制系统：环控、饲喂、饮水、光照、加湿、报警等数据实时记录显示，系统可实现在鸡舍、生产控制室、网络远程调整参数和运行监控，控制系统支持加湿系统的自动控制；鸡舍内饲养设备和环控设备自动控制，并记录保存各种历史数据：水、料、温度、湿度、二氧化碳、报警等，所有环控数据应生成可编辑的文件，数据保存时间至少3年；生产数据可按照报表格式自动输出；具备场内联网和远程监控功能。</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11.具备鸡舍异常状态，包括断电、风机和风门运行，温度、水、料等的三级报警功能：鸡舍操作间报警、鸡场办公室报警和手机呼叫/短信报警。                                                                     12.鸡舍设置独立于控制器外的高低温声光报警系统；实现鸡舍、办公室、全厂区鸣笛警报；每栋鸡舍控制系统配备应急供电系统（UPS）。                                                                           13.采用热水暖风机和散热盘管供暖，自动控制温度，鸡舍最高温度能够达到36℃以上。暖风机分区控制，配备室内循环风机，确保热量混合均匀。</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14.加湿设备由环控系统自动控制；提供配置的计算理论依据；最小通风情况下，加湿能力可达 70%RH；各连接处密封不漏水，管道末端设置电磁阀，喷雾加湿过程中管道不抖动，无异响；加湿水管要求用耐高压（70MPa）的不锈钢管，喷头水平安装，喷向过道中间，同时提供工作时防震动的措施，雾滴大小30-50</w:t>
            </w:r>
            <w:r>
              <w:rPr>
                <w:rFonts w:hint="eastAsia" w:ascii="宋体" w:hAnsi="宋体" w:cs="宋体"/>
                <w:snapToGrid w:val="0"/>
                <w:color w:val="000000"/>
                <w:kern w:val="0"/>
                <w:sz w:val="15"/>
                <w:szCs w:val="15"/>
                <w:lang w:bidi="ar"/>
              </w:rPr>
              <w:t>µ</w:t>
            </w:r>
            <w:r>
              <w:rPr>
                <w:rStyle w:val="18"/>
                <w:rFonts w:ascii="宋体" w:hAnsi="宋体" w:eastAsia="宋体" w:cs="宋体"/>
                <w:snapToGrid w:val="0"/>
                <w:kern w:val="0"/>
                <w:sz w:val="15"/>
                <w:szCs w:val="15"/>
                <w:lang w:bidi="ar"/>
              </w:rPr>
              <w:t>m。</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15.清粪系统鸡舍尾端落粪口自动开关，密封；笼架前端的粪带张紧调节空间≥1m。</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16.鸡舍配电（包括配电箱和电线电缆）舍内供电线路与各种探头的信号线间隔2m以上，避免信号干扰；鸡舍风机分两路供电，分别满足 50%的通风设备供电的需求；并设计电源快接口（在鸡舍断电时，可通过尾端电源快接导入另一栋鸡舍 50%电力保证一半风机运行）；配置每栋鸡舍用电总开关的备用线路和开关。要求使用一线品牌。配电柜设计要具备夏季降温能力，避免出现配电柜高温跳闸问题。鸡舍内所有电线、电缆及控制线（符合国标）。</w:t>
            </w:r>
            <w:r>
              <w:rPr>
                <w:rStyle w:val="18"/>
                <w:rFonts w:ascii="宋体" w:hAnsi="宋体" w:eastAsia="宋体" w:cs="宋体"/>
                <w:snapToGrid w:val="0"/>
                <w:kern w:val="0"/>
                <w:lang w:bidi="ar"/>
              </w:rPr>
              <w:t xml:space="preserve">                                                                                                                                                        </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553000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种鸡笼养系统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1.笼架钢材厚度≥2.0mm，所有横梁厚度≥1.5mm，表面≥275g/㎡热镀锌。</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2.鸡笼底网采用镀铝锌丝直径≥2.0mm，笼门采用热浸/镀锌钢丝直径≥5mm，侧网采用热浸/镀锌丝直径≥2.0mm。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3.水线乳头流量≥80mL/min，乳头密度8-9只/个。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4.粪带采用pp材质，厚度≥1.0mm。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5.料槽采用镀锌材质，厚度≥0.8mm。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6.采用各列独立行车送料。</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7.料塔锥板厚度≥1.0mm，配称重靴；容积：每只鸡≥0.6kg储存量。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8.环境控制器≥20个输出端口，配置温度探头和湿度探头，精度0.1℃。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9.风机，每万只鸡配置4台及以上50英寸风机，在-25Pa时风量≥35000m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10.含通风窗。</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11.水帘厚度≥15cm。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12.采用LED养殖专用照明灯管。</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13.按照底网面积每平米10只鸡计算养殖数量。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14.底网称重≥50kg。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15.配置配置电力或天然气加热系统。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16.采用自动计蛋系统。</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27元/鸡位</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50位转盘式挤奶机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1.转盘式挤奶机，底盘，配备驱动装置。</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2.挤奶控制：软件控制。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3.真空系统：台架，牛栏，颈部智能感应器。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4.监测内容：活动量及实时发情监测；采食时间、频率监测；反刍时间（比值）监测；不活动时间（静立）监测；定位(选配)；ISO牛号识别功能；计步器：868Hz，Wi-Fi传输，最大监测半径≥80m。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24500/每个位置</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智慧蜂箱升级版</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一、蜂箱箱体</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木制煮蜡10框蜂箱+可调节底座；冷轧板钢SPCC T=0.5喷粉防锈处理底座。</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二、蜂箱智能装备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1.中控设备包括：主控电路板、数据采集模块、无线通信模块；支持4G、NG低功耗无线通信模式、电源管理模块，实时定位模块。</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2.称重传感器：测量范围20%～99%，分辨率0.1%，精度±0.2%。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3.温度传感器：测量范围-40-85℃、分辨率0.1℃、精度±0.3℃（25℃时）。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4.湿度传感器：测量范围0-99%RH、分辨率0.1%RH、精度±2%RH（60%、25℃时）。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5.蜂门进出数传感器：通过光耦传感器实时监测，记录蜜蜂的出入情况，共10个蜂门，蜂门大小可调节。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6.太阳能输入监测：测量范围3.0-12V、分辨率0.1V，精度±0.2V（25℃时）。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7.音频传感器：声音传感器能显示声音强度大小，也能研究声音的波形；档位1（测量声强）45～120dB；档位2（测量波形）0～5V（测量频率范围100Hz～4000Hz），分辨率1Hz，精度±1%。</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8.太阳能充电锂离子电池4.5Ah。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9.太阳能电池板，充电最大电压6V，充电最大功率8W。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三、养蜂小帮手APP</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内置养蜂模型，可预测蜜蜂分蜂、监测蜂群病害、监测越冬饲料消耗等18个蜂群饲养监测告警模型。</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智慧蜂箱基础版</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一、蜂箱箱体</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木制煮蜡10框蜂箱。</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二、蜂箱智能装备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1.中控设备包括：主控电路板、数据采集模块、无线通信模块；支持4G、NG低功耗无线通信模式、电源管理模块。</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2.温度传感器：测量范围-40-85℃、分辨率0.1℃、精度±0.3℃（25℃时）。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3.湿度传感器：测量范围0-99%RH，分辨率0.1%RH、精度±2%RH（60%、25℃时）。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4.蜂门进出数传感器：通过光耦传感器实时监测，记录蜜蜂的出入情况，共10个蜂门，蜂门大小可调节。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5.太阳能输入监测：测量范围：3.0-12V、分辨率0.1V，精度±0.2V（25℃时）。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6.太阳能充电锂离子电池4.5Ah。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7.太阳能电池板，充电最大电压6V，充电最大功率≥8W。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三、养蜂小帮手APP</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内置养蜂模型，可预测蜜蜂分蜂、监测蜂群病害等8个蜂群饲养监测告警模型。</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精准饲喂和采收装备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修蹄车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1.框架：侧板5mm，立柱≥70×60×50国标钢管。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2.动力要求：380V，50Hz，三相四线，总功率≥9kW。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3.规格尺寸：长≥260cm、宽≥130cm、高≥220cm。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4.前门动作：自动感应。</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27300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20t以下粪水处理设备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畜禽养殖场；处理量＜20t/天；出水达到沼液还田标准。</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219310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20-50t粪水处理设备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畜禽养殖场；20t/天≤处理量＜50t/天；出水达到沼液还田标准。</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242620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50-80t粪水处理设备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畜禽养殖场；50t/天≤处理量＜80t/天；出水达到沼液还田标准。</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577500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80t以上粪水处理设备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畜禽养殖场；处理量≥80t/天；出水达到沼液还田标准。</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1031310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猪场污水处理设备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1.纳米曝气气浮机主体结构≥12m×6m×6m，电絮凝固水分离器≥0.75kW，微纳米射流器≥3.7kW，电絮凝0.75kW，处理能力≥10m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/h，絮凝固水分离器3.7kW，电絮凝器2.2kW，处理能力≥10m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2.纳米射流器：气流方向顺时针。</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3.气浮机：容积≥240m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，处理能力≥10t/h。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4.水泵≥3.7kW。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5.反渗透膜≥4kW，不锈钢玻璃钢材质，处理能力≥5t/h。 </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399595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以上覆膜式静态好氧发酵系统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1.好氧发酵系统覆膜材料尺寸≥22×8.4m，适合长×宽×高≥20m×6.0m×1.5m的发酵槽，发酵容积≥200m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；亦适合地面式覆膜发酵，堆高1.8m以内。</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2.系统由复合覆盖膜及压边系统、供布风系统、变频控制系统组成。</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3.覆膜材料≥22×8.4m，发酵容积≥200m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56000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液体存储系统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单体容积15000m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（以底部20m×110m、顶部内尺寸33m×123m、深5m为例），独立配套各项净化燃烧设备。</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存储塘顶部一层浮动覆盖膜、底部一层防渗膜，并配置液体粪污外排泵、沼气收集管路、沼气净化系统及燃烧火炬。</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1.底膜：HDPE1.5mm，美标，屈服强度≥22N/mm，断裂强度≥40 N/mm，穿刺强度≥480N。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2.顶膜：HDPE1.0mm，美标，屈服强度≥15N/mm，断裂强度≥27 N/mm，穿刺强度≥320N。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3.外排泵：功率7.5kW，流量≥100m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/h，扬程≥12m，泵体防腐材质或防腐处理，自带提升系统。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4.服务池控制箱：箱体SS304材质，双层防雨门设计，电器元件防腐蚀，与服务池其他设备配套。</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5.沼气收集管路：材质PE，De63，承压1.0MPa。</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6.沼气净化及火炬：处理量≥50m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/h，主要部件304不锈钢，含阻火器，PLC+7寸触摸屏控制器，紫外线火焰探测，点火系统，压力检测系统。</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179463</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一次超干分离机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1.处理能力≥20m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2.处理后含水率≤65%。</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3.绞龙轴直径≥175mm。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4.筛网直径≥260mm；筛网长度≥785mm。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5.进料口直径≥108mm;溢流口直径≥159mm。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6.液体出料口直径≥159mm；固体出料口直径≥273mm。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7.总功率≥11kW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固液分离机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功率≥11kW，产出粪渣效率2.5-3m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/h，产出干物质≥43%，处理粪液效20-30m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奶牛卧床垫料发酵成套设备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1.驱动系统：驱动电机≥12kW。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2.通风系统：1.5kW防水风机，风量≥1200m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/h，风压≥900MPa。</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3.热回收系统：含热回收箱、换热装置，换热率60%，回风风机≥1.5kW，风量≥1200m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/h，风压≥900MPa，干燥热风机≥5kW。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4.控制系统：发酵及出料智能控制，根据不同地区及环境温度设定发酵运转、间歇时间。</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5.智能发酵罐：罐体材质为12㎜耐腐蚀钢板，罐体直径≥2400㎜，罐体总长≥14100㎜。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560000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传送机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材质：304不锈钢及以上。</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560元/延米</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刮粪板（机）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材质：304不锈钢及以上。</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616元/延米</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半封闭吸污车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容积≥2m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；半封闭。</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5320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全封闭吸污车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容积≥2m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；全封闭。</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带式输送机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 xml:space="preserve">1滚筒，外观焊缝表面成形良好，无气孔咬内等缺陷，并用Ｘ射线探伤，按GB/T3323中Ⅲ级要求。另外需将筒皮焊缝经600-650℃退火消除其应力。                                                                      2.托辊制造钢管采用优质焊管，符合GB/T3639要求，管壁不圆度≤0.3mm，轴承选用优质轴承。轴承座采用深冲板冲制。                                                                                           3.金属结构件制造，表面处理及涂漆：各金属裸露表面应涂装油漆，涂漆漆膜厚度要求底漆层的漆膜干燥厚度≥0.090mm；中层漆的漆膜干燥厚度≥0.08mm；面漆层的漆膜干燥厚度≥0.08mm；漆膜干燥总厚度≥0.25mm。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4.设备运行的噪声符合GB/T10595《带式输送机技术条件》的要求，并应符合国家其它有关标准对噪声的要求。                                                                                       5.输送带为尼龙芯输送带，覆盖橡胶耐酸碱。胶带满足橡胶拉断强度和伸长的测试、橡胶硬度测试、橡胶撕裂强度测试和橡胶磨耗性能测试等标准组织设计、制造和验收，根据皮带的最大张力进行核算皮带层数；输送带的拉伸强度为满足计算要求，并应同时满足国家相应规范要求;输送带覆盖层材料应该具有良好的防切割性和耐磨蚀性，覆盖层性能指标至少达到GB/T9770要求；输送带的安全系数、伸长率不低于国家标准。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6.输送机驱动方式为电动滚筒，电机内置，防护等级IP54；滚筒表面包胶厚度为10mm。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7.导料槽、头部漏斗等与鸡粪直接接触的零部件表面热镀锌处理，其余部件表面喷涂耐腐蚀油漆。</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8.电气部分配置就地控制柜。</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1400元/m</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圆筒式筛选机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结构形式：移动式复式作业；功率≥7.5kW；生产率≥8t/h。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12600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圆筒式筛选打包机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1.结构形式：移动式复式作业；配套动力≥7.5kW；生产率≥8t/h。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2.给料方式：双速重力式给料；称重范围10-50kg；称量精度±0.2%。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3.称量速度≥300包/h；功能性：将发酵后的有机肥料粉碎筛选，自动打包。</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41300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果蔬粉碎设备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产量≥5t/h；电机功率≥30kW；链板输送装置动力≥2kW；喂入口宽度≥500mm。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33600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履带式翻堆机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翻堆宽度≥2.3m；柴油动力≥60马力；原地180°转弯掉头。</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30170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固态有机肥发酵罐</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设备容积≥5m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，处理能力≥2.5m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/批，批处理时间≤10h，装机功率≥40kW。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有机肥秸秆揉丝加工成套设备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包括秸秆揉丝机、输送机；生产率≥1.5t/h；锤片数量≥40个。</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41860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有机肥粉碎加工成套设备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包括粉碎机、输送机；生产率≥2t/h；刀盘直径≥700mm。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68600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有机肥制粒成套设备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1.包括环模制粒机、输送机、生物质原料斗、成品物料仓。</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2.生产率≥1t/h；成型率≥95%。</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95270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有机肥加工成套设备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包括发酵主机、输送机、热风炉；罐体额定容积≥3m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；生产率≥60kg/h。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116340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有机肥灌装设备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1.牵引式；液压制动保护系统。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2.灌装通道尺寸≥2.4m；进料平台≥6m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3.风机风量≥13m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4.灌装袋断裂拉伸强度横纵项35≥MPa，断裂伸长率纵向≥550%，横向≥600%，抗撕裂强度≥10g/μm，抗冲击强度≥1700g；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5.有机肥发酵符合行业标准。</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269500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三轮式撒肥机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1.柴油机型式：单缸、水冷、四冲程。</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2.标定功率/转速：23kW（32马力）/2200r/min。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3.启动方式为电启动。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4.整机长度≥4.35m，整机宽度≥1.4m，整机高度≥1.58m。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5.箱体容量≥1.5m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6.最大装载重量≥1.2t。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7.整机重量≥1400kg。</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12600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双圆盘撒肥机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1.抛撒装置型式：后双圆盘抛撒，后液压开门。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2.料厢容积≥1m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3.最大载重量≥1600kg。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4.肥料输送方式：液压链板推送。</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5.撒肥宽度：2-5m（粪肥），3-10m（颗粒肥）。</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6.配套动力≥25马力。</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履带式撒肥机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1.额定功率≥4.7kW，转速≥1800r/min。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2.撒肥方式：圆盘旋转式。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3.撒肥量调节方式：排出口开口量调节。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4.撒肥叶片数量≥5片。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5.撒肥幅宽≥4m。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8m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及以上双竖绞龙有机肥撒肥机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1.载重≥6400kg。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2.撒播幅宽≥8m。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3.抛撒装置型式：后置立式双螺旋（双摆锤）撒布。</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4.牵引长度≥1350mm。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5.最小离地高度≥300mm。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6.抛撒效率≥20m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7.配套动力≥58.8kW。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8.作业速度≤10km/h。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29050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及以上液态有机肥洒施机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1.配套动力≥120马力。</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2.施肥方式：尾部冲击式喷嘴或悬臂式施肥桁架（可自由伸缩）。</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3.施肥速度≥1m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4.真空泵吸气喷入量≥8000L/min。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5.罐体材质：整体热镀锌高强度碳钢。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6.罐体内部集成：防浪涌挡板。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7.罐体容量≥12m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46550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及以上液态有机肥深施机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1.配套动力≥220马力。</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2.施肥方式：圆盘耙片深施或开沟犁头深施。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3.施肥速度≥1m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4.真空泵吸气喷入量≥8000L/min。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5.罐体材质：整体热镀锌高强度碳钢；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6.罐体内部集成：防浪涌挡板。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7.罐体容量≥12m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64050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有机肥翻抛制备成套设备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1.翻抛机：配套动力≥45kW，工作速度≥240m/h，翻抛能力≥430m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/h，升起高度≥5000mm。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粗粉机：转子转速≥650r/min，动刀片数量≥6片，定刀片数量≥3片，主机功率≥300kW，进料板链功率≥30kW变频，进料板链驱动方式；减速机链轮驱动，强制进料功率≥18kW变频；出料皮带机功率≥15kW，产量≥25t/h，总功率≥380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细粉机：转子转速≥1800r/min，锤片数量≥60片，电机功率≥130kW，出料方式：风机出料，管道直径≥270mm；主机上盖开合方式：液压开合，液压泵站功率≥3kW；输送机电机≥4kW变频，减速机电机≥10kW，产量≥7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4.除尘系统：包括旋风分离器、布袋除尘器，布袋数量≥60条；风机功率≥18kW；闭风器功率≥5kW；出料皮带机功率≥4kW。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5.烘干机：效率≥7m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6.分离机：主机功率≥7.5kW，转速≥45r/min；潜污泵功率≥5.5kW，转速≥1450r/min，处理量≥70m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7.卧螺机：转鼓材质304不锈钢，转鼓转速≥3000r/min，螺旋扭矩≥6500N·m，差速调节精度≤0.5r/min，物料处理能力≥40m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/h，固体回收率≥98%（添加絮凝剂），进泥含固率≤3%，噪声≤70dB(A)，脱泥含水率 ≤80%，电机功率≥20kW。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8.有机肥装袋机：碳钢材质，生产率≥20t/h；输送长度≥3m，含自动剪线封包机，含大气泵功率≥4kW。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9.造粒机：储料给料器功率≥4kW，生产率≥4t/h。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10.有机肥粉碎机：生产率≥4t/h，电机功率≥30kW，材质Q235碳钢。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11.筛分机：生产率≥4t/h，功率≥3kW，筛网可拆换，304不锈钢材质。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12.立式混合机：生产率≥4t/h，电机功率≥5.5kW。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13.三通：料流通过能力≥4t/h，功率≥1.5kW。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14.平模造粒机：主机功率≥90kW，成品仓容积≥0.7m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15.原料收集设备：功率≥45kW，液压传动。</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1592500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高分子膜堆肥发酵处理机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1.设备构成：覆盖布料、曝气装置、智能控制箱和移动端实时监管系统。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2.发酵工艺；采用静态好氧发酵工艺。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3.户外作业；防水设计。</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4.场地要求：硬化或者非硬化的地面均可。</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5.运行电力：额定功率≥750W。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6.曝气系统：曝气长度≥15m，爆气装置标准状态送风量≥0.15m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7.兼容性：设备具备智能工作模式和自动工作模式。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8.覆盖材质：高分子覆膜材料，防水透气。</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9.控制系统：同一探针上能够探测不少于3个点的温度数据，探测深度≥75cm；工作环境温度-50-200℃，探测误差范围±0.5℃。</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10.处理能力≥150m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13510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纳米膜粪便发酵处理机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1.PLC控制部分防护等级≥IP40。</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2.纳米膜≥240㎡；膜直角撕裂负荷：纵向≥0.5N，横向≥0.5N；织物断裂强力：纵向≥13N，横向≥8N；克重(450±10g)/㎡。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3.风机功率≥2kW，风量≥1200m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4.通风管长≥50m。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5.包括温度传感器和氧浓度传感器。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6.工作时长：高温好氧发酵≤20天。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7.发酵效果：发酵后物料含水量≤40%、粪大肠菌群数≤100个/g、蛔虫卵死亡率≥95%和种子发芽指数（GI）≥80％。</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8.畜禽粪便处理量≥200m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/次。 </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卧旋式畜禽粪便生物发酵设备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 xml:space="preserve">1.日处理量≥6t/天。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2.主发酵罐容积≥30m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3.发酵时间≤3天。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4.主发酵罐运行一个周期耗电量≤300kW·h。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5.污染气体排放指数：零排放、零污染。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6.可处理物料含水率≥65%。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7.主发酵罐体材质：FRP复合材料。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8.主发酵罐体保温材料材质：聚氨酯，厚度≥120mm。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9.闭路循环固氮除臭系统主体材质：玻璃钢。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10.供氧系统：风机+生物除臭。</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11.温控系统：无线测温，智能控制。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12.总功率≥10kW。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157500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好氧发酵成套设备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1.翻堆深度≥2.8m；堆槽高度≥3m，Q235碳钢材质。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2.电机：四轮行走电机功率≥6kW，液压升降电机≥3kW，横向行走电机功率≥0.5kW。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3.前进速度≥80m/h，后退速度≥480m/h。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4.控制系统：配有电控箱及遥控装置，全自动控制模式和点动模式、遥控操作模式。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5.曝气风机：罗茨风机功率≥30kW，压力≥35kPa，风量≥23m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/min，转速≥1500r/min。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425250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5-10m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一体式秸秆发酵处理机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1.结构型式：一体式；油缸电机功率≥1.5kW。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2.配套热源种类：电加热，配套热源热功率≥40kW。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3.杀菌箱（罐）：搅拌电机功率≥22kW；顶盖电机功率≥0.35kW；配套总功率≥60kW。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4.发酵箱（罐）：5m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≤有效容积＜10m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，批次生产量≥5m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/批，每批次生产≤4h。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5.加工成标准有机肥或专用肥料。</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133000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10-20m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一体式秸秆发酵处理机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1.结构型式：一体式；油缸电机功率≥1.5kW。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2.配套热源种类：电加热，配套热源热功率≥80kW。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3.杀菌箱（罐）：搅拌电机功率≥22kW；顶盖电机功率≥0.35kW；配套总功率≥90kW。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4.发酵箱（罐）：10m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≤有效容积＜20m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，批次生产量≥10m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/批，每批次生产≤4h。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5.加工成标准有机肥或专用肥料。</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185500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及以上一体式秸秆发酵处理机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1.结构型式：一体式；油缸电机功率≥3kW。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2.配套热源种类：电加热，配套热源热功率≥180kW。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3.杀菌箱（罐）：搅拌电机功率≥44kW；顶盖电机功率≥0.35kW；配套总功率≥180kW。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4.发酵箱（罐）：有效容积≥20m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，批次生产量≥20m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/批，每批次生产≤4h。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5.加工成标准有机肥或专用肥料。</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238000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节能静音型有机肥制肥粉碎成套处理站</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1.处理站材质：机身材质Q235碳钢，防腐工艺双层粉末吸附喷涂。</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2.静音综合粉碎机：处理物直径不限、干湿不限，处理能力≥15t/h，噪音控制≤45dB，上料方式机械入料，进料口面积≥1m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，刀片材质高硬度高耐磨550型终生免更换，防腐工艺双层粉末吸附涂。</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3.联动控制系统：配有综合电控箱1个，PLC程控系统可编程，可调节一套，全套设备可联动可独立运行，自动、点动多种模式切换控制。</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4.集成自清洁控尘系统：滤芯数量≥44个，滤芯使用寿命≥1年，控制模式免维护自动清洁模式，压力值≤0.8Pa，噪音控制≤50dB，排放标准≤30mg/m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5.自动集料系统：输送速度1-5m/s可调，输送角度水平180°、垂直30°；机身材质Q235碳钢，集料能力≥15m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241500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节能型综合有机肥制肥成套设备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1.综合一粉机：处理物料不限.干湿不限，处理能力≥25t/h，噪音控制≤45dB，上料方式：机械入料，进料口面积≥1㎡刀片材质：高硬度高耐磨550型终生免更换，防腐工艺双层粉末吸附喷涂。</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2.可控粒径二粉机：刀具使用寿命≥1年，刀片材质高硬度高耐磨550型；出料方式全密闭式，送料方式全密闭式，液压站功率≤5kW，处理能力≥15t/h。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3.自清洁降尘系统：滤芯数量≥44个，滤芯使用寿命≥1年，控制模式免维护自动清洁模式，压力值≤0.8Pa，噪音控制≤50dB，排放标准≤30mg/m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4.可调节控料设备：机身材质Q235碳钢，处理能力≥1.5m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5.联动输送系统：输送速度1-5m/s可调，输送角度水平180°、垂直30°。</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6.驾驶式上料机：上料能力≥1200kg/次，上料高度≥3m，入料角度360°。</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7.全液压动态制肥设备：处理能力≥2000m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/h，处理截面积≥5㎡，处理宽度≥4m，处理高度≥1.8m；动力输出：全液压，液压油箱≥600L，行走速度≥3m/min。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8.控制系统：配有电控箱3个，PLC程控系统可编程，可调节一套，全套设备可联动可独立运行，自动、点动多种模式切换控制。</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9.静音补压设备：存储能力≥300L，补压能力≥50m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/h，噪音控制≤45dB，自动手动控制，机身材质Q235碳钢。</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1351000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废弃物处理装备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猪场臭味收集系统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1.PP除臭湿帘：共聚PP高分子材料，厚度≥1×450mm，宽度≥3m，长度≥124.4m。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2.滤床固定框架：玻璃钢方管及连接件。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3.循环泵：不锈钢离心泵。</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4.喷淋管路：UPVC管材及管件、喷头等。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5.喷淋管路支架：水管固定支架及管道固定件。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6.含过滤系统。</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7.补水系统：自动补水自动断水（进水水管场方引至指定位置）。</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8.控制系统：不锈钢控制箱，2台循环泵。</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101900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加工类装备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蛋托清洗设备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1.蛋托清洗机链条输送速度≥10.2m/min。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2.蛋托的清洗数量≥1550只/h。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3.清洗喷头压力0.5-0.6MPa，消毒喷头压力0.38-0.42MPa，喷头流量≤25.8m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76300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加工类装备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蛋品自动装托机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装托产量≥30000枚/h，对接集蛋带，可以实现自动掉头、卧式发托、自动装托、整托收集。</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加工类装备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蛋品自动分级包装设备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1.鸡蛋分级加工产量≥60000枚/小时，对接集蛋带，集蛋桌满足6条中央输蛋线的集蛋需求（输蛋线间距要方便人员操作）。                                                                                        2.配备大小头转换、清洗烘干、脏蛋检测、裂纹检测、紫外杀菌、喷油、称重、血斑蛋检测、鸡蛋喷码等模块。</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3.分级模块：颜色与track选择兼容（可同时选择颜色与track鸡蛋来源的产品生产方式）。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4.脏蛋检测、流清蛋检测、裂纹蛋检测有无兼容性和认定的优先级说明。</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5.鸡蛋表面喷码宽度与速度匹配（最快速度喷六个汉字宽，能喷一行汉字与一行数字英文）。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6.烘干系统有过滤系统，要把热风排到车间外，以免影响车间温度。</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7.洗蛋机蛋刷采用滚筒式毛刷；（毛刷硬度要适中，避免鸡蛋产生裂纹，方便清洁）。</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8.洗蛋水可循环利用（热交换要在洗蛋机一侧，不单独从其他间引流热交换后的清水）洗蛋后喷淋，水温自动控制，清洗水量可调。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9.鸡蛋通过紫外线杀菌，要求保证致病菌杀灭效果≥99.9%。</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10.鸡蛋表面喷油均匀，无油滴，要求雾化。喷油系统无油雾溢出，不影响相邻模块正常运行。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11.自动喷墨、包装、码垛设备。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12.分级机配套鸡蛋壳喷码设备,并提供1套备用喷码设备。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13.配置外箱喷码机6台。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14.配备自动码垛机1套：垛位≥8，最高码垛效率≥188箱/h。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15.配备自动封箱机3台，封箱速度≥10次/min。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4100000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加工类装备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液蛋加工设备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1.液蛋分离加工系统：要有备用操作电脑。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2.配备全自动打蛋机：产能≥7.2万枚/小时；配套智能蛋杯清洗系统，能够精准识别被污染蛋杯，实现单独蛋杯的自动喷淋清洗。</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3.配套自动CIP系统；配备蛋壳离心设备。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4.全自动打蛋机：得率≥84%；做分离模式时，若原料蛋良好情况下，全蛋液产出比例不得高于5%。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5.配备全自动竖式过滤器，可以自动过滤蛋液中的残留蛋壳，并可自动排渣。</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6.配备全自动巴氏杀菌机及微波巴氏杀菌机1套，生产率≥4t/h；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7.巴氏杀菌机：需温控精准，稳定性高，连续生产时温度浮动≤±0.5℃，不能出现突然掉温的情况。</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8.原料罐区配套全自动阀阵，成品罐区配套全自动阀阵。</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9.设备供应商设计并配置与设备产能（每h≥4t蛋液，全天最大暂存40t）相匹配的蛋液收集罐、原料存储罐、原料混合罐、灌装成品罐。</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10.能够生产巴杀及非巴杀液蛋产品。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11.配备食品级液蛋自动灌装机 2 台，包装生产率≥3t/（h·台），包装规格5-20kg，罐装机带正压高效过滤或单独做罐装机净化间，自动上袋自动灌装自动切袋。</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12.配备自动CIP系统，五罐两回路。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13.采用全自动 SCADA 控制系统对液蛋生产全流程进行管理。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14.灌装机旁边配置2台自动剥标贴标打码机，灌装后配备成品输送线及封箱机、外包装喷码机。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15.配备混合罐和搅拌器（确保全罐搅拌均匀），用于生产加盐/糖蛋液。</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16.液蛋原料罐、成品罐配备液位计和地脚称重系统。</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17.生产控制柜配备UPS电源（满足15分钟应急供电），确保数据不丢失。</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4080000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加工类装备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屠宰加工卤制流水线成套设备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1.各种非标定制不锈钢传送带配套流水线、不锈钢操作台等，根据使用要求配套尺寸。</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2.高频电晕机：304加厚不锈钢，尼龙池体，调电压式，高频率低输出式，功率1kW。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3.侵烫池：304加厚不锈钢，尼龙池体，调电压式，高频率低输出式，功率10kW。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4.汤池蒸汽发生器：500型蒸汽发生器，符合北京市低碳环保要求。</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5.打脖机主体：304不锈钢。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6.卧式脱毛机：304不锈钢护罩2套，动力4kW。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7.曝气清洗机：主体304不锈钢材质，架体采用550×50×2mm不锈钢方管。</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8.螺旋预冷机：304不锈钢，池体3mm，不锈钢，容积100只/h。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9.全自动真空给袋包装机：采用电脑控制系统，8工位+10真空仓，包装速度10-50包/min，功率18kW。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10.转盘式包装机：整机不锈钢材质，机械工位6个，工位包装速度10-20包/min，功率18kW。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11.气条盒包装机：半自动包装机，整机不锈钢材质，机械工位≥4工位，功率5kW。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12.真空包装机：100型真空泵，真空度:≤200Pa，抽真空速度≥16.8L/s。</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13.配备连续封口机。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14.自动折盖封箱机：封箱设备流水线。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15.螺旋解冻池本设备：材质304不锈钢2000型，厚度2.5mm；全自动定时搅拌系统；吸料机输送机控制器系统，材质304不锈钢管，全自动控制吸料。</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16.切型分割机：鸡肉切丁切型，304不锈钢，高速电机。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17.真空变频滚揉机：变频调速，产量800-1000kg/次，电压380V，功率7kW，材质食品级304不锈钢。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18.半自动蒸煮锅：蒸汽加热，燃气加热工作压力≤0.09MPa（可根据要求调整），蒸发量100kg/L；锅体材质内外锅体全食品级304不锈钢材质，厚度均为4mm，搅拌功率1.5kW；配套烟排系统整机304不锈钢；蒸汽发生器1吨，符合北京市排放要求配置。</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19.卧式真空包装机：可同时真空包装四只鸡，真空度≤200Pa，抽真空速度16.8L/s；喷码机分页机400型高速分页机。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20.全自动双层杀菌锅：总容积4.58m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，电脑全自动，设计温度147℃；结构型式及杀菌方式：双层水浴、热水循环式蒸汽加热，食品级304不锈钢。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21.气泡机清洗冷却池：配用功率3.75kW，输送带运行速度1-15m/min，变频调速，快慢可调，自动输送出料，用水量1-1.5t（循环用水）。</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22.翻转风干机：食品级304不锈钢架体，规格45×5mm、厚度2mm，功率2kW。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23.输送网带规格：P=38.1mm、刮板距离300mm、刮板高度500mm，网带下方带有接水盘，废水统一收集排放。</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1544700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畜禽屠宰机械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加工类装备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生猪屠宰加工流水线成套设备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三点式自动电击晕机等屠宰配套设备：处理能力400头猪/h，全自动低压心脑电击晕系统，装机功率2.2kW，机架采用不锈钢方管制作，托腹部分采用橡胶块制作，输送轨道采用热镀锌槽钢制作，不锈钢壳体，板厚1.2mm，3个气动击晕装置，1套气动推出装置。带一套不锈钢滑出槽板厚2.5mm，1套程序控制系统，1套喷淋装置，击晕机辊子滑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2.螺旋自动刨毛机：包括1套螺旋推进滚筒，1套刨毛滚筒，主驱动电机功率2个×22.5kW，水循环系统和水温控制装置。两台水泵提水做喷淋使用，每台装机功率4kW。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3.螺旋式猪毛输送机，安装在打毛机的下面，将猪毛输送至猪毛风送系统的收集罐内，装机功率0.75kW 。                                                                                                                                            4.喷淋水循环系统：循环能力50m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/h，装机功率7.5kW。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5.清洗抛光机：1套清洗装置、1套感应系统，装机功率4台×0.75kW。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6.全自动劈半机器人：每头猪劈半时间≤5s，整机采用不锈钢及铝合金结构。PLC自动控制，刀具清洗消毒系统。                                                                                                     7.屠宰中央控制系统：用于屠宰设备和轨道输送系统的集中控制。包括1套中央控制系统、1套PLC微电脑控制系统，输送机控制运行线路板,输送机同步控制线路板，输送机上的行程开关，启动/停止、紧急制动控制。                                                                                                           8.分割操作台：40个，装机功率1.5kW，变频调速；分割台和操作台相配套，放在每个操作台上，台架不锈钢制作，长800mm、宽400mm、厚20mm。                                                                  9.不锈钢箱架40个。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10.包装台：16个，不锈钢材质，长2000mm、宽500mm、高750mm。                                               11.金属探测机：1台，真空包装后的分割肉的金属探测报警装置，外形尺寸1800×8500×850mm ；                                                                                                                         12.分割中央控制系统：用于分割设备的集中控制，控制柜放在干燥的空间内，调频控制采用LS（LG）。                                                                                                                                                 13.锯骨机：立式锯骨机，5台，外形尺寸925×730×1665mm，工作台尺寸850×630mm，功率1500W，锯条2360mm。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14.去皮机：3台，515×500×540mm，平台275×375×50mm，产能1000-1500kg/h，刀片厚度1mm，刀片直径499mm，电压380V，功率1100W。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15.开条机：2台，外形尺寸1690×660×1110mm，电压380V，功率2200W，产量1000-1500，重量215kg ，切肉宽度4mm以上均可定制，输送带宽度：500mm，输送带线速度6.3m/min，刀片转速：40r/min。                                                                                              16.水平开片机1台，切丁机1台，气调包装机1台，切丝切片机1台，全自动锯骨机1台。</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2590000</w:t>
            </w:r>
          </w:p>
        </w:tc>
        <w:tc>
          <w:tcPr>
            <w:tcW w:w="759" w:type="dxa"/>
            <w:noWrap w:val="0"/>
            <w:vAlign w:val="center"/>
          </w:tcPr>
          <w:p>
            <w:pPr>
              <w:widowControl/>
              <w:spacing w:line="240" w:lineRule="exact"/>
              <w:jc w:val="center"/>
              <w:rPr>
                <w:rFonts w:hint="eastAsia"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畜禽屠宰机械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加工类装备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牛屠宰加工成套设备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 xml:space="preserve">一、屠宰成套设备：含刺杀、沥血、转挂、剥皮、开肛、开胸、取白内脏器官、取红内脏器官、胴体检验、劈半等工序。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1.框架主要为8#槽钢和16#槽钢组成，步进式输送，输送机为立式结构，产能30头/h，总功率120kW，共18工位，轨道为热镀锌封闭式8#槽钢。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2.40Cr材质输送链条，配有拨指，高分子耐磨行走轮。</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3.φ60×3.7-4不锈钢管轨，带热镀锌轨道吊架，挂牛间距2200mm。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4.其余钢件全部热镀锌结构热镀锌，自动或手动控制，间控2200mm。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二、分割成套设备：用于牛胴体在此设备上进行精细分割成部位产品的输送设备，带宽600mm，不锈钢机架、托辊、不锈钢滚筒。</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1.产能15头/小时，总功率30kW/h，共30工位。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2.输送带为蓝色尼龙输送带，带厚S=3mm。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3.机架采用45×75×1.7-2mm不锈钢方管，38×38×1.7-2mm不锈钢方管和25×25×1.5mm不锈钢方管制作，机腿可调.</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4.电机功率1.5kW。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350000</w:t>
            </w:r>
          </w:p>
        </w:tc>
        <w:tc>
          <w:tcPr>
            <w:tcW w:w="759" w:type="dxa"/>
            <w:noWrap w:val="0"/>
            <w:vAlign w:val="center"/>
          </w:tcPr>
          <w:p>
            <w:pPr>
              <w:widowControl/>
              <w:spacing w:line="240" w:lineRule="exact"/>
              <w:jc w:val="center"/>
              <w:rPr>
                <w:rFonts w:hint="eastAsia"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畜禽屠宰机械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加工类装备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畜禽屠宰加工成套设备</w:t>
            </w:r>
          </w:p>
        </w:tc>
        <w:tc>
          <w:tcPr>
            <w:tcW w:w="721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sz w:val="15"/>
                <w:szCs w:val="15"/>
                <w:lang w:bidi="ar"/>
              </w:rPr>
              <w:t>1.火焰燎毛机器人：机器人场地4m×4m，机器人底座1m×1m，天然气压力8kPa以上，气源工作压力0.3-0.8MPa；电源要求：电压220VAC(士10%)，频率50Hz(士2Hz)；工作环境温度-15-60℃，工作环境湿度15-80%RH。</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2.劈半锯：用于屠宰线上猪体的劈半，工作效率≥400头/小时；可在任何电压及频率下操作；功率2237W，整体长度1295mm，双手柄互锁控制，重量56kg，整套含变压器、弹簧平衡器、控制水阀、锯条。</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3.剪头钳：适用于猪、牛头部的剪断；单人操作处理速度为1200头/h；不锈钢结构使其易清洗，易维护；气动双手柄互锁控制，重量172kg，马达动力7457W；操作电压460/230V，3相，60Hz；整套含弹簧平衡器、液压单元。</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4.剪头钳机器人：尺寸可以根据用户场地做调整方案；设备总重量1.2t；总功率(包含液压站)16kW；电源3相5线，380V，50Hz；消毒热水，82℃，2.5-3.5bar。</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5.开肛器：真空释放阀门和内部清洗装置减少了肛门与盲肠部位的交叉感染；高扭力的气动马达每小时可处理1200头，马达功率630W，工作压力6.2bar耗气量0.77m</w:t>
            </w:r>
            <w:r>
              <w:rPr>
                <w:rFonts w:hint="eastAsia" w:ascii="宋体" w:hAnsi="宋体" w:cs="宋体"/>
                <w:snapToGrid w:val="0"/>
                <w:color w:val="000000"/>
                <w:kern w:val="0"/>
                <w:sz w:val="15"/>
                <w:szCs w:val="15"/>
                <w:lang w:bidi="ar"/>
              </w:rPr>
              <w:t>³</w:t>
            </w:r>
            <w:r>
              <w:rPr>
                <w:rStyle w:val="18"/>
                <w:rFonts w:ascii="宋体" w:hAnsi="宋体" w:eastAsia="宋体" w:cs="宋体"/>
                <w:snapToGrid w:val="0"/>
                <w:kern w:val="0"/>
                <w:sz w:val="15"/>
                <w:szCs w:val="15"/>
                <w:lang w:bidi="ar"/>
              </w:rPr>
              <w:t>/min，重量2.3kg，整套含弹簧平衡器、三联体、消毒箱、液压。</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6.猪蹄冷却机：有效使用尺寸≥长6500mm、宽1800m，笼体采用10#不锈钢光圆制作，框架为80×80×2.5mm拉丝方管，筒体制作为4mm，板两侧堵板厚度为5mm，变频调速，电机功率2.2kW，摆线针减速机链条驱动，聚氨酯喷涂保温厚度7cm、保温后外护板1.2mm、制冷管道采用304不锈钢无缝管38×2.5×210m。</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7.松香锅：锅口内径1200mm，锅口外径1400mm，高度900-950mm；功率30kW，电磁加热，多档位可调节；锅底内胆封头厚度≥7mm；锅内胆材质复合材料为不锈钢+碳钢；锅外胆外护保温层采用厚度≥0.68mm的不锈钢，保温层为硅酸铝；电控柜材质：不锈钢材质。</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8.猪蹄燎毛机：设备框架采用40×60×2不锈钢方管制作，外形尺寸4500×1200×2500mm（含烟罩,不含烟筒及尾气处理）；燎毛火焰喷头从上往下喷射火焰，进行猪蹄表皮燎毛；燃烧部分由3组燃烧机组合燃烧，电气防护等级≥IP55；整机外层有隔热防护材料；有排气罩；输送带传动功率1.1kW，冷却水泵功率1.1kW。</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9.全自动猪肉去皮机：去皮宽度500mm，机器重量255kg，可调厚度1-6mm，处理能力21m/min，电源功率380V/1.5kW。</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10.锯骨机：面板尺寸长835mm×宽700mm，加工尺寸可加工宽度 265mm，可各离专用里，使用锯条2400mm×16mm×0.56mm；整机不锈钢材料，表面拉丝处理；包装外形尺寸990mm*900mm*1820mm，毛量192kg，净重:140kg，电机功率1500W/380V，线速度1230m/min。</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11.绞馅机：绞龙转速260r/min，刀盘直径120mm；机器重量260kg，生产效率1000kg/h，功率5500W。</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12.砍排机：电脑控制，最大进料尺寸650mm，最大横截面积360×200mm，切割厚度0.5-30mm(可调），切割速度100-280（片/min）；功率5.5kW；重量700kg。</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13.X光金属检测仪：最宽物料尺寸430mm，最高物料尺寸100mm，冻肉温度-10-0℃，重量1500kg，生产量42-107刀/min, 功率9.12kW。</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14.气调包装机：卷膜最大尺寸(宽×直径)540×260mm；托盒最大尺寸260×425×110mm，配气误差-1%，实际残氧量≤0.5%，单次循环时间8-10s，电源380V/50Hz，功率10.5kW，气源0.6-0.8MPa。</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15.周转盒清洗机：架体304不锈钢50×50×1.5mm；罩体304不锈钢，厚度1.5mm；水箱304不锈钢，厚度1.5mm；链条304不锈钢，节距38.1mm；减速机总功率1.1kW；变频调速，电热管总功率48kW；水泵总功率23.5kW，风机总功率5.5kW；喷嘴304不锈钢6515型；电压380V/50Hz。</w:t>
            </w:r>
            <w:r>
              <w:rPr>
                <w:rStyle w:val="18"/>
                <w:rFonts w:ascii="宋体" w:hAnsi="宋体" w:eastAsia="宋体" w:cs="宋体"/>
                <w:snapToGrid w:val="0"/>
                <w:kern w:val="0"/>
                <w:sz w:val="15"/>
                <w:szCs w:val="15"/>
                <w:lang w:bidi="ar"/>
              </w:rPr>
              <w:br w:type="textWrapping"/>
            </w:r>
            <w:r>
              <w:rPr>
                <w:rStyle w:val="18"/>
                <w:rFonts w:ascii="宋体" w:hAnsi="宋体" w:eastAsia="宋体" w:cs="宋体"/>
                <w:snapToGrid w:val="0"/>
                <w:kern w:val="0"/>
                <w:sz w:val="15"/>
                <w:szCs w:val="15"/>
                <w:lang w:bidi="ar"/>
              </w:rPr>
              <w:t>16.污水站优化：公司污水站优化，符合国家和北京市的要求。</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1580000</w:t>
            </w:r>
          </w:p>
        </w:tc>
        <w:tc>
          <w:tcPr>
            <w:tcW w:w="759" w:type="dxa"/>
            <w:noWrap w:val="0"/>
            <w:vAlign w:val="center"/>
          </w:tcPr>
          <w:p>
            <w:pPr>
              <w:widowControl/>
              <w:spacing w:line="240" w:lineRule="exact"/>
              <w:jc w:val="center"/>
              <w:rPr>
                <w:rFonts w:hint="eastAsia"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畜禽屠宰机械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加工类装备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羊屠宰加工成套设备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一、屠宰成套设备：含开肛、开胸、取白内脏器官、取红内脏器官、胴体检验、胴体修整等工序，产能≥100只/h，总功率≥60kW/h，工位≥12个，立式或卧式结构。</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1.驱动装置；变频器调速，热镀锌框架，驱动装置喷漆，气动元件为标准件。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2.气动张紧装置；热镀锌框架，自动张紧。</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3.回转装置：热镀锌框架。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4.热镀锌封闭式轨道。</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5.40Cr材质输送链条，配有拨指，高分子耐磨行走轮。</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6.不锈钢40×40双轨轨道，带轨道吊架，3m缓冲轨道，热镀锌紧固材料，挂羊间距1200mm。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7.装机功率：3kW。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二、分割成套设备：用于羊胴体在此设备上进行精细分割成部位产品的输送设备，带宽600mm，不锈钢机架、托辊、不锈钢滚筒，产能≥30头/h，总功率≥15kW/h，工位≥15个。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1.输送带为蓝色尼龙输送带，带厚≥3mm。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2.机架采用45×75×1.7-2mm不锈钢方管，38×38×1.7-2mm不锈钢方管和25×25×1.5mm不锈钢方管制作，机腿可调。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3.电机功率：1.5kW。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养殖机器人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单猪只智能饲喂、定位、盘点系统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1.含电源适配器，电源输入AC≥220V，输出DC≥24V/3A。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2.机器学习（ML）+远程自定义（控料）；24小时全天候运行；能耗≤0.2kW·h/天（饲喂主机）。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3.饲喂1头公猪/后备母猪/配怀母猪，整机工作温度-20-55℃。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4.饲料可用颗粒料或者粉料。</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5.含WIFI或4G+无线物联组网功能（不含网络环境和数据服务）；含人工智能单元（AIU）+SOC（嵌入式算法）；可实现云端智慧猪场APP（SAAS软件）猪场管理及饲喂算法等远程升级。</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6.料桶容积≥10L；单次料量约≥50g，重复投料精度为±2g。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7.储存温度-40-70℃。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8.含固定式个体识别模块，电源和数据与机器人主机联接并固定于料槽上方适当位置，识读距离≥0.2m。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9.料筒材质PP塑料，投料机构为304不锈钢，料筒与投料机构一体化设计，机器人主体悬固于料线上（不含与料线联接的三通装置，不含料槽及与之联接的下料管）。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10.整机防水等级≥IP44。</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养殖机器人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多猪只智能饲喂、定位、盘点系统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1.含电源适配器，电源输入AC≥220V，输出DC≥24V/3A。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2.机器学习（ML）+远程自定义（控料）；24小时全天候运行；能耗≤0.2kW·h/天（饲喂主机）。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3.每台机器人可饲喂35-50头育肥猪/保育猪（最高效），整机工作温度-20-55℃。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4.饲料可用颗粒料或者粉料；双面采食位≥4个；含水压平衡精准下水系统。</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5.含WIFI或4G+无线物联组网功能（不含网络环境和数据服务）；含人工智能单元（AIU）+SOC（嵌入式算法）；可实现云端智慧猪场APP（SAAS软件）猪场管理及饲喂算法等远程升级。</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6.料桶容积≥100L；单次料量约≥150克，重复投料精度为±2g。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7.储存温度-40-70℃。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8.含固定式个体识别模块，与机器人一体化设计，识读距离≥0.2m。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9.料桶材质PP塑料，投料机构和主支架为304不锈钢，料桶、主支架与投料机构一体化设计，并固定于漏缝地板上（不含与料线联接的三通装置及与料桶联接的下料管）。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10.整机防水等级≥IP44。</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养殖机器人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产房母猪智能饲喂、定位、盘点，仔猪定位、盘点用系统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1.含电源适配器，电源输入AC≥220V，输出DC≥24V/3A。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2.机器学习（ML）+远程自定义（控料）；24小时全天候运行；能耗≤0.2kW·h/天（饲喂主机）。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3.饲喂1头产房母猪，含母猪采食欲望触发和下水系统，含水压平衡系统，整机工作温度-20-55℃。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4.饲料可用颗粒料或者粉料。</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5.含WIFI或4G+无线物联组网功能（不含网络环境和数据服务）；含人工智能单元（AIU）+SOC（嵌入式算法）；可实现云端智慧猪场APP（SAAS软件）猪场管理及饲喂算法等远程升级。</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6.料桶容积≥10L；单次料量约≥50g，重复投料精度为±2g。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7.储存温度-40-70℃。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含母猪固定式个体识别模块，电源和数据与机器人主机联接并固定于料槽上方适当位置，识读距离≥0.2m；含仔猪固定式个体识别模块，电源和数据与机器人主机联接并固定于仔猪饮水碗上方（不含饮水碗），识读距离≥0.2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9.料筒材质PP塑料，投料机构为304不锈钢，料筒与投料机构一体化设计，机器人主体悬固于料线上（不含与料线联接的三通装置，不含料槽及与之联接的下料管）。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10.整机防水等级≥IP44。</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畜禽饲养机械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养殖机器人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妊娠母猪群养大栏饲喂、定位、盘点用系统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1.含电源适配器，电源输入AC≥220V，输出DC≥24V/3A。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2.机器学习（ML）+远程自定义（控料）；24小时全天候运行；能耗≤0.2kW·h/天（饲喂主机）。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3.以3台饲喂主机为1套基本饲喂单元（也可1台饲喂主机独立使用），1套基本饲喂单元可饲喂40-50头妊娠母猪，整机工作温度-20-55℃。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4.饲料可用颗粒料或者粉料。</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5.含WIFI或4G+无线物联组网功能（不含网络环境和数据服务）；含人工智能单元（AIU）+SOC（嵌入式算法）；可实现云端智慧猪场APP（SAAS软件）猪场管理及饲喂算法等远程升级；饲喂主机间无线近场通讯。</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6.料桶容积≥100L；单次料量约≥150g，重复投料精度为±2g。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7.储存温度-40-70℃。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8.含固定式个体识别模块，与机器人一体化设计，识读距离≥0.2m。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9.料桶材质PP塑料，投料机构为304不锈钢，栏片材质为镀锌管，料桶与投料机构一体化设计，与机械式自由进出栏连接后固定于漏缝地板上（不含与料线联接的三通装置及与料桶联接的下料管）。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10.整机防水等级≥IP44。</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18410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10路全自动槽穴式投饵系统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1.饲料容积≥50L。</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2.投喂量≥40kg/min。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3.投饵准确率≥98%。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4.喷射动力≥10kg。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5.投饵方式：槽穴式自动投饵机。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6.料桶数量≥10个。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7.总控制系统：10路控制。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38500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20路全自动槽穴式投饵系统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1.饲料容积≥100L。</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2.投喂量≥80kg/min。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3.投饵准确率≥98%。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4.喷射动力≥20kg。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5.投饵方式：槽穴式自动投饵机。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6.料桶数量≥20个。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7.总控制系统：20路控制。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66500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30路全自动槽穴式投饵系统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1.饲料容积≥150L。</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2.投喂量≥120kg/min。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3.投饵准确率≥98%。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4.喷射动力≥30kg。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5.投饵方式：槽穴式自动投饵机。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6.料桶数量≥30个。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7.总控制系统：30路控制。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101500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组合式制氧曝气机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1.包括陶瓷曝气器、罗兹风机、纳米增氧管等。</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2.风机功率≥5kW。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3.流量≥6m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4.升压≥25kPa。</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5.风机叶轮材质HT250及以上。</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6.纳米增氧管气泡尺寸2-3μm，出气量≥6L/min，适用压力0.05-0.1MPa，适用水深0-5m。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7.陶瓷烧结1-2μm孔径，气泡Φ0.1-0.5mm，最大承压≥0.6MPa。</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10360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190c㎡及以上微孔制氧系统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1.陶瓷面积≥190c㎡。</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2.最大工作压力≥0.35MPa。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3.最大承压≥0.7MPa。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4.流量≥2.0L/min。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5.底座材料铝合金，耐海水腐蚀。</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6.数量≥100块。</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7.气管≥500m。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8.外径≥8mm。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9.杜瓦罐≥190公斤，2个。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10.调节阀数量≥50套。</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29610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50-100L/min制氧机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50L/min≤氧气产量＜100L/min；氧气浓度≥90%。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69860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100-200L/min制氧机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100L/min≤氧气产量＜200L/min；氧气浓度≥90%。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94010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200L/min及以上制氧机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氧气产量≥200L/min；氧气浓度≥90%。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136990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变纯压力氧增氧及水质在线监控二合一系统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1.氧气利用率≥96%。</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2.出口处高氧水溶氧值:100-200mg/L。</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3.增氧点：10-20个。</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4.自动控制：全自动运行、无人值守。</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5.有历史记录查询功能，可生成曲线。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6.罐体材质：不锈钢304或不锈钢316。</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7.水泵：不锈钢材质；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8.增氧控制阀：电磁阀。</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9.液氧罐≥10m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10.总水体≥1500m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，养殖量≥50000kg（鱼）。</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693840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矩形生物槽</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含高比表面积生物球与活性炭、陶粒，尺寸≥3200×1400×1600mm，材质PP。</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5880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PH复合电极传感器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1.测量范围0-14.00pH，分辨率≤0.01pH。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2.传感器类型；pH复合电极，测量精度:0.02pH。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3.输出方式：RS485接口。</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4.供电方式：12VDC/30mA。</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1060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溶解氧测量传感器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测量范围:0-20mg/L、精度≤±0.5mg/L，测量重复性≤0.3mg/L，零值偏移≤0.2 mg/L，分辨率0.01mg/L，温度测量范围0-60℃，温度分辨率0.01℃、温度测量误差≤0.2℃。</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1610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水温测量传感器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量程0-100℃，分辨率≤0.05℃，误差±0.1℃。</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氨氮测量传感器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测量原理:水杨酸光度法。测量范围0.02-2.00mg/L；精度4%±0.02；测量间隔10-720min，单次测量周期10min，LED光源。</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3850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FRP养殖池</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尺寸≥5.2m×5.2m×1m，材质FRP。</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5770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FRP养殖池</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尺寸≥3.2m×3.2m×1m，材质FRP。</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3360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FRP养殖池</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尺寸≥1.6m×1.6m×0.8m，材质FRP。</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PP养殖池</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尺寸≥8m×8m×1.4m，材质PP。</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5600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风机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功率≥2.2kW，电压220V/380V。</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890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不锈钢离心泵</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最大扬程≥21m，功率≥3kW，最大流量≥44m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1260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自动真空吸鱼泵</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功率≥5kW，管径≥8寸，最大扬程≥10m，平面输送50-75m。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64750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自动投饵机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功率≥4W，储料量≥10L，投料粒径2-10mm。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工厂化养殖系统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大水面密封罐体养殖系统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养殖水体≥1000m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，养殖密度≥40kg/m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水体，水体交换量≥200m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/h，单套系统年产量≥40000kg，该系统包括：</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1.模块式拼装漂浮平台。</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2.光伏发电遮阳系统。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3.密封养殖槽。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4.全自动微滤机，水体处理量≥200m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5.氧锥及氧锥泵，流量≥150m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6.智能化水质监测及控制系统。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7.表层水悬浮物拦截系统。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8.沉性大颗粒污染物陆上收集及沉淀装置。</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9.智能化溶氧监测及控制系统。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10.高浓度污染物陆上固液分离装置。</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11.高污染尾水气浮及臭氧氧化装置。</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12.耗氧发酵及生物分解装置。</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13.液氧储存及供氧系统。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14.生物过滤模块，包括水上漂浮植物净水装置及花白鲢养殖装置。</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15.变频式空气悬浮风机及供气管路。</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16.数智渔业智慧平台。</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17.漂浮系统锚定装置。</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584500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/h全封闭连续排污高效蛋白分离器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材质食品级PP，100m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/h≤处理量＜150m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/h，射流功率≥1.5kW。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/h以上全封闭连续排污高效蛋白分离器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材质食品级PP，流量≥150m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/h，射流功率≥2kW。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自动化圆筒式过滤机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处理水量≥90t/h，功率≥1.12kW，配置自动反冲洗控制电箱，材质PP。</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沉浸式生物过滤器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处理水量≥60t/h，含高比表面积生物滤材，材质PP。</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11970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滴滤式生物过滤器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处理水量≥60t/h，含高比表面积生物滤材，尺寸≥直径2000×高2208mm，电压220V，功率0.2kW，材质PP。</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溶氧锥</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处理水量≥60t/h，尺寸≥直径600×高173mm，材质FRP。</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3675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虹吸式PP水盘</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尺寸≥33cm×33cm×26cm，材质PP。</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量子小分子水机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入水口管径2寸，尺寸≥150×60×80cm，小分子频率≤77Hz。</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23100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次氯酸水、消毒机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制水效率≥120L/h，额定功率≥550W，制造液储液桶容量≥25L，生成次氯酸水有效氯含量100-700ppm。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/h以上全自动反冲洗箱式机械微滤机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1.减速电机功率≥75kW。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2.冲洗水泵功率≥5kW。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3.电压220-380V。</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4.扬程≥85m。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5.反冲洗压力≥0.5MPa。</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6.过滤面积≥4㎡。</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7.过滤网目≥200目。</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8.处理量≥200m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9.材质：304（淡水）全不锈钢。</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23360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50-70m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 循环水处理设备（养殖密度：30kg/m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1.水处理量50-70m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2.养殖密度30kg/m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3.水体交换率1小时/次</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4.养殖池容量50m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,材质PP,直径6-8m，深度1.2-1.5m。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5.微滤蛋分一体机：流量≥50m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 200目（60μm）；池内紧急曝气增氧装置：微纳米陶瓷曝气柱1.5L/m ；纯氧流量杜瓦瓶：200L。</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6.过滤精度60μm，自动清洗生化池≥6m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7.移动床生化填料≥3m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，复合亲水材料75孔，比表面积≥1400㎡/m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8.固定床填料≥1m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，紫外线杀菌器50m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9.循环水泵≥50m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/h，臭氧发生器≥10g/h。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10.检测仪器：溶氧、pH、温度、液位。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11.智能化增氧及控制一体机：溶解氧温度传感器 1 只；pH传感器1只；触摸屏≥10寸。</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12.溶解氧智能控制系统1套：断电、低氧、手动3种控制模式。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50-70m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 循环水处理设备（养殖密度：50kg/m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1.水处理量50-70m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3.水体交换率1-1.4次/h。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4.养殖池容量50m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，材质PP，直径6-8m，深度1.2-1.5m。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5.微滤蛋分一体机：流量≥50m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/h，过滤精度200目（60</w:t>
            </w:r>
            <w:r>
              <w:rPr>
                <w:rStyle w:val="21"/>
                <w:rFonts w:hint="eastAsia" w:ascii="宋体" w:hAnsi="宋体" w:cs="宋体"/>
                <w:snapToGrid w:val="0"/>
                <w:kern w:val="0"/>
                <w:lang w:bidi="ar"/>
              </w:rPr>
              <w:t>μ</w:t>
            </w:r>
            <w:r>
              <w:rPr>
                <w:rStyle w:val="18"/>
                <w:rFonts w:ascii="宋体" w:hAnsi="宋体" w:eastAsia="宋体" w:cs="宋体"/>
                <w:snapToGrid w:val="0"/>
                <w:kern w:val="0"/>
                <w:lang w:bidi="ar"/>
              </w:rPr>
              <w:t>m）；池内紧急曝气增氧装置：微纳米陶瓷曝气柱1.5L/m；纯氧流量杜瓦瓶200L。</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6.过滤精度60</w:t>
            </w:r>
            <w:r>
              <w:rPr>
                <w:rStyle w:val="21"/>
                <w:rFonts w:hint="eastAsia" w:ascii="宋体" w:hAnsi="宋体" w:cs="宋体"/>
                <w:snapToGrid w:val="0"/>
                <w:kern w:val="0"/>
                <w:lang w:bidi="ar"/>
              </w:rPr>
              <w:t>μ</w:t>
            </w:r>
            <w:r>
              <w:rPr>
                <w:rStyle w:val="18"/>
                <w:rFonts w:ascii="宋体" w:hAnsi="宋体" w:eastAsia="宋体" w:cs="宋体"/>
                <w:snapToGrid w:val="0"/>
                <w:kern w:val="0"/>
                <w:lang w:bidi="ar"/>
              </w:rPr>
              <w:t>m，自动清洗生化池≥6m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7.移动床生化填料≥3m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，复合亲水材料75 孔，比表面积≥1400㎡/m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8.固定床填料≥1m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9.紫外线杀菌器50m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10.循环水泵≥700m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/h，臭氧发生器≥10g/h。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11.检测仪器：溶氧、pH、温度、液位。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12.智能化增氧及控制一体机：溶解氧温度传感器1只；pH传感器1只，触摸屏≥10寸。</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13.溶解氧智能控制系统1套：断电、低氧、手动3种控制模式。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100-150m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 循环水处理设备（养殖密度：30kg/m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1.水处理量100-150m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2.养殖密度30kg/m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，水体交换率1次/h。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3.养殖池容量：50m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，材质PP，直径6-8m，深度1.2-1.5m。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4.微滤蛋分一体机：流量≥50m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/h，过滤精度200目（60</w:t>
            </w:r>
            <w:r>
              <w:rPr>
                <w:rStyle w:val="21"/>
                <w:rFonts w:hint="eastAsia" w:ascii="宋体" w:hAnsi="宋体" w:cs="宋体"/>
                <w:snapToGrid w:val="0"/>
                <w:kern w:val="0"/>
                <w:lang w:bidi="ar"/>
              </w:rPr>
              <w:t>μ</w:t>
            </w:r>
            <w:r>
              <w:rPr>
                <w:rStyle w:val="18"/>
                <w:rFonts w:ascii="宋体" w:hAnsi="宋体" w:eastAsia="宋体" w:cs="宋体"/>
                <w:snapToGrid w:val="0"/>
                <w:kern w:val="0"/>
                <w:lang w:bidi="ar"/>
              </w:rPr>
              <w:t>m）；池内紧急曝气增氧装置：微纳米陶瓷曝气柱1.5L/m；纯氧流量杜瓦瓶200L。</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5.生化池≥10m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6.移动床生化填料≥5m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，复合亲水材料，复配细菌附着基，加快菌群形成 75 孔，比表面积≥1400㎡/m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，固定床填料≥1m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7.循环水泵≥100m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/h，臭氧发生器≥20g/h。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8.低压管道溶氧锥≥100m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9.池内紧急曝气增氧装置：微纳米陶瓷曝气柱1.5L/m。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10.纯氧流量检测仪器：溶氧、pH、温度、液位。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11.智能化增氧及控制一体机：溶解氧温度传感器 1 只；pH传感器1只；触摸屏≥10寸。</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12.溶解氧智能控制系统1套：断电、低氧、手动3种控制模式。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100-150m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 循环水处理设备（养殖密度：50kg/m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1.水处理量100-150m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，水体交换率1-1.4 次/h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3.微滤蛋分一体机：过滤精度60μm，自动清洗，流量≥100m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/h；池内紧急曝气增氧装置：微纳米陶瓷曝气柱1.5L/m，纯氧流量杜瓦瓶200L。</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4.生化池≥15m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5.移动床生化填料≥8m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，复合亲水材料，复配细菌附着基，加快菌群形成 75 孔，比表面积≥1400㎡/m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，固定床填料≥2m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 ㎡/m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6.紫外线杀菌器100m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7.循环水泵100-150m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/h，臭氧发生器≥20g/h。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8.低压变径溶氧锥≥100m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9.检测仪器：溶氧、pH、温度、液位。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10.智能化增氧及控制一体机：溶解氧温度传感器1只；pH传感器1只；触摸屏≥10寸。</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11.溶解氧智能控制系统1套：断电、低氧、手动3种控制模式。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200-300m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 循环水处理设备（养殖密度：30kg/m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1.水处理量200-300m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2.养殖密度30公斤/m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，水体交换率1小时/次。</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3.养殖池容量200m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，材质PP，直径6-8m，深度1.2-1.5m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4.微滤蛋分一体机：过滤精度60</w:t>
            </w:r>
            <w:r>
              <w:rPr>
                <w:rStyle w:val="21"/>
                <w:rFonts w:hint="eastAsia" w:ascii="宋体" w:hAnsi="宋体" w:cs="宋体"/>
                <w:snapToGrid w:val="0"/>
                <w:kern w:val="0"/>
                <w:lang w:bidi="ar"/>
              </w:rPr>
              <w:t>μ</w:t>
            </w:r>
            <w:r>
              <w:rPr>
                <w:rStyle w:val="18"/>
                <w:rFonts w:ascii="宋体" w:hAnsi="宋体" w:eastAsia="宋体" w:cs="宋体"/>
                <w:snapToGrid w:val="0"/>
                <w:kern w:val="0"/>
                <w:lang w:bidi="ar"/>
              </w:rPr>
              <w:t>m，自动清洗，流量≥200m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5.池内紧急曝气增氧装置：微纳米陶瓷曝气柱1.5L/m，纯氧流量杜瓦瓶200L。</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6.生化池≥30m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7.移动床生化填料≥12m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，复合亲水材料，复配细菌附着基，加快菌群形成 75 孔，比表面积≥1400 ㎡/m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，固定床填料≥4m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 ㎡/m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8.循环水泵150-200m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/h，臭氧发生器≥40g/h。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9.低压变径溶氧锥≥150m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10.检测仪器：溶氧、pH、温度、液位。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11.智能化增氧及控制一体机：溶解氧温度传感器1只；pH传感器1只，触摸屏≥10寸。</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12.溶解氧智能控制系统 1 套：断电、低氧、手动3种控制模式。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196000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200-300m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/h循环水处理设备（养殖密度：50kg/m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1.水处理量200-300m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,水体交换率1-1.5次/h。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3.养殖池容量200m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，材质PP，直径 6-8m，深度 1.2-1.5m。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4.微滤机流量≥200m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/h，过滤精度60</w:t>
            </w:r>
            <w:r>
              <w:rPr>
                <w:rStyle w:val="21"/>
                <w:rFonts w:hint="eastAsia" w:ascii="宋体" w:hAnsi="宋体" w:cs="宋体"/>
                <w:snapToGrid w:val="0"/>
                <w:kern w:val="0"/>
                <w:lang w:bidi="ar"/>
              </w:rPr>
              <w:t>μ</w:t>
            </w:r>
            <w:r>
              <w:rPr>
                <w:rStyle w:val="18"/>
                <w:rFonts w:ascii="宋体" w:hAnsi="宋体" w:eastAsia="宋体" w:cs="宋体"/>
                <w:snapToGrid w:val="0"/>
                <w:kern w:val="0"/>
                <w:lang w:bidi="ar"/>
              </w:rPr>
              <w:t>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5.生化池≥40m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6.移动床生化填料≥20m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，复合亲水材料，复配细菌附着基，加快菌群形成 75 孔，比表面积≥1400 ㎡/m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，固定床填料≥10m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 ㎡/m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7.紫外线杀菌器250m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/h，循环水泵300-400m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/h，臭氧发生器≥40g/h。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8.中压溶氧锥≥80m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9.二氧化碳吹脱器：流量≥120m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10.检测仪器：溶氧、pH、温度、液位。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11.智能化增氧及控制一体机：溶解氧温度传感器1只；pH传感器1只，触摸屏≥10寸。</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12.溶解氧智能控制系统 1 套：断电、低氧、手动3种控制模式。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238000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300-400m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/h循环水处理设备（养殖密度：30kg/m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1.水处理量300-400m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2.养殖密度30kg/m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,水体交换率1-1.4次/h。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3.养殖池容量≥300m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4.微滤机：流量≥300m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/h，过滤精度200目（60μm）。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5.自动清洗生化池≥50m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6.移动床生化填料≥20m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，75孔，比表面积≥1400㎡/m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，固定床填料≥10m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7.紫外线杀菌器300m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8.二氧化碳吹脱器：流量≥200m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/h，循环水泵300-450m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9.臭氧发生器≥60g/h。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10.溶氧锥≥120m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11.检测仪器：溶氧、pH、tss、ORP、温度、液位。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12.智能化溶氧控制柜：与溶氧探头相连，根据设定阙值独立控制每个养殖池的增氧设备。具有断电自动开启、低氧自启、手动调教 3种模式。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13.智能化控制柜：溶解氧温度传感器1只；pH传感器1只，触摸屏≥10寸。</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300-400m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 循环水处理设备（养殖密度：50kg/m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1.水处理量300-400m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，水体交换率1-1.4 次/h。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3.养殖池容量≥300m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4.微滤机：流量≥300m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/h，过滤精度200目（60μm）。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5.自动清洗生化池≥50m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6.移动床生化填料≥20m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，75孔，比表面积≥1400㎡/m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，固定床填料≥10m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7.紫外线杀菌器300m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8.二氧化碳吹脱器：流量≥200m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/h，循环水泵300-450m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9.臭氧发生器≥60g/h。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10.溶氧锥≥120m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11.检测仪器：溶氧、pH、tss、ORP、温度、液位。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12.智能化溶氧控制柜：与溶氧探头相连，根据设定阙值独立控制每个养殖池的增氧设备。具有断电自动开启、低氧自启、手动调教 3种模式。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13.智能化控制柜：溶解氧温度传感器1只；pH传感器1只，触摸屏≥10寸。</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392000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400-600m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/h循环水处理设备（养殖密度：30kg/m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1.水处理量400-600m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2.养殖密度30kg/m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。水体交换率1小时/次。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3.养殖池容量≥400m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4.微滤机：流量≥400m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/h，过滤精度60</w:t>
            </w:r>
            <w:r>
              <w:rPr>
                <w:rStyle w:val="21"/>
                <w:rFonts w:hint="eastAsia" w:ascii="宋体" w:hAnsi="宋体" w:cs="宋体"/>
                <w:snapToGrid w:val="0"/>
                <w:kern w:val="0"/>
                <w:lang w:bidi="ar"/>
              </w:rPr>
              <w:t>μ</w:t>
            </w:r>
            <w:r>
              <w:rPr>
                <w:rStyle w:val="18"/>
                <w:rFonts w:ascii="宋体" w:hAnsi="宋体" w:eastAsia="宋体" w:cs="宋体"/>
                <w:snapToGrid w:val="0"/>
                <w:kern w:val="0"/>
                <w:lang w:bidi="ar"/>
              </w:rPr>
              <w:t>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5.自动清洗水泵池：停留时间＞ 2min。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6.生化池≥60m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7.移动床生化填料≥25m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，75孔，比表面积≥1400㎡/m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，固定床填料≥10m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8.紫外线杀菌器：300m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/h，循环水泵400m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9.臭氧发生器≥100g/h。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10.溶氧锥≥120m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11.检测仪器：溶氧、pH、温度、液位。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12.智能化溶氧控制柜：与溶氧探头相连，根据设定阙值独立控制每个养殖池的增氧设备。具有断电自动开启、低氧自启、手动调教 3种模式。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13.智能化控制柜：溶解氧温度传感器1只；pH传感器1只，触摸屏≥10寸。</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420000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400-600m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/h循环水处理设备（养殖密度：50kg/m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1.水处理量：400-600m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，水体交换率1-1.5 次/h。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3.养殖池容量≥400m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4.微滤机：流量≥400m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/h，过滤精度60</w:t>
            </w:r>
            <w:r>
              <w:rPr>
                <w:rStyle w:val="21"/>
                <w:rFonts w:hint="eastAsia" w:ascii="宋体" w:hAnsi="宋体" w:cs="宋体"/>
                <w:snapToGrid w:val="0"/>
                <w:kern w:val="0"/>
                <w:lang w:bidi="ar"/>
              </w:rPr>
              <w:t>μ</w:t>
            </w:r>
            <w:r>
              <w:rPr>
                <w:rStyle w:val="18"/>
                <w:rFonts w:ascii="宋体" w:hAnsi="宋体" w:eastAsia="宋体" w:cs="宋体"/>
                <w:snapToGrid w:val="0"/>
                <w:kern w:val="0"/>
                <w:lang w:bidi="ar"/>
              </w:rPr>
              <w:t>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5.自动清洗生化池≥100m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6.移动床生化填料≥40m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，75孔，比表面积≥1400㎡/m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，固定床填料≥15m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7.紫外线杀菌器300m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/h，循环水泵400-600m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8.二氧化碳吹脱器：流量≥400m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9.臭氧发生器≥100g/h。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10.溶氧锥≥120m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11.检测仪器：溶氧、pH、tss、ORP、温度、液位。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12.智能化溶氧控制柜：与溶氧探头相连，根据设定阙值独立控制每个养殖池的增氧设备。具有断电自动开启、低氧自启、手动调教3种模式。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13.智能化控制柜：溶解氧温度传感器1只；pH传感器1只，触摸屏≥10寸。</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483000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 循环水处理设备（养殖密度：30kg/m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1.水处理量1000m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2.养殖密度30kg/m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，水体交换率1 小时/次。</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3.养殖池容量800-1000m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4.微滤机：流量≥1000m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/h，过滤精度60μm。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5.自动清洗生化池≥120m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6.移动床生化填料≥40m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，75孔，比表面积≥1400㎡/m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，固定床填料≥20m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7.紫外线杀菌器300m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/h，循环水泵1000m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8.臭氧发生器≥150g/h。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9.溶氧锥≥150m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10.检测仪器：溶氧、pH、液位、温度。</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11.智能化溶氧控制柜：与溶氧探头相连，根据设定阙值独立控制每个养殖池的增氧设备。具有断电自动开启、低氧自启、手动调教 3种模式。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12.智能化控制柜：溶解氧温度传感器1只；pH传感器1只，触摸屏≥10寸。</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 循环水处理设备（养殖密度：50kg/m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1.水处理量1000-1500m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2.养殖密度50kg/m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，水体交换率1-1.5次/h。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3.养殖池容量800-1000m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4.微滤机：流量≥1000m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/h，过滤精度60</w:t>
            </w:r>
            <w:r>
              <w:rPr>
                <w:rStyle w:val="21"/>
                <w:rFonts w:hint="eastAsia" w:ascii="宋体" w:hAnsi="宋体" w:cs="宋体"/>
                <w:snapToGrid w:val="0"/>
                <w:kern w:val="0"/>
                <w:lang w:bidi="ar"/>
              </w:rPr>
              <w:t>μ</w:t>
            </w:r>
            <w:r>
              <w:rPr>
                <w:rStyle w:val="18"/>
                <w:rFonts w:ascii="宋体" w:hAnsi="宋体" w:eastAsia="宋体" w:cs="宋体"/>
                <w:snapToGrid w:val="0"/>
                <w:kern w:val="0"/>
                <w:lang w:bidi="ar"/>
              </w:rPr>
              <w:t>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5.自动清洗生化池≥200m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6.移动床生化填料≥80m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，75孔，比表面积≥1400㎡/m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，固定床填料≥40m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，比表面积≥600㎡/m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7.紫外线杀菌器≥600m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8.二氧化碳吹脱器：流量≥500m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/h，循环水泵1000-1500m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9.臭氧发生器≥300g/h。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10.氧气源溶氧锥≥300m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11.检测仪器：溶氧、pH、tss、ORP、温度、液位。</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12.智能化溶氧控制柜：与溶氧探头相连，根据设定阙值独立控制每个养殖池的增氧设备。具有断电自动开启、低氧自启、手动调教 3种模式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13.智能化控制柜：溶解氧温度传感器1只；pH传感器1只,触摸屏≥10寸。</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875000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150-500t工厂化养殖微滤系统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1.养殖容器：材质PP，边板≥6mm，底板≥8mm，总容积≥150m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2.生化池：材质PP，总容积≥80m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3.生化池瀑气机≥4kW，风机转速≥430r/min，气压≥0.2MPa，风量≥2.5/m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4.生化池气盘：PP材质，长度≥100m。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5.鱼池增氧气管：送气长度≥150m。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6.变频水泵：功率≥3kW，扬程≥4.5m，流量≥150t/h。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7.微滤机：处理流量≥150t/h，电机功率≥0.5kW，316L不锈钢材质，≥200目网。</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8.生化填料：生化比表面≥4000㎡/m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，总体积≥10m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9.臭氧机：不锈钢材质，含时间控制/内置空压机/精密过滤器/冷风机/气源处理器。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10.微波杀菌仪：流量≥150t/h，不锈钢材质。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11.纯氧混合器≥10L/min。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12.生化菌种：硝化菌种≥15L，硝化细菌80亿/L。</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13.变频增氧机功率≥4kW。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165620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水体净化处理系统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500t及以上工厂化养殖微滤系统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1.养殖容器：材质PP，边板≥6mm，底板≥8mm，总容积≥500m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2.生化池：材质PP，总容积≥110m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3.生化池瀑气机：功率≥10kW，风机转速≥430r/min，气压≥0.2MPa，风量≥7.5/m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4.生化池气盘：PP材质，长度≥100m。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5.鱼池增氧气管：送气长度≥300m。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6.变频水泵：功率≥5.5kW，扬程≥10m，流量≥280t/h。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7.微滤机：处理流量≥500t/h，电机功率≥0.75kW，316L不锈钢材质，≥200目网。</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8.生化填料：生化比表面≥4000㎡/m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，总体积≥58m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9.臭氧机：不锈钢材质，含时间控制/内置空压机/精密过滤器/冷风机/气源处理器。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10.微波杀菌仪：流量≥500t/h，不锈钢材质。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11.纯氧混合器：≥25L/min。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12.生化菌种：硝化菌种≥60L，硝化细菌≥80亿/L。</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13.变频增氧机功率≥7.5kW。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525280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水产养殖箱体</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小型方形孵化箱</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1.规格：1m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≤容积＜1.5m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2.材质：玻璃钢；一次性整体成型；内部光滑平整、外表面均匀。</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水产养殖箱体</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中型方形孵化箱</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1.规格：1.5m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≤容积＜2.5m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2.材质：玻璃钢；一次性整体成型；内部光滑平整、外表面均匀。</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水产养殖箱体</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大型方形孵化箱</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1.规格：容积≥2.5m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2.材质：玻璃钢；一次性整体成型；内部光滑平整、外表面均匀。</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1260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水产养殖箱体</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小型圆形孵化箱</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1.规格：1.5m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≤容积＜2m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2.材质：玻璃钢；一次性整体成型；内部光滑平整、外表面均匀。</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水产养殖箱体</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中型圆形孵化箱</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1.规格：2m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≤容积＜3m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2.材质：玻璃钢；一次性整体成型；内部光滑平整、外表面均匀。</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水产养殖箱体</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大型圆形孵化箱</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1.规格：容积≥3m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2.材质：玻璃钢；一次性整体成型；内部光滑平整、外表面均匀。</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水产养殖箱体</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孵化监测成套设备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 xml:space="preserve">1.16路800万像素采集终端，包括体征识别功能，支持多种智能资源切换。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2.全天行为监测，自动切换昼夜模式，目标特征识别。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3.混合目标检测、智慧管理、产卵动作监控、周界特征抓拍，支持同时抓拍30张特征，支持对运动对象进行检测、跟踪、抓拍、分析、筛选，存储功能。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4.高清1080P及以上视频储存时长≥30天。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5.动物行为报警，支持动物体内植入电子芯片扫描、读取、信息存档功能，可16路高清屏幕监看产蛋孵化过程，实时网络信息传输，连接移动客户端，支持远程在线及回看功能，具备孵化数据合并分析功能。</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56280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水产养殖箱体</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100-250L恒温箱</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1.100L≤容积＜250L。</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2.控温范围0-70℃。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3.半导体控温；触摸屏，可程序升降温。</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4.高精度半导体控温环境模拟恒温箱，10年及以上数据存储；内外全不锈钢材质；温度均匀性：≤±0.3℃，温度波动度：≤0.1℃；温度范围：0-70℃；多重温度安全控制：具有基于目标温度的自动安全控制功能、高低温超限报警、TB报警器；可远程监控设备运行状态。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5.气候模拟：可将外部采集的气候变化数据导入至设备进行模拟气候变化，阶段数无限制；具有热负荷平衡功能。</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水产养殖箱体</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250L及以上恒温箱</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1.容积≥250L。</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2.控温范围0-70℃。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3.控湿范围10-90%RH。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4.半导体控温控湿；触摸屏，可程序升降温。</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5.高精度半导体控温控湿环境模拟恒湿恒温箱，10年及以上数据存储；内外全不锈钢材质；温度均匀性：≤±0.3℃，温度波动度：≤0.1℃；温度范围：0-70℃；多重温度安全控制：具有基于目标温度的自动安全控制功能、高低温超限报警、TB报警器；可远程监控设备运行状态。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6.气候模拟：可将外部采集的气候变化数据导入至设备进行模拟气候变化，阶段数无限制；具有热负荷平衡功能。</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68600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(养殖密度25kg/m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1.养殖水体≥100m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，养殖池直径6-10m、PP材质，系统流量≥100m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/h，养殖量≥2500kg。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2.微滤机处理量≥100m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/h，过滤精度≥200目。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3.微纳米陶瓷曝气柱纯氧流量≥1.5L/m。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4.智能化增氧及控制一体机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水质监测系统：溶解氧温度传感器1只；pH传感器1只,触摸屏≥10寸，溶解氧智能控制系统1套：断电、低氧、手动3种控制模式。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5.无动力变径增氧器≥100m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6.含基质种植床，含尾水及废弃物的综合利用功能。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7.含EM微生物好氧发酵及蚯蚓分解池。</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98000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(养殖密度40kg/m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1.养殖水体≥100m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，养殖池直径6-10m、PP材质，系统流量≥100m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/h，养殖量≥4000kg。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2.微滤机处理量≥100m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/h，过滤精度≥200目。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3.微纳米陶瓷曝气柱纯氧流量≥1.5L/m。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4.智能化增氧及控制一体机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水质监测系统：溶解氧温度传感器1只,pH传感器1只,触摸屏≥10寸，溶解氧智能控制系统1套：断电、低氧、手动3种控制模式。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5.无动力变径增氧器≥100m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6.含基质种植床，含尾水及废弃物的综合利用功能。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7.含EM微生物好氧发酵及蚯蚓分解池。</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（养殖密度25kg/m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1.养殖水体≥200m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，养殖池直径6-10m、PP材质，系统流量≥100m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/h，养殖量≥5000kg。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2.微滤机处理量≥100m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/h，过滤精度≥200目。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3.微纳米陶瓷曝气柱纯氧流量≥1.5L/m。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4.智能化增氧及控制一体机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水质监测系统：溶解氧温度传感器1只,pH传感器1只,触摸屏≥10寸，溶解氧智能控制系统1套：断电、低氧、手动3种控制模式。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5.无动力变径增氧器≥200m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6.含基质种植床，含尾水及废弃物的综合利用功能。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7.含EM微生物好氧发酵及蚯蚓分解池。</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（养殖密度40kg/m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1.养殖水体≥200m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，养殖池直径6-10m、PP材质，系统流量≥100m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/h，养殖量≥8000kg。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2.微滤机处理量≥100m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/h，过滤精度≥200目。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3.微纳米陶瓷曝气柱纯氧流量≥1.5L/m。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4.智能化增氧及控制一体机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水质监测系统：溶解氧温度传感器1只,pH传感器1只,触摸屏≥10寸，溶解氧智能控制系统1套：断电、低氧、手动3种控制模式。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5.无动力变径增氧器≥200m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6.含基质种植床，含尾水及废弃物的综合利用功能。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7.含EM微生物好氧发酵及蚯蚓分解池。</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227500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（养殖密度25kg/m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1.养殖水体≥250m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，养殖池直径6-10m、PP材质，系统流量≥150m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/h，养殖量≥6250kg。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2.微滤机处理量≥100m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/h，过滤精度≥200目。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3.微纳米陶瓷曝气柱纯氧流量≥1.5L/m。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4.智能化增氧及控制一体机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水质监测系统：溶解氧温度传感器1只、pH传感器1只,触摸屏≥10寸，溶解氧智能控制系统1套：断电、低氧、手动3种控制模式。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5.无动力变径增氧器≥200m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6.含基质种植床，含尾水及废弃物的综合利用功能。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7.含EM微生物好氧发酵及蚯蚓分解池。</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（养殖密度40kg/m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1.养殖水体≥250m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，养殖池直径6-10m、PP材质，系统流量≥200m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/h，养殖量≥10000kg。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2.微滤机处理量≥200m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/h，过滤精度≥200目。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3.微纳米陶瓷曝气柱纯氧流量≥1.5L/m。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4.智能化增氧及控制一体机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水质监测系统：溶解氧温度传感器1只,pH传感器1只,触摸屏≥10寸，溶解氧智能控制系统1套：断电、低氧、手动3种控制模式。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5.无动力变径增氧器≥200m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6.含基质种植床，含尾水及废弃物的综合利用功能。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7.含EM微生物好氧发酵及蚯蚓分解池。</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297500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（养殖密度25kg/m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1.养殖水体≥300m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，养殖池直径6-10m、PP材质，系统流量≥200m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/h，养殖量≥7500kg。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2.微滤机处理量≥100m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/h，过滤精度≥200目。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3.微纳米陶瓷曝气柱纯氧流量≥1.5L/m。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4.智能化增氧及控制一体机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水质监测系统：溶解氧温度传感器1只,pH传感器1只,触摸屏≥10寸，溶解氧智能控制系统1套：断电、低氧、手动3种控制模式。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5.无动力变径增氧器≥200m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6.含基质种植床，含尾水及废弃物的综合利用功能。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7.含EM微生物好氧发酵及蚯蚓分解池。</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（养殖密度40kg/m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1.养殖水体≥300m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，养殖池直径6-10m、PP材质，系统流量≥200m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/h，养殖量≥12000kg。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2.微滤机处理量≥200m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/h，过滤精度≥200目。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3.微纳米陶瓷曝气柱纯氧流量≥1.5L/m。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4.紫外线杀菌≥100立方/小时。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5.智能化增氧及控制一体机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水质监测系统：溶解氧温度传感器1只，pH传感器1只,触摸屏≥10寸，溶解氧智能控制系统1套：断电、低氧、手动3种控制模式。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6.无动力变径增氧器≥200m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7.含基质种植床，含尾水及废弃物的综合利用功能。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8.含EM微生物好氧发酵及蚯蚓分解池。</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30m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鱼菜共生系统（养殖密度20-40kg/m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1.智能控制模块：12路PLC智能控制柜；手动/自动循环水系统控制；种植区灌溉施肥自动控制；停电通知功能；备用设备自动切换；自动补水控制功能。                                                                                                                       2.养殖模块：鱼池直径4m，帆布镀锌板材质，总有效池容30m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，养殖量600-1200kg；日均循环次数1-4次，单次污染去除率≥75%；系统流量10m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/h，一用一备；无动力排水与吸污。                                                                                                                                                           3.增氧曝气模块：高压风机微纳米曝气，一用一备，通气量50-80m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4.水体调蓄与预处理模块：预制调蓄池，总有效池容≥6m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；微滤机处理能力10m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/h，过滤精度200目，悬浮物去除率≥50%；污泥收集水泵2台，一用一备。                                                                                                                                             5.种植模块：基质栽培设施，潮汐式供排水、矿物微生物协同水质净化工艺，养分回收率≥98%；系统流量10m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/h，一用一备；无动力排水。                                                                                                                  6.水质在线监测模块：pH、EC、溶解氧、温度等4参数传感器；云平台与客户端实时数据监测、阈值设定、异常通知等功能。         </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121800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60m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鱼菜共生系统（养殖密度20-40kg/m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1.智能控制模块：12路PLC智能控制柜；远程/本地、手动/自动循环水系统控制；种植区灌溉施肥自动控制；停电及设备异常通知功能；备用设备自动切换；自动补水控制功能。                                                                                                                                   2.养殖模块：鱼池直径4-6m，帆布镀锌板材质，总有效池容60m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，养殖量1200-2400kg；日均循环次数1-4次，单次污染去除率≥75%；系统流量10m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/h，一用一备；无动力排水与吸污。                                                                                                                                                           3.增氧曝气模块：高压风机微纳米曝气，一用一备，通气量50-80m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4.水体调蓄与预处理模块：预制调蓄池，总有效池容≥18m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；微滤机处理能力10m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/h，过滤精度200目，悬浮物去除率≥50%；污泥收集水泵2台，一用一备。                                                                                                                                         5.种植模块：基质栽培设施，潮汐式供排水、矿物微生物协同水质净化工艺，养分回收率≥98%；系统流量10m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/h，设备一用一备；无动力排水。                                                                                                                  6.水质在线监测模块：pH、EC、溶解氧、温度等4参数传感器；云平台与客户端实时数据监测、阈值设定、异常通知等功能。        </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139300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90m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鱼菜共生系统（养殖密度20-40kg/m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1、智能控制模块：24路PLC智能控制柜； 远程/本地、手动/自动循环水系统控制； 种植区灌溉施肥自动控制；停电及设备异常通知功能；备用设备自动切换；自动补水控制功能。                                                                                                                                    2、养殖模块：鱼池直径6-10m，帆布镀锌板材质，总有效池容90m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，养殖量1800~3600kg；日均循环次数1-4次，单次污染去除率≥75%；系统流量15m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/h，一用一备；无动力排水与吸污。                                                                                                                                                                           3、增氧曝气模块：高压风机微纳米曝气，一用一备，通气量80-120m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                                       4、水体调蓄与预处理模块：预制调蓄池，总有效池容≥18m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；微滤机处理能力15m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/h，过滤精度200目，悬浮物去除率≥50%；污泥收集水泵2台，一用一备。                                                                                                         5、种植模块：基质栽培设施，潮汐式供排水、矿物微生物协同水质净化工艺，养分回收率≥98%；系统流量15m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/h，一用一备；无动力排水。                                                                                                                  6、水质在线监测模块: GPRS-4G全网通无线通讯；pH、EC、溶解氧、温度等4参数传感器；云平台与客户端实时数据监测、阈值设定、异常通知等功能。                             </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174300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畜牧水产养殖机械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水产养殖机械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鱼菜共生系统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鱼菜共生系统（养殖密度20-40kg/m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1.智能控制模块：24路PLC智能控制柜；远程/本地、手动/自动循环水系统控制；种植区灌溉施肥自动控制；停电及设备异常通知功能；备用设备自动切换；自动补水控制功能。                                                                                                                      2.养殖模块：鱼池直径6-10m，帆布镀锌板材质，总有效池容120m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，养殖量2400-4800kg；日均循环次数1-4次，单次污染去除率≥75%；系统流量20m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/h，一用一备；无动力排水与吸污。                                                                                                                                                           3.增氧曝气模块：高压风机微纳米曝气，一用一备，通气量80-120m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4.水体调蓄与预处理模块：预制调蓄池，总有效池容≥24m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；微滤机处理能力20m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/h，过滤精度200目，悬浮物去除率≥50%；污泥收集水泵2台，一用一备。                                                                                                         5.种植模块：基质栽培设施，潮汐式供排水、矿物微生物协同水质净化工艺，养分回收率≥98%；系统流量20m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/h，一用一备；无动力排水。                                                                                                                  6.水质在线监测模块:pH、EC、溶解氧、温度等4参数传感器；云平台与客户端实时数据监测、阈值设定、异常通知功能。                             </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209300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加工量1.5-3t/h种子加工成套设备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1.功能：风筛选、比重选、分级机、包衣机、成膜仓、包装秤等主机。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2.提升输送系统、除尘系统、电控系统等。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3.1.5t/h≤加工量（小麦）＜3t/h。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4.其它种子生产率按小麦种子的折算系数计算。</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加工量3-5t/h种子加工成套设备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1.功能：风筛选、比重选、分级机、包衣机、成膜仓、包装秤等主机。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2.提升输送系统、除尘系统、电控系统等。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3.3t/h≤加工量（小麦）＜5t/h。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4.其它种子生产率按小麦种子的折算系数计算。</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236250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加工量5-10t/h种子加工成套设备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1.功能：风筛选、比重选、分级机、包衣机、成膜仓、包装秤等主机。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2.提升输送系统、除尘系统、电控系统等。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3.5t/h≤加工量（小麦）＜10t/h。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4.其它种子生产率按小麦种子的折算系数计算。</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275870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加工量10-15t/h种子加工成套设备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1.功能：风筛选、比重选、分级机、包衣机、成膜仓、包装秤等主机。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2.提升输送系统、除尘系统、电控系统等。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3.10t/h≤加工量（小麦）＜15t/h。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4.其它种子生产率按小麦种子的折算系数计算。</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506240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加工量15t/h及以上 种子加工成套设备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1.功能：风筛选、比重选、分级机、包衣机、成膜仓、包装秤等主机。</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2.提升输送系统、除尘系统、电控系统等。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3.加工量（小麦）≥15t/h。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4.其它种子生产率按小麦种子的折算系数计算。</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种子初加工机械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种子无人化包装追溯物流码垛生产线</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种子无人化包装追溯物流码垛生产线</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一、一次包装设备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1.功率≥30kW。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2.生产能力≥10t/h。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3.不合格率≤0.2%。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4.满足1000g-3500g玉米种子的称量和包装。</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5.称量精度±0.2%。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6.适应0.08-0.15mm可热封复合膜的使用。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7.设备材质：与物料接触部分为304不锈钢材质，其余部分碳钢磷化喷塑。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二、二次包装设备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1.功率≥30kW。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2.生产能力≥10t/h。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3.不合格率≤0.2%。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4.装袋形式：双列平放。</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5.整列方式：加速汇流。</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6.料袋整型：双层皮带输送机整型。</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7.计数方式：光电计数。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8.装袋速度≥50袋/min。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9.包装物料：袋装玉米种子。</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10.外包装袋材质：表面覆膜编织袋。</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11.封口形式：折边线缝、直接线缝。</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12.设备主体为碳钢喷塑。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三、机器人码垛设备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1.功率≥15kW。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2.码垛能力≥600包/h。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3.机器人本体负载≥120kg。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4.工作半径≥2400mm；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5.自由度：四轴。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6.关节速度：J1≥145°/s，J2≥110°/s，J3≥120°/s，J4≥300°/s。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7.手腕允许负载力矩≥250N·m。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8.重复定位精度±0.2mm。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9.设备材质：碳钢喷塑。</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10.设备功能构成：自动托盘库、空托盘出盘、码垛定位、实盘过渡、缓存、控制系统。</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11.检测装置：光电控制。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12.定位装置：气动机构定位。</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2835000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200-400kg/h果蔬去皮机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1.200kg/h≤效率＜400kg/h。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2.长度＜1000mm。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3.材质：刀片、机身全不锈钢材质，食品级链板。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4.去净率≥98%。</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92050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400-750kg/h果蔬去皮机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1.400kg/h≤效率＜750kg/h。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2.1000mm≤长度＜2000mm。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3.材质：刀片、机身全不锈钢材质，食品级链板。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4.去净率≥98%。</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165270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750kg/h及以上果蔬去皮机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1.效率≥750kg/h。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2.长度≥2000mm。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3.材质：刀片、机身全不锈钢材质，食品级链板。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4.去净率≥98%。</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236950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检测分级设备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1.传送速度≥100m/min，可自动分选。</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2.电机功率≥120W，单相变频。</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3.风冷散热；防水等级IP55级。</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4.探测器分辨率≤0.4mm。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5.机器无故障运行时间≥1000h；具备联网和计算机群控功能。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6.探测灵敏度：金属球直径≥0.8mm，玻璃球直径≥2.0mm，陶瓷球直径≥2.0mm。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7.主体材料不锈钢，检测射线输出功率≥200W。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8.单次检查剂量＜0.8</w:t>
            </w:r>
            <w:r>
              <w:rPr>
                <w:rStyle w:val="19"/>
                <w:rFonts w:hint="eastAsia" w:ascii="宋体" w:hAnsi="宋体" w:cs="宋体"/>
                <w:snapToGrid w:val="0"/>
                <w:kern w:val="0"/>
                <w:lang w:bidi="ar"/>
              </w:rPr>
              <w:t>μ</w:t>
            </w:r>
            <w:r>
              <w:rPr>
                <w:rStyle w:val="18"/>
                <w:rFonts w:ascii="宋体" w:hAnsi="宋体" w:eastAsia="宋体" w:cs="宋体"/>
                <w:snapToGrid w:val="0"/>
                <w:kern w:val="0"/>
                <w:lang w:bidi="ar"/>
              </w:rPr>
              <w:t>Sv/h。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9.传感器检测速度≥100m/min，检测重量≥10kg，检测条件环境温度-10-40℃。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重量分选机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1.档次：8-12个。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2.分选尺寸区间：3-10cm。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3.分选质量区间：20-1500g。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4.称重精度≤5g。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5.分级最大速度15000个/h。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6.损伤率≤5%。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7.分级合格率≥95%。</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卧式毛刷清洗机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1.设备总功率≥1.5kW。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2.产能600-800kg/h。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10850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果品自动无损检测分拣成套设备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1.自动化无损检测和分拣设备：长度≥5.5m，宽度≥1.4m，高度≥0.8m；功率≥2kW；传送速度≥5位/s；分选位6个；铝合金材质，速度可调。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2.近红外光谱采集系统：光谱扫描速度＜50m/s；外部同步触发：3位及以上同步；4位及以上光源。</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3.称重系统：称重范围100-500g。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4.同步检测系统：同步位数3组及以上，红外透射式，有物、采集光谱窗口。</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5.品级分选系统：电磁驱动方式，驱动功率≥200W/个，分选位数6位及以上。</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6.光谱测量控制设备：包括通讯信号监听、设置参数、自检、测量、品质预测、网络查询等功能。</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343000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马铃薯分级分选成套系统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1.去石去杂机：产能≥5t/h，功率≥3kW，辊间净空隙≤30mm，去除碎石、杂物直径＜30mm。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2.挑选机：产能≥5t/h，功率≥3kW，挑选直径4-9cm可调。</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3.输送机：产能≥5t/h，功率≥3kW，传送速率≥2m/min。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4.提升机：产能≥5t/h，功率≥3kW，提升速率≥2m/min。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5.通风设备：风量≥37000m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/h，功率≥4kW。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6.传送设备：单个承载重量≥1.5t，总承重量≥2250t，最低工作温度-18℃，使用寿命≥20年。</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7.马铃薯转运设备：工作温度-25-40℃，使用寿命≥5年，单个产品承重动载≥1.5t、静载≥6t，总承重动载≥22500t、静载≥90000t。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924000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叶菜分级成套设备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1.传送带机：可调节高度输送带，材质不锈钢，生产能力≥3000kg/h。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2.全自动分选机：分选范围15-200目，气压范围0.6-0.8MPa，混合气体压力设定0.15-0.20MPa，材质304不锈钢，生产能力≥7500kg/h，分选率≥99%。</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3.分选保鲜机：额定功率≥10kW，材质304不锈钢，生产能力≥3t/h，分选率≥97%。</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4.滚动分选机：平均电耗≤6kW˙h，最低绝对负压≥-0.1MPa，抽气速度≥200m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/h，材质不锈钢，生产能力≥1500kg/h，分选率≥95%。</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5.自动分选机：总功率≥8kW，材质不锈钢，生产能力≥1000kg/h，分选率≥95%。</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6.异型保鲜分选机：登录项目数≥3000，运行湿度20-85%，功率≥850W，材质不锈钢，生产能力≥1200kg/h，分选率≥95%。 7.传送机：材质不锈钢。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8.双层修检输送机：额定功率≥0.7kW，材质不锈钢，生产能力≥10000kg/h，输送率＞90%。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9.热风循环烘干箱：加热功率≥9kW/支，鼓风功率≥750W，最高烘干温度250℃，环境温度0-40℃，材质不锈钢，生产能力≥100kg/h，烘干效率≥95%。</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10.真空滚揉机：滚筒容积≥700L，装料量≥280L，真空度0.04-0.08MPa，滚筒转速≥7r/min，运转方式断续式周期运转，可调总功率1.5±0.75kW，材质不锈钢，生产能力≥500kg/h，成品率≥90%。</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11.物料提升机：功率≥0.75kW，竖刀切速≥130次/min，生产效率≥720kg/h。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1011500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叶类蔬菜分级组合系统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1.分级系统功率≥0.1kW。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2.分级系统材质304不锈钢。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3.分级系统MCU控制系统，控制电箱防水等级P65。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4.分级系统分级计量规格2000g；最大组合数量7；分级计量精度±4g；速度≥15组/min。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5.分级系统分级输送带长500mm，宽160mm。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6.复检系统功率≥0.5kW。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7.复检系统材质304不锈钢，皮带食品级PU。</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8.复检系统PLC控制系统，控制电箱防水等级P65。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9.复检系统最大复检长度≥700mm；最大复检宽度≥300mm；最大复检重量≥14kg；复检精度±0.1g-±0.5g；复检速度≥30个/min；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10.分流机构材质304不锈钢，皮带食品级PU,分流机构长度908mm；宽度400mm；分流响应时间小于0.5s；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11.过渡输送线材质304不锈钢，皮带食品级PU；</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12.过渡输送线长度800mm；宽度300mm；输送速度1-30m/min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13.贴标机材质304不锈钢，皮带食品级PU；</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14.贴标机精度±1mm；速度40—100件/分钟；适用产品长度40—600mm；适用产品宽度40—250mm                                                                             15.适合于菠菜、油菜等叶类蔬菜</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87990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甘蓝分级机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1.材质304不锈钢；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2.输送带结构防滑式结构；</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3.皮带材质食品级PU；</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4.分级拨杆结构:导式结构，出料槽平缓设计，约15度倾斜角；</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5.分选规格≤3000g；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6.分选精度±2克；</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7.分选级别5级+剔除段；</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8.主输送带宽度≥300mm；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9.分级速度≥40个/min；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10.功率≥0.5kW；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38220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果类蔬菜分级组合机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1.分级组合机功率≥0.5kW；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2.分级组合机材质304不锈钢，皮带食品级PU；</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3.分级组合机PLC控制系统，控制电箱防水等级P65；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4.分级组合机分级计量规格≤2000g；最大组合数量：12；分级计量精度：±4g；速度不少于30组/min。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5.复检机功率≥0.5kW；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6.复检机材质304不锈钢，皮带食品级PU；</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7.复检机PLC控制系统，控制电箱防水等级P65；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8.复检机最大复检长度≥700mm；最大复检宽度≥300mm；最大复检重量≥14kg；复检精度±0.1g、±0.5g；复检速度≥30个/min。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8.分流机构材质304不锈钢，皮带蓝色食品级PU。</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9.分流机构长度≥908mm，宽度≥400mm。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10.分流机构分流响应时间＜0.5s、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11.过渡输送线材质304不锈钢，皮带食品级PU。</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12.过渡输送线长度≥800mm，宽度≥300mm；输送速度1-30m/min。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13.贴标机材质304不锈钢，皮带食品级PU；</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14.贴标机精度±1mm，速度40-100件/min；适用产品长度40-600mm，适用产品宽度40-250mm。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122570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小番茄分选组合机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1.分级组合机功率≥1.5kW。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2.分级组合机材质304不锈钢。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3.分级组合机PLC控制系统，控制电箱防水等级P65。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4.分级组合机分级区间150-350g，分选速度≥30个/min；最大组合数量≥14；分级计量精度±1g。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5.分级组合机采用硅胶、挡板工艺防摔，带集料斗，挡料环。</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6.大倾角提升机功率≥0.75kW。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7.大倾角提升机材质304不锈钢，PVC皮带。</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8.大倾角提升机宽≥500mm、高度≥3000mm；带≥75mm挡板，挡板间距≥250mm，提升速度1-30m/min。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9.组合输送机功率≥0.2kW。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10.组合输送机材质304不锈钢。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11.组合输送机采用POM链板；链板宽≥152.4mm；带304折弯挡板；含检瓶光电眼、气缸挡瓶机构，升降接料机构。</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12.组合输送机控制电箱由PLC控制，变频调速，速度25m/min。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83300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600kg/h及以上蔬菜清洗成套设备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1.生产率≥600kg/h。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2.洗净率≥95%。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3.破损率≤5%。</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295610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3000kg/h及以上蔬菜清洗成套设备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1.生产率≥3000kg/h，载水量≥800kg。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2.全不锈钢材质；食品级链板。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3.旋流式清洗，振动沥水，溢水口可调节。</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4.清洗箱及架体材质304不锈钢。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5.振动沥水机整机材质304不锈钢；洗净率≥95%；破损率≤5%。</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886690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高压清洗成套设备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1.高压清洗机：总压力≥30MPa，总流量≥35L/min，额定转速≥2800r/min，总功率≥6kW，进水水流总量≥45L/s。</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2.涡流振荡清洗机：总振动激荡力≥12kN，处理能力≥1000kg/h，工作效率≥1000kg/h，304不锈钢材质,食品级输送带，总功率≥18kW。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3.毛刷清洗机：有效容积≥300L，产能≥1200kg/h，304不锈钢材质，功率≥2kW。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4.单斗翻转清洗机：水泵功率≥2kW，水容量≥250L，有效容积≥100L，产能≥500kg/h。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5.周转箱清洗机：天然气耗气量≤20m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/h，304不锈钢材质。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6.净化机：304不锈钢材质，额定功率≥2.5kW，工作温度0-45℃，相对湿度≥85%，生产效率≥2500kg/h，杀菌率≥99%，农残去除率≥95%，激素降解率≥75%。</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7.感应清洗池：自动感应进水，不锈钢材质。</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646100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500-1000kg/h果蔬切片机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1.500kg/h≤效率＜1000kg/h。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2.材质：刀片、机身全不锈钢材质，食品级链板。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3.适用范围：马铃薯、胡萝卜、莲藕、甘薯等蔬果类。</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4.切片规格：8-20mm。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92120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1000kg/h及以上果蔬切片机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1.效率≥1000kg/h。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2.材质：刀片、机身全不锈钢材质，食品级链板。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3.适用范围：马铃薯、胡萝卜、莲藕、甘薯等蔬果类。</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4.切片规格：8-20mm。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107100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切菜成套设备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1.切片机：功率≥0.75kW，竖刀切速≥250次/min，生产效率≥360kg/h。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2.切姜、切笋机：额定功率≥0.35kW，额定频率50Hz，防水等级IPX1，切菜刀片转速≥450r/min，截面≤4×10mm，菜片厚度≤5mm，生产效率≥200kg/h，不锈钢材质。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3.小型叶类切菜机：额定功率≥1.5kW，切割长度≤30mm（可调），生产效率≥1000kg/h。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4.大型叶类切菜机：额定功率≥1.5kW，切割长度≤50mm（可调），生产效率≥2000kg/h。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5.多用切菜机：功率≥0.75kW，竖刀切速≥150次/min，生产效率≥600kg/h，304不锈钢材质。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6.斩拌机：电机功率≥1kW，304不锈钢材质，生产效率≥500kg/h，成品率≥90%。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7.复合切菜机：304不锈钢材质，功率≥1kW，刀具转速≥120r/min，刀具线速度≥35m/min，生产效率≥400kg/h，成品率≥90%，不锈钢材质，容量≥50L，电机功率≥1kW。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8.搅拌机：搅拌器转速≥75r/min，防水等级IPX1，生产效率≥1500kg/h。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9.复合斩拌机：额定功率≥5kW，加工能力≥30kg/锅，斩刀数量≥3，转锅转速≥7r/min，斩拌转速≥2900r/min，传动方式双速，304不锈钢材质，生产效率≥90kg/锅。</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10.切丝机：功率≥0.75kW，竖刀切速≥130次/min，生产效率≥350kg/h，不锈钢材质，成品率≥95%。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11.切丁机：功率≥0.75kW，竖刀切速≥130次/min，生产效率≥350kg/h，成品率≥95%。</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236600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蔬菜保鲜膜包装机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1.包装速度：80-120盒/min。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2.电机参数：双伺服三相变频电机控制。</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3.人机界面触摸屏、可记录99种产品尺寸。</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4.包膜宽度220-550mm，包膜厚度≥12</w:t>
            </w:r>
            <w:r>
              <w:rPr>
                <w:rStyle w:val="19"/>
                <w:rFonts w:hint="eastAsia" w:ascii="宋体" w:hAnsi="宋体" w:cs="宋体"/>
                <w:snapToGrid w:val="0"/>
                <w:kern w:val="0"/>
                <w:lang w:bidi="ar"/>
              </w:rPr>
              <w:t>μ</w:t>
            </w:r>
            <w:r>
              <w:rPr>
                <w:rStyle w:val="18"/>
                <w:rFonts w:ascii="宋体" w:hAnsi="宋体" w:eastAsia="宋体" w:cs="宋体"/>
                <w:snapToGrid w:val="0"/>
                <w:kern w:val="0"/>
                <w:lang w:bidi="ar"/>
              </w:rPr>
              <w:t>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5.托盒范围：长100-400mm、宽80-210mm、高15-55mm;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6.产品高度：5-100mm。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7.功能：多处光电检测装置、错位监测装置；多轴伺服皮带式供给方式、标准输送带；侧夹送式整理输送带；高速往复式切刀；高分辨率光电检测。</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8.功率≥6kW。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全自动枕式包装机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1.包装膜材质：PET/AL/PE，OPP/PE等枕包复合膜，包装膜宽240-750mm，卷膜直径≥300mm。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2.产品规格：长150-600mm，宽80-240mm，高20-150mm。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3.气源：0.6-0.8MPa。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4.耗气量：12 L/min(有打孔器装置：40 L/min)。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5.包装速度：18-25m/min（20-25包/min）。 </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79800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盒式包装机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1.包装速度：50-60包/min。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2.包装膜宽度300-880mm，卷膜直径≥300mm，包装产品规格长150-600mm、宽80-240mm、高20-150mm。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3.功率≥8kW。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4.气压：0.5-0.7MPa。</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79800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异形包装机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1.包装速度：80-100包/min，整机采用碳钢结构。</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2.电源要求：380V AC/50HZ，功率13kW。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3.适用收缩膜的种类：POF、PVC 、PE。</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9100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自动包装设备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1.回潮周转箱：数量≥1000个、材质PP。</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2.称重机：电源220V、速度5-30m/min、数量3台。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3.塑料托盘：材质PP、数量200个。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4.全自动膜包机：电源380V、速度80-90m/min、出成率≥98%、数量2台。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5.热收缩炉：电源380V、功率17kW、出成率≥98%、数量2台。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6.皮带输送线：电源220V、功率≥1kW、数量5套。</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7.X射线异物检测系统：功率≥400W/射线电压80kV、射线电流4000uA，数量4台。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8.选别秤：功率≥400W，最大称重≥600g、数量4台。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9.自动开箱机：电源220V、功率≥0.24kW、速度10-12箱/min、数量2台。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10.空箱、满箱输送线：材质碳钢表面喷漆。</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11.减速机：数量2套，功率0.37kW。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12.自动装箱系统：材质碳钢表面喷漆，电源380V，速度40-45包/min，PLC控制、触摸屏、传感器，功率2.4kW。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13.折盖封箱机：电源220V，功率≥0.24kW，速度15-20箱/min、数量2台。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14.纸箱整平输送机：材质碳钢表面喷漆，减速电机2套，功率≥0.37kW。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15.自动包装机：材质304不锈钢，称量范围50-300g，速度40-45包/min，数量2台，功率≥24kW。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16.码垛抓取线：材质碳钢表面喷漆，电源380V、减速电机功率0.37kW×2个。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17.机器人码垛系统：夹具海绵吸盘+真空发生器、抓取数量2箱/min、速度7-8次/min、机器人编程、联动控制、功率≥18kW。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18.电缆：材质国标铜电缆、长度≥300m。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19.生产效率：湿粉条日产≥20t、干粉条日产≥10t。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山楂加工成套设备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1.提升上料机：架体材质304不锈钢；传送带材质304不锈钢，传送带宽度≥600mm；毛刷清洗机架体及水槽材质304不锈钢；传动电机功率≥3kW；网带材质304不锈钢，网带隔板高度≥60mm、间距≤350mm；喷淋间距≤350mm。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漂烫机：材质304不锈钢；溢水装置数量≥4；温控范围0-98℃；覆压网链网丝直径≤2mm；网带传送电机功率≥1.5kW；保温材料材质工业硅酸铝，厚度≥40mm；加热功率≥150kW；提升传送带材质304不锈钢，网带宽度≥600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3.双道去核打浆机：产量≥0.2t/h；头道转速≥460r/min；二道转速≥1000r/min；配用功率≥4.4kW。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4.熬糖锅：材质304不锈钢；容量≥300L；搅拌电机功率≥1.5kW；蒸汽用量≤110kg/h；运行压力≤0.55MPa。</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5.储糖罐：材质304不锈钢；容量≥400L；搅拌电机功率≥1.5kW；蒸汽用量≤110kg/h，运行压力≤0.55MPa；齿轮泵材质304不锈钢，口径≥38mm，功率≥2.2kW。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6.转子泵：材质304不锈钢，口径≥40mm，真空度≤0.080MPa，功率≥2.2kW；出口压力0-1.2MPa；流量0-5m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/h；全自动伺服式双头浇注机成型机组：伺服电机功率≥1.5kW×2个，浇注头自动跟踪伺服电机功率≥1kW，浇注头温度控制≥5路，浇注头功率≥5.5kW；模板传动电机功率≥2.2kW。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7.加强型自动冷柜：功率≥6.5kW；机架、料条、保温门材质304不锈钢；成型模具材质铝合金压制，模具表面特氟龙材质。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立体插棒机：总功率≥0.25kW；泡罩包装机运行速度10-18次/min；最大成品面积≥480×180mm；最大成品深度≥50mm；行程40-180mm；气压0.6-0.8MPa；加热功率≥9kW；主电机功率≥2.2kW；稳压器电压精度±2%；电源效应0；电流精度±3%。</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9.冷水机冷却模具：风冷式冷水机；标准制冷量≥28kW；输入功率≥7.5kW。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10.空压机：螺杆式，噪音≤60dB。</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11.枕式包装机：总功率≥4.5kW；电源220V/50Hz。</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12.电气两用杀菌锅：有效容积≥0.36m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；处理量≥100kg/锅；封头、筒体材质304不锈钢。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13.真空封口机：功率≥2kW；包装材料塑料材质。</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1120000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分选台</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1.侧板采用厚度≥2.0mm不锈钢板，支架为40×40×2mm不锈钢方管，底部调节丝。</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2.输送带材质采用耐磨食品级白色橡胶，皮带宽400mm，托板采用条形专用托板。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2.配有动力为0.75kW无级调速器1台。</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3.电机功率≥0.75kW。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4.工位≥6。</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组合秤</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1.放料工位≥16。</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2.称重范围5-5000g。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3.出料速度25-30包/min。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自动重量检测机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1.最大称重≥1000g。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2.最高精确度士0.5g，分度值0.1g。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3.最高速度≥120件/min。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4.皮带宽度≥220mm，称重皮带长度≥400mm。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5.控制系统：高速A/D采样控制器；提出装置：吹气/推杆/拔杆。</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自动贴标机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1.显示屏：任意编辑条码、产品等各种信息，即时打印并贴标。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2.标签尺寸：长9-250mm、宽9-176mm；标签卷方向：顺时针。</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3.贴标速度40-50包/min，贴标精度±2mm。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高温热泵烘干机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1.输入功率≥10kW；制热量≥42kW。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2.除湿量≥50L/h。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3.镀锌板材质。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4.含智能控制系统、新风系统、排湿系统、除湿系统、热回收系统。</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多功能果蔬烘干系统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1.功率≥7.5kW；降水速率≥1.0%/h。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2.批次处理量≥5t/24h。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3.加热方式：间接加热；热风温度40-100℃可调；热风机风压≥1200MPa、转速≥1500r/min、流量≥14000m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4.果蔬烘干：托盘框架铝材质，网不锈钢材质；谷物烘干：进出粮自动皮带输送；挂式烘干：挂架≥10支，不锈钢材质。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5.自动进出输送装置：皮带输送，电机功率2.2kW，输送量约2-3t/h。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6.风筛式粮食清选机：处理量≥50t/h；风筛式清选，风机电机功率≥3.0kW；机械喂入进料。</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53200</w:t>
            </w:r>
          </w:p>
        </w:tc>
        <w:tc>
          <w:tcPr>
            <w:tcW w:w="759" w:type="dxa"/>
            <w:noWrap w:val="0"/>
            <w:vAlign w:val="center"/>
          </w:tcPr>
          <w:p>
            <w:pPr>
              <w:widowControl/>
              <w:spacing w:line="240" w:lineRule="exact"/>
              <w:jc w:val="center"/>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全自动连续式果蔬脱水成套设备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1.主要功能：进料、脱水、出料、自动清洗。</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2.工作形式：全自动连续式。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3.生产效率≥5000kg/h。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4.脱水机构功率≥6kW，转速≥1500r/min，脱水率≥90%，破损率＜2%。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5.供水管路材质：食品级304不锈钢；供水阀门材质：食品级304不锈钢。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6.喷淋压力≥0.5Mpa。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7.加热功率≥6kW。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8.配备水循环过滤系统。</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9.输送机食品级304不锈钢材质，输送机功率≥3kW；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10.总功率≥15kW。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68530</w:t>
            </w:r>
          </w:p>
        </w:tc>
        <w:tc>
          <w:tcPr>
            <w:tcW w:w="759" w:type="dxa"/>
            <w:vMerge w:val="restart"/>
            <w:noWrap w:val="0"/>
            <w:vAlign w:val="center"/>
          </w:tcPr>
          <w:p>
            <w:pPr>
              <w:widowControl/>
              <w:spacing w:line="240" w:lineRule="exact"/>
              <w:jc w:val="center"/>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1800kg及以上脱水机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1.生产效率≥1800kg/h。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2.脱水形式：变频离心脱水。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3.304不锈钢材质；食品级不锈钢圆管。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4.控制系统：含变频调速器、计时器及光电传感器。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5.总功率≥3.5kW。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6.转速范围≥1000r/min。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7.脱水率≥90%；破损率≤2%。</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10430</w:t>
            </w:r>
          </w:p>
        </w:tc>
        <w:tc>
          <w:tcPr>
            <w:tcW w:w="759" w:type="dxa"/>
            <w:vMerge w:val="continue"/>
            <w:noWrap w:val="0"/>
            <w:vAlign w:val="center"/>
          </w:tcPr>
          <w:p>
            <w:pPr>
              <w:widowControl/>
              <w:spacing w:line="240" w:lineRule="exact"/>
              <w:jc w:val="center"/>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粉条输送机及组合称分配系统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粉条输送机长度≥30m；分配系统数量≥18个工位。</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118300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果蔬智能化立体储运系统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 xml:space="preserve">1.有轨巷道式码垛机。工作温度范围-18--20℃，生产能力：入库≥30t/h，出库≥45t/h；存储能力≥3000t。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2.碳钢材质，表面喷塑处理，厚度≥3mm。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3.升降平台。行走速度≥120m/min，输送速度≥16m/min，激光定位，定位精度≤±5mm，升降速度≥40m/min，加速时间≤0.5m/s</w:t>
            </w:r>
            <w:r>
              <w:rPr>
                <w:rFonts w:hint="eastAsia" w:ascii="宋体" w:hAnsi="宋体" w:cs="宋体"/>
                <w:snapToGrid w:val="0"/>
                <w:color w:val="000000"/>
                <w:kern w:val="0"/>
                <w:sz w:val="18"/>
                <w:szCs w:val="18"/>
                <w:lang w:bidi="ar"/>
              </w:rPr>
              <w:t>²</w:t>
            </w:r>
            <w:r>
              <w:rPr>
                <w:rStyle w:val="18"/>
                <w:rFonts w:ascii="宋体" w:hAnsi="宋体" w:eastAsia="宋体" w:cs="宋体"/>
                <w:snapToGrid w:val="0"/>
                <w:kern w:val="0"/>
                <w:lang w:bidi="ar"/>
              </w:rPr>
              <w:t xml:space="preserve">；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4.输送机。运行速度：空载≥40m/min，满载≥20m/min；加速度时间：空载≤1m/s，满载≤0.5m/s；输送能力≥1000kg/min。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2800000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板栗脱蓬机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板栗脱蓬机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生产率≥200kg/h，含电机。</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364</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板栗脱蓬机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板栗脱壳成套设备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1.精度≥98%。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2.产量≥600kg/h。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3.破损率≤0.5%。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4.加工总功率≥120kW。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5.去皮率≥98%。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6.成熟度100%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7.高温炉：功率≥4kW，速比≥9 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8.去皮机；速比≥40 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9.混合提升机：功率≥0.75kW，速比≥60 r/min。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10.水分离机：功率≥0.5kW，速比≥60 r/min。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11.栗米选台（高）：电机≥0.35kW，速比≥100 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12.栗米选台（低）：电机≥0.35kW;速比≥100 r/min。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13.预煮机:≥0.75kW；速比≥100 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14.长选台：选台长度≥9m，功率≥0.5kW，速比≥100 r/min。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15.五轴洗栗机：速比≥30r/min。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287000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板栗加工成套设备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板栗加工成套设备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1.含包馅机3台：材质304不锈钢；包装重量30-120g；包馅速度≥20包/min。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2.含成型机3台：材质304不锈钢；成型速度≥20只/min。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3.含排盘机3台：材质304不锈钢；排盘量≥16张；排盘速度≥100个/min。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4.含燃气型隧道炉：材质304不锈钢；生产率≥900kg/h；最高工作温度≥250℃；适用气源天然气；可承受燃气压力≥5.0kPa；额定热负荷≥35kW。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5.含箱式燃气食品烘炉2台：材质304不锈钢；生产率≥90kg/h；最高工作温度≥280℃；适用气源天然气；可承受燃气压力≥2.5kPa。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6.含热风旋转炉2台：材质304不锈钢；生产率≥400kg/h；最高工作温度≥280℃；适用气源天然气；可承受燃气压力≥2.0kPa；额定热负荷≥35kW。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7.含金属检测仪器：主体材质304不锈钢，传送带材质食品级塑料；检测速度≥300kg/h。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8.全自动理料线：材质304不锈钢；产能≥800kg/h；食品级PVC材质；宽度≥400mm；速比≥3m。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9.自动灌装封口机：主体材质304不锈钢。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10.模具链条材质304不锈钢；产能≥5000个/h。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11.枕式包装机：主体材质304不锈钢；包膜宽度≥80mm；包装速度≥10包/min。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12.封切机：主体材质精铁；最大包装尺寸≥600mm×200mm。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13.热收缩机：主体材质精铁；最大包装尺寸≥900mm×300mm。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2030000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板栗加工成套设备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板栗酱料自动灌装机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1.正瓶机：转盘直径≥800mm；理罐能力35-50Cans/min；整机功率≥0.18kW；304不锈钢材质。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2.除尘反转机：清洗头数≥6；清洗方式为夹瓶翻转式吹气风干；清洗速度≥2000瓶/h；输送带≥3m。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3.全自动真空灌装封盖一体机：封口速度20-30罐/min；罐子直径50-130mm；罐子高度80-190mm；功率≥11kW；灌装头数量≥2个；伺服转子泵灌装；灌装速度20-30瓶/min。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4.上盖机：功率≥2kW。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5.全伺服转子泵：理论流量≥3m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/h；伺服电机：220V/1.5kW；出口压力≥0.1Mpa；材质为外不锈钢内轮硅胶；误差≤3g；转速≥100r/min。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6.缓存罐：含双层保温罐、充氮恒压装置、防反流装置。</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451500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板栗加工成套设备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板栗隧道炉生产线机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1.烘烤内膛直径≥1400mm。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2.烘烤时间10-50min。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3.电源：380V/50Hz，整机功率≥8kW。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4.后段隧道炉技术参数外观材质：201不锈钢；前段隧道炉技术参数外观材质：201不锈钢。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5.作用：烘烤或者烘干农副产品，糕点，面包，肉制品等。</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910000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果蔬加工设备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板栗加工成套设备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智能板栗分拣机器人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1.电机驱动专用链条，往复式，果轮360度旋转，视觉智能分选，多等级出口。</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2.工作效率2.5-3t/h，精度≥99%。</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68600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水产品加工设备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水产品加工成套设备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活鱼加工成套设备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 xml:space="preserve">1.产能≥10t/h。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2.去鳞机：处理能力≥1t/h；去鳞率≥80%；功率≥5.5kW。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3.清洗机：处理能力≥21t/h；功率≥4kW。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4.盐水注射机：功率≥9kW；产能≥900kg/h；注射针数量≥85；有效注射压力≥5kg。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5.切片机：最大刀速≥660r/min。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6.高速真空斩拌机：功率≥60kW，转锅容积≥200L，刀轴速度≥4500r/min。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7.烟熏炉：功率≥15kW，加工能力≥500kg，制冷量≥9500kcaL/h。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8.异物检测机：功率≥1.5kW，射线功率≥100w。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9.真空滚揉机：功率≥10kW，加工能力≥2200kg/次，真空度：-8kPa。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10.螺旋速冻机：箱体内温度≤-35℃，出料温度≤-15℃，产能≥1000kg/h。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11.预包装机：功率≥12kW，气源≥0.6Mpa，工效≥200次/h。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1478400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水产品加工设备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水产品加工成套设备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水产品加工成套设备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1.输送机。输送能力≥2t/h，304不锈钢材质，功率≥3kW，输送长度≥5m。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2.连续式去鳞机。加工能力≥1000kg/h，304不锈钢材质，功率≥5kW。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3.暂存仓。容量≥1m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，材质304不锈钢。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4.分拣输送平台。产能≥2t/h，304不锈钢材质，功率≥3kW，输送长度≥8m，双层，气动分离。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5.鱼体调整输送机。输送能力≥1t/h，304不锈钢材质，功率≥1kW，输送长度≥3m，可调速。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6.监测系统。产能≥1t/h，精度≥95%，自动分离。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7.开背机。产能≥1000kg/h，304不锈钢材质，功率≥2kW。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8.去脏输送平台。产能≥800kg/h，304不锈钢材质，功率≥2kW，输送长度≥5m，气动分离器。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9.清洗脱水系统。产能≥800kg/h，304不锈钢材质，功率≥3kW。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 xml:space="preserve">10.称量系统。产能≥1000kg/h，304不锈钢材质，精度≤±0.2%。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11.真空式气调机。产能≥1500kg/h，不锈钢材质，配气精度≤2%。</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12.隧道式液氮速冻机。产能≥1t/h，功率≥7kW，液氮罐≥30m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602000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水产品加工设备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水产品加工成套设备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水产品加工成套设备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1.有效宽度≥400mm、高度≥100mm、输送宽带≥370mm；机架长度≥1600mm；检测方式：停机报警+推杆剔除</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2.总功率≥87kW,生产能力800-1000kg/h；食品级不锈钢材质，刀速≥108m/s。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3.最大可绞冻肉块尺寸≥50×50×100mm，不可绞制未经过处理的猪肉、牛皮等制品。</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4.主体材质均为304不锈钢，底板采用国标1.5mm不锈钢板满焊制作，机构形式：连续式；冻结形式：吹风式冻结。</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5.量程≥3吨，精度≥0.5kg，尺寸≥1.5m×1.5m。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6.含喷码设备、铝合金支架、光纤光电、快干墨盒、螺旋进料器。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7.原水箱≥1t，处理水量≥3t/h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8.304材质。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9.制冷设备≥4，总制冷量≥110kW。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1561000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根茎类作物加工设备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马铃薯出入库成套系统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1.产能≥60t/h。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2.入库提升机功率≥5.5kW。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3.液压翻板效率≥60t/h，功率≥35kW。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4.滤土机滤土率≥95%，功率≥3kW。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5.输送带：输送速度≥50m/min，输送能力≥60t/h，功率≥5kW。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6.伸缩码垛机：码垛高度≥8m，码垛半径≥9m，产能≥60t/h，功率≥11kW。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7.整机采用Q235及以上碳钢材质。</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647500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根茎类作物加工设备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薯条黑斑自动切割剔除系统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1.产能≥18t/h。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2.剔除效率≥98%。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3.有效带宽B≥1590mm。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4.通道数量≥22。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5.切割头数量≥22。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6.内部软化水压≥2.76-5.17bar。</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7.输送带材质聚氨酯。整机采用304材质。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8.输送带长度≥4.5m。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9.总功率≥3.0kW。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3366300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根茎类作物加工设备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红薯加工成套设备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1.水斗清洗提升机。架体材质：不锈钢；输送带材质：不锈钢网带；功率≥0.75kW；电机速度可调；带气泵冲洗。</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2.平辊软毛清洗机。整体材质：304不锈钢；功率≥1.5kW。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3.轴流风干机。整体材质：304不锈钢；输送带材质：不锈钢网带；功率≥1.5kW，电机速度可调，电加热。</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4.输送挑选线。整体材质：304不锈钢；输送带材质：食品级PVC带；功率≥0.5kW；电机速度可调。</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5.布料机。功率≥0.3kW；电机速度可调。</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6.重量分选机。材质：不锈钢。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7.大型烘烤机。烘烤时间可调；整体材质：304不锈钢；电加热。</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8.小型烘烤炉。烘烤时间可调；整体材质：304不锈钢；电加热；生产能力100-2000kg/h；功率≥60kW。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9.隧道式速冻机。材质：304不锈钢；速冻量≥5000kg/h；冷冻温度：-150℃-常温，可任意设定；箱内最低温度≤-150℃；最大降温速度≥20℃/min；最大升温速度≥8℃/min；保温层厚度≥120mm；液氮罐容量≥30m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10.真空包装机。真空度≤200pa；功率≥3kW ；生产能力≥5次/min；材质：304不锈钢。</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735000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根茎类作物加工设备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干/湿粉生产成套设备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产能：湿粉日产量≥20t，干粉日产量≥8t。</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1.免洗全自动湿粉设备。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双螺旋制浆机：材质304不锈钢。电机：功率≥4kW，转速≥1450r/min；真空系统：真空罐材质304不锈钢，容量≥700升，真空泵功率≥5.5kW,转速≥1450r/min，真空时间≤10min；浆液成型系统：材质304不锈钢，速度≤120r/min，电机功率≥1.4kW，转速≥1400r/min，生产速度≥830kg/h；高温杀菌系统：电机转速≥1400r/min，功率≥4kW，涡轮加速机速比≥40，杀菌温度≥95℃，生产速度≥830kg/h；常温老化系统：电机转速≥1400r/min，功率≥4kW，涡轮加速机速比≥40，老化温度常温，生产速度≥830kg/h；低温消毒系统：电机转速≥1400r/min，功率≥4kW，涡轮加速机速比≥40，时间≤2h，生产速度≥830kg/h；高效粉皮竖切系统：电机转速≥1400r/min，功率≥3kW，生产速度≥830kg/h；高效粉条横切系统：电机转速≥1400r/min，功率≥3kW，生产速度≥830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全自动干粉设备。烘干机：功率≥7.5kW,速度≥1400r/min，传送机转速≥1.4m/min；热风循环系统功率≥3kW，转速1400r/min，1段烘干温度35-45℃，2段烘干温度45-55℃，3段烘干温度40-50℃，材质：定制304不锈钢；精度：烘干丝径≤1mm，成品出成率≥92%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3.异物检测机。功率≥200W，电机减速比1:5，输送机速度≥80m/min，材质：不锈钢，速度≥70包/min，金属探测精度≤1.2 mm直径异物，玻璃探测精度≤2.5 mm直径异物，陶瓷探测精度≤3.0 mm直径异物，成品出成率≥98%。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4.选别秤。功率≥400W，最大称重≥1000g，精度≤0.1g，皮带速度≥30m/min，异常剔除速度≤900ms，剔除器响应时间≤1200ms，称重时间≤150ms，材质：不锈钢，速度≥70包/min，成品出成率≥98%。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5.热缩炉。炉内温度≥250℃，输送速度≥30m/min，电机功率≥0.35kW，电热功率≥15kW，风扇功率≥0.7kW。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2887500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根茎类作物加工设备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马铃薯红薯精制淀粉生产线</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产能：马铃薯≥100t（原料）/h、红薯≥50t（原料）/h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主要设备为：</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1.原料接收清洗系统：功率≥255kW；通过能力≥700m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 xml:space="preserve">/h。处理量100-110t/h；扬程≥11m；输送量≥100t/h  ；材质：碳钢。        </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2.锉磨除砂系统：速度30-55t/h；主轴速度≥35r/min；储存量≥70m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；材质：碳钢；功率≥1150kW。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3.筛分提取系统：含双叶轮排气泵、提取离心筛、纤维泵、浆渣汇集管、回收离心筛、脱水离心筛、不锈钢材质、功率≥669kW。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4.浓缩精制系统：含回收旋流站、浓缩旋流站、洗涤旋流站、浓缩淀粉泵、回收淀粉泵、功率≥565kW、材质不锈钢/碳钢。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5.罐单元系统：含软化工艺水管、工艺水泵、高压泵、淀粉乳罐、淀粉乳泵、旋流器中间罐、旋流器中间泵；功率≥75.8kW、材质不锈钢/碳钢。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6.淀粉脱水系统：含真空脱水机、滤液罐、滤液泵、淀粉输送线、淀粉脱水滤布；功率≥126kW；材质不锈钢/碳钢。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干燥包装系统：含空气过滤器、散热器、扬升器、螺旋输送机、干燥管、旋风分离器、引风机、湿空气排风管、密封螺旋输送机、闭风绞龙、风送冷却系统、成品仓、自动包装机；功率≥550kW；材质：不锈钢/碳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8.控制系统：含点击控制柜、PLC控制柜、操作控制系统、控制仪器仪表。</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4020940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根茎类作物加工设备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薯条带式高压脉冲电场系统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1.产能≥18t/h。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2.脉冲状态：固态发生器。</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3.频率10-250Hz。</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4.脉冲波形：方形，两极。</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5.带宽B≥825mm。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6.总功率≥1.5kW。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7.整机采用304材质，机架厚度≥3mm。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2240000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根茎类作物加工设备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薯条振筛系统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1.产能≥18t/h。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2.沥水率≥99.5%。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3.筛除效率≥98%。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4.激振力≥5000N。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5.振幅3.5-6mm。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6.输送速度≥6m/min。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7.总功率≥8.0kW。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8.整机采用304材质，机架厚度≥3mm。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3773000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上料成套设备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一次性完成菇床上料、压料、覆膜作业；配备输送带、播种机、上料机、拉网机等；压料速度≥8m/min。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混合容积2m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以下混合机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混合容积＜2m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3780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混合容积2—3m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混合机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≤混合容积＜3m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6440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混合容积3m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以上混合机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混合容积≥3m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9240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扎口机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菌棒扎口，生产率≥300袋/h。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自动扎口机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菌棒自动扎口，生产率≥700袋/h。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自动装袋扎口机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自动装袋、扎口，生产率≥700袋/h。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自动制棒成套设备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自动控制，一次性完成混合拌料、送料、装袋工序，生产率≥2800袋/h。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24850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自动制棒扎口成套设备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自动控制，一次性完成混合拌料、送料、装袋、扎口工序，生产率≥2800袋/h。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41300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自动接种机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自动控制，自动打孔接种，生产率≥700袋/h，接种合格率≥95%。</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13650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搔菌机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食用菌菇架种植搔菌作业，搔菌速度≥6m/min。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高效菌棒扎孔通气机（四面）</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一次性完成四面菌棒扎孔通氧，生产效率≥1000袋/h。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644</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高效菌棒扎孔机（六面）</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一次性完成六面菌棒扎孔通氧，生产效率≥1000袋/h。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自动四菌棒补水机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一次性完成四菌棒补水，自动定时定量控制，生产效率≥500袋/h。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自动八菌棒补水机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一次性完成八菌棒补水，自动定时定量控制，生产效率≥800袋/h。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1890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分级机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产量≥0.5t/h，色选精度≥99.9%，带出比≥8:1，整机功率≥1.5kW。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蒸汽发生器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1.额定蒸发量≥1t/h。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2.额定压力≥0.7MPa。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3.额定蒸汽温度≥170℃。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食用菌洗筐机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1.最大清洗尺寸≥1000×480×350mm。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2.清洗效率300-500个/h。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15750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5G智能出菇箱</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1.恒温设备功率≥4kW/h，通风设备风量≥37000m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/h，加湿设备功率≥3kW/h。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2.整体设备为食用菌提供恒温，恒湿，通风的良好生长环境,单次容纳菌棒量≥5000个。</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智能节能型微型食用菌出菇房</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1.制冷量功率≥8kW。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2.变频风量1000-5000m³/h ；辅热功率≥4.8kW ；制冷剂充量≥2.5kg。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3.空调控温范围12℃-30℃；温度范围0-100%RH；二氧化碳浓度范围0-5000ppm。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4.设备产能≥4000kg(一周期)，年6周期；种植密度4000-5000株。</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5.可远程控制。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48300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自动套袋套环封盖装筐机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1.整机功率≥8.5kW，生产效率：（含全自动打包机/全自动套环套盖机/全自动装框机）≥1400包/h。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2.自动装袋机。电机：卧式齿轮减速电机，功率≥750W，转矩≥2.3Nm，额定速度≥3000r/min。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3.功率≥2kW,重量误差±50g。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4.全自动套环套盖子机。功率≥750W，转矩≥2.3N.m，额定速度≥3000r/min。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5.全自动装框机。电机：卧式齿轮减速电机；支撑架材质：202不锈钢。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6.控制部分：手机APP监控，具备各部件运行故障报警。</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170100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碎秆压捆机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总功率≥85kW；加工能力≥2.5t/h，适用秸秆压捆。</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41300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食用菌加工生产线</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1.理瓶机。自动翻转，产能≥3000瓶/h。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2.灭菌烘干设备。隧道式烘干，产能≥3000瓶/h，通道内可调节温度，可调节范围：120-180℃，烘干率100%。</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3.灌装机。料体灌装温度≥90℃，产能≥3000瓶/h。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4.真空机。真空值≥1MP，产能≥3000瓶/h。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5.封膜机。产能≥3000瓶/h，合格率≥99%。</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7.传输平台。自动传输。</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8.自动封箱机。产能≥500箱/h。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9.炒料锅。自动翻炒，容积≥600mL，可炒料≥300mL，可调速。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10.切丁机。颗料体积≤0.8cm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，产能≥300kg/h。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11.脱水机。脱水率≥60%，产能≥1000kg/h。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12.尾水回收处理设备。一级反渗透，处理量≥10t/h，达到国家中水标准要求。</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13.打码机。速度≥5000个/h，合格率≥99%。</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14.酱料灌袋机。产能≥3000袋/h，料体灌装温度≥90℃。</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15.灭菌机。双层同步压板，可调温度，可调速度。</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16.蒸汽杀菌机。温度≥120℃，自动降温，自动调节负压。</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2886450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豆类、粮油贮藏和加工成套系统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豆类、粮油贮藏成套系统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1.容量：≥1000t，钢板厚≥3.0mm。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2.料位器：阻旋式。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3.含缓冲器；可电子测温。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4.仓顶引风机单机功率≥0.5kW。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5.仓底环形通风机单机功率≥5.5kW。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6.投料斗及栅栏规格≥2×4m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7.进仓斗式提升机单机功率≥7.5kW。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8.提升机井架规格≥2.2×2.2m。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9.提升机功率≥4kW。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10.扁式脉冲除尘风机功率≥3kW。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11.进车间刮板机功率≥5kW。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12.车间内皮带机功率≥5kW。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334670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豆类、粮油贮藏和加工成套系统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大豆豆渣输送成套系统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1.生产能力≥500kg/h (干黄豆)。</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2.额定功率≥11kW，额定转速≥1900r/min。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3.包板厚度≥1.2mm。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4.豆渣输送系统：罗茨鼓风机功率≥30kW，旋转供料器功率≥0.75kW。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5.浆渣分离机材质为304不锈钢。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6.阀门材质304不锈钢。</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70700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豆类、粮油贮藏和加工成套系统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大豆固态制品成型设备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1.产量≥30kg/h。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2.产品水分：50%-55%。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3.主轴电机≥0.18kW。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4.热风电机功率≥0.75kW。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5.冷风电机功率≥0.37kW。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6.板材厚度≥1mm。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7.浆槽内径：浆槽宽≥100cm，浆槽高≥4cm，浆槽长≥24m。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8.材质采用304不锈钢。</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112000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豆类、粮油贮藏和加工成套系统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石磨面粉加工成套设备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机械磨材质:碳钢/锰钢；磨辊材质:锰13/65锰和合金钢；石磨材质:花岗岩；结构:碳钢/锰钢及镀锌板，适用于杂粮面粉加工。功率≥67.95kW，作业效率≥700kg/h，出粉率≥65%。</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110250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豆类、粮油贮藏和加工成套系统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3000穗/小时及以上鲜食玉米成套加工设备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产能≥3000穗/小时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1.鲜食玉米剥皮机。主轴参数:长度≥1750mm，直径≥71.5mm；数量≥96个；供水管25PPR；润滑方式，循环网带；装机总功率≥8kW；电压220V/380V;材质方钢，槽钢201，厚度≥1.8mm。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2.玉米切头去尾机：功率≥4kW,链条传动，304不锈钢。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3.水槽提升机+滚杠清洗机：高压水泵总功率≥15kW，循环水泵≥5kW,传动电机功率≥1.5kW。电源380V/50HZ,滚杠长度≥1000mm，材质304不锈钢。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4.玉米蒸箱。耐高温尼龙轮，304材质，保温层采用厚度≥50mm硅酸铝,双开门。装机总功率≥8kW；电压380V/50HZ；材质方钢，槽钢，304不锈钢。</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5.生物质颗粒蒸汽发生器。额定压力≥0.7Mpa,饱和蒸汽170-230℃，锅炉水容积≥28L；进口管径DN15,主阀门口径DN40,安全阀口径DN32,出烟口径≥270mm，材质：碳钢、不锈钢、硅酸铝，可保温。</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6.装筐输送线。皮带宽度≥500mm，传动功率≥0.25kW，架体304不锈钢，变频调速。</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7.枕包机。薄膜宽度≥420mm，制袋长度120-280mm/150-330mm，产品高度40-60mm，卷膜直径≥320mm；包装速度20-100bag/min,装机功率≥4kW。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497000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豆类、粮油贮藏和加工成套系统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10000穗/小时鲜食玉米加工整套设备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1.产能≥10000穗/小时。</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2.气吹式鲜食玉米去皮机：功率≥17kW，材质304不锈钢，工作速度≥8000穗/小时。</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3.接料输送线、废料输送线： 皮带宽度≥600mm, 传动功率≥1kW, 15m/min≥输送速度≥3m/min。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4.切头去尾机：功率≥5.5kW，材质304不锈钢。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5.滚杠清洗机：网带宽度≥1000mm，滚筒材质304不锈钢，运行速度：可变频调速，总功率≥29kW。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6.漂烫护色机：网带宽度≥1000mm，滚筒材质304不锈钢，运行速度：可变频调速，总功率≥5kW。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7.冷却线：网带有效宽度≥1000mm，降温时间及运行速度可调，电机功率≥1kW, 材质304不锈钢。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8.Z型提升机：功率≥0.75kW ，提升速度可无级变速，材质304不锈钢,提升率≥6000穗/小时。</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9.全自动给袋式包装机：包装速度≥ 30包/min，包装袋规格：宽80-160mm，长60-270mm，可用包装袋材料：软材料。</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10.全自动水浴式杀菌釜，杀菌率≥99%，材质304不锈钢，工作压力≤0.3Mpa ，总功率≥35 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11.软包装清洗机：网带宽度≥1000mm ，清洗方式：气泡加喷淋，运行速度≥0.5m/min，可调速。</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12.翻转风干线：网带宽度≥1000mm，材质304不锈钢，调速方式：手动无级变速，风量≥2400m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/h；设备功率≥13kW。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13.喷码机：喷印方式：连续式，喷印速度⼤≥1500字符/s，喷印对象：纸、金属、塑料、玻璃等。</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14.开箱机：适用纸箱：长250-650mm,宽150-500mm,高100-500mm，封箱速度≥6箱/min，功率≥0.4kW。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15.封箱机：外包装尺寸≥长1770mm×宽850mm×高1720mm ，功率≥0.4kW。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最大包装尺寸≥600mm×500mm×500mm，最小包装尺寸≤200mm×150mm×130mm，封箱速度：300-750箱/h。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16.称重分选机：分选计数≥5级，分选速度≥200个/分钟，分选精度±1.5g。</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17.全金属检测仪：通过宽度≥200mm，通过高度≥80mm，皮带宽度≥170mm，皮带长度≥1000mm。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18..包装机：电源功率：220v/2.4kW；包装速度≥6000包/h。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2040500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豆类、粮油贮藏和加工成套系统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速冻玉米粒加工设备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1.上料机。功率1.5kW；304不锈钢材质。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2.玉米剥皮机。工作效率：12000穗/小时；功率18kW；Q235型钢材质。</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3.输送机。功率0.55kW；机架材质：不锈钢方管；橡胶带厚3mm。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4.脱粒机。生产能力：500-800kg/h，适用玉米范围：长度≥70mm；切净率≥99%。</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5.风选机。风机功率5.5kW；底架材质：45×75×1.5mm不锈钢管。</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6.滚筒清洗机。水泵功率4kW；滚筒及水箱材质：304不锈钢板。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7.双效清洗机。功率0.75kW；输送带材质：不锈钢履带；中心宽度600㎜。</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8.带式漂烫机。功率1.1kW；输送带材质：不锈钢履带。</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9.预冷机。箱体材质：2.0mm304不锈钢板。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10.冰水系统。控温范围：5-35°。</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11.振动沥水机。功率0.37kW；振动床材质：304不锈钢板。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12.流态化速冻机。工作效率2000kg/h±10％。</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13.蒸汽发生器。蒸汽发生量1T；工作压力0.8MPa。</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14.全自动装袋机。包装速度1.1T/h，35-45包/min；主机功率4.5kW。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15.空压机压力≥0.8MPa；排气量6.2m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/min。</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16.储气罐容积2m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1638000</w:t>
            </w:r>
          </w:p>
        </w:tc>
        <w:tc>
          <w:tcPr>
            <w:tcW w:w="759" w:type="dxa"/>
            <w:noWrap w:val="0"/>
            <w:vAlign w:val="center"/>
          </w:tcPr>
          <w:p>
            <w:pPr>
              <w:widowControl/>
              <w:spacing w:line="240" w:lineRule="exact"/>
              <w:jc w:val="center"/>
              <w:rPr>
                <w:rFonts w:hint="eastAsia"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蜂蜜加工设备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电动摇蜜机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≥3筐，电动。</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蜂蜜加工设备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蜂蜜提纯机50-100L</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50L≤容积＜100L，最高真空度≥0.09MPa，供热功率≥7.5kW，真空泵功率≥1.5kW。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6580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蜂蜜加工设备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蜂蜜提纯机100-200L</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100L≤容积＜200L，最高真空度≥0.09MPa，供热功率≥9kW，真空泵功率≥2kW。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7560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蜂蜜加工设备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蜂蜜提纯机200-300L</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200L≤容积＜300L，最高真空度≥0.09MPa，供热功率≥12kW，真空泵功率≥3kW。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9520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蜂蜜加工设备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蜂蜜提纯机300L及以上</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容积≥300L，最高真空度≥0.09MPa，供热功率≥18kW，真空泵功率≥4kW。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13230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包装机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机械手开箱机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1.总功率2.3kW。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2.工作气压0.6-0.7MPa。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3.电源类型：220V-50Hz。</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4.适用胶带宽度：50mm以下。</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5.开箱速度：15-25箱/min。</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34300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包装机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自动套网机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1.最大包装速度45个/min。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2.包装直径40-120mm。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3.包装高度20-120mm。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4.包装重量40-2000g。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5.网套卷宽度≤400mm。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6.网套卷直径≤1200mm。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44800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包装机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包装机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1.自动秤重、包装、标签打印 、贴标。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2.包装速度≥35包/min，贴标速度≥100mm/s，可包装重量≥3kg。</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3.温度范围5-35℃，运行湿度20%-85%（无冷凝）。</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包装机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蔬菜保鲜膜包装机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1.包装速度80-120盒/min。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2.电机参数双伺服三相变频电机控制。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3.人机界面触摸屏,可记录99种产品尺寸。</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4.包膜宽度220-550mm，包膜厚度≥12μm。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5.托盒范围L=100-400mm；W=80-210mm；H=15-55mm。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6.产品高度5-100mm。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7.功能：多处光电检测装置、错位监测装置；多轴伺服皮带式供给方式、标准输送带；侧夹送式整理输送带；高速往复式切刀；高分辨率光电检测。</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8.功率6kW。</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175000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包装机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蔬菜自动裹膜包装流水线</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1.针对各类蔬菜，尤其是球形蔬菜进行裹膜包装、贴标。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2.包装速度50-60包/min。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3.包装膜宽度300-880mm。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4.卷膜直径≥300mm。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5.包装产品规格长150-600mm；宽80-240mm；高20-150mm。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6.电源要求380VAC/50Hz，功率≥6.8kW。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7.适用收缩膜的种类POF、PVC、PE。</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8.热缩炉电源要求380VAC/50Hz，功率≥13kW。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9.贴标电源：220VAC50Hz，功率≥0.49kW。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10.贴标空气压力：0.2-0.5MPa。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11.显示屏≥21英寸，任意编辑条码、产品等各种信息即时打印并贴标。</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12.标签尺寸可定制。</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133700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包装机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2t/h果蔬加工设备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一、2吨果蔬全套生产线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1.果蔬破碎机：2-3t/h锤片式破碎机，物料破碎颗粒直径＜0.3-0.5cm；功率≥7.5kW。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2.冷打浆机：生产能力≥2t/h，筛网网孔≥4mm，功率≥22kW。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3.双道打浆机：一道转速≥960r/min，筛网孔直径1.3-1.6mm，二道转速≥1200r/min，筛网孔直径0.3-0.6mm，功率≥26kW。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4.卧螺式离心机：功率≥26kW，孔径≥0.5mm。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5.套管式杀菌机：进料温度50-60℃，杀菌温度95-120℃可调，杀菌时间5-35s，出料温度＜25℃，功率≥22kW。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6.无菌灌装机：灌装规格5-200L可调，灌装室温度97-100℃，产品灌装温度＜25℃；功率≥2kW；产能≥2t/h。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二、玻璃瓶全套生产线</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1.高压均质机：流量≥1t/h，功率≥15kW。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2.真空脱气机：1t/h；压力≥30MPa，功率≥3kW。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3.管式灭菌机组：1t/h→135℃5s→88℃或1t/h→105℃30s→88℃灭菌温度自控压力≥30MPa。</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3206700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真空煮馅机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1.外接蒸汽，含真空泵，自动清洗装置。</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2.容量≥70L。</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3.转速30-2000r/min。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4.最高温度可达≥125℃。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5.工作效率≥200kg/h。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6.工作时可高压抽真空、搅拉、加热同时进行，加工后产品与原料色泽保持一致。 </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878500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农产品加工成套设备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其他农产品加工机械</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汁水蛋白提取设备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1.小颗粒淀粉回收系统：包括浓缩旋流器、回收旋流器，泵功率≥59kW，材质不锈钢。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2.汁水接受系统：包括汁水沉淀罐、汁水离心泵，材质不锈钢，功率≥38.5kW。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3.一级换热系统：螺旋板式热交换器，散热面积150㎡，材质不锈钢。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4.二级换热系统：螺旋板式热交换器，散热面积80㎡，材质不锈钢。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5.絮凝系统：包括管道混合器、保温层流罐，材质不锈钢。</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6.脱水系统：包括卧式螺旋离心机、水平螺旋输送机、倾角螺旋输送机、消泡水气分离罐、脱气泵、汁水泵，材质不锈钢，功率≥506kW。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7.CIP清洗系统：包括清洗罐、泵，材质不锈钢，功率≥7.5kW。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8.气流干燥系统：包括混料器、空气过滤器、散热器、扬升器、均料器、喂料器、一级旋风器、汇集仓、二级旋风器、汇集绞龙、振动筛、粉碎机、放料回料绞龙、引风机、湿空气排风管、包装机、电控柜，材质不锈钢，功率≥370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9.整机产能≥120m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3325000</w:t>
            </w:r>
          </w:p>
        </w:tc>
        <w:tc>
          <w:tcPr>
            <w:tcW w:w="759" w:type="dxa"/>
            <w:noWrap w:val="0"/>
            <w:vAlign w:val="center"/>
          </w:tcPr>
          <w:p>
            <w:pPr>
              <w:widowControl/>
              <w:spacing w:line="240" w:lineRule="exact"/>
              <w:jc w:val="center"/>
              <w:rPr>
                <w:rFonts w:hint="eastAsia" w:ascii="宋体" w:hAnsi="宋体" w:cs="宋体"/>
                <w:snapToGrid w:val="0"/>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排灌成套设备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喷灌机械设备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智能水肥一体化系统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轻简式施肥器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1.注肥泵工作压力≥0.35MPa。</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2.注肥泵流量≥1m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3.混肥筒容积≥500L。</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700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排灌成套设备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喷灌机械设备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山区用灌溉设备（农田、果树）</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山地灌溉系统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1.潜水泵功率≥15kW。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2.灌溉面积≥30亩。</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3.管道承压≥16MPa。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4.使用寿命≥15年。</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5.进水压力≥3MPa。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6.潜水泵出水直径≥3寸。</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7.主管≥4寸。</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8.喷头喷洒直径8-10m。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9.喷头流量≥350L。</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10.扬程≥30m。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56000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排灌成套设备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喷灌机械设备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地埋伸缩式喷灌系统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20亩粮田地埋伸缩式喷灌系统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1.喷灌主管：PVC材质，压力≥0.8MPa，喷灌支管工作压力≥0.6MPa。</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2.喷杆头间距≤12m，行距14m，喷头流量2.4-2.7L/h。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3.喷杆伸展长度≥2.45m，缩回长度≥0.88m，开沟深度≥1.3m，粘接式球阀压力≥1.0MPa。</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排灌成套设备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微灌机械设备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滴灌系统</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20亩粮田滴灌系统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PVC材质，压力≥1.0MPa；滴灌带壁厚≥2mm，滴头间距≤0.3m，流量≥1.38m</w:t>
            </w:r>
            <w:r>
              <w:rPr>
                <w:rStyle w:val="22"/>
                <w:rFonts w:ascii="宋体" w:hAnsi="宋体" w:eastAsia="宋体" w:cs="宋体"/>
                <w:snapToGrid w:val="0"/>
                <w:kern w:val="0"/>
                <w:lang w:bidi="ar"/>
              </w:rPr>
              <w:t>3</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农用搬运机械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农用运输机械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自卸青贮挂车</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20t及以上自卸青贮挂车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1.车体结构牢固，最大容积25m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，最大载重20t，车厢尺寸6300×2500×1600mm。</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2.选用宽型轮胎700/50-22.5型号。</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3.选用ADR车桥，配备单点或多点悬挂系统，具有后轮随动转向功能。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4.选用液压举升后门结构和锁止功能。</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5.卸料采用液压后卸模式。</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6.采用可调整高度的牵引梁。</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63000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农用搬运机械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农用运输机械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自卸青贮挂车</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9000kg及以上自卸青贮挂车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载质量≥9000kg，液压后向卸、断气制动、钢板弹簧弹性悬架，轮胎：16/70-20，全挂车。</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19600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农用搬运机械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农用运输机械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自卸青贮挂车</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1500kg及以上自卸青贮挂车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载质量≥1500kg，液压三向卸、充气制动、钢板弹簧弹性悬架，轮胎：7.50-16，半挂车。</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3850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农用搬运机械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农用运输机械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自卸青贮挂车</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2500kg及以上自卸青贮挂车</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载质量≥2500kg，液压三向卸、充气制动、钢板弹簧弹性悬架，轮胎：7.50-16，半挂车。</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4200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田间监测及作业监控设备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田间监测设备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气象站</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气象站</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包括室外温度、光照、风速、风向、雨雪信号、降雨量等数据采集。</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3080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田间监测及作业监控设备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田间监测设备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气象站</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气象监测系统</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1.主机及传输部分。实时显示传感器采集数据、当前位置、网络信号、电池电量等信息。数据实时传输，具有拍照功能，通过网络传输随时观察植物生长情况。</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2.太阳能和交流供电两种供电方式。</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3.土壤墒情(4层)测量范围：0-100%，分辨率0.1%，准确度±2%。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4.空气温度测量范围：-40℃-120℃，分辨率0.1℃，准确度±0.3℃。</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5.空气相对湿度测量范围：0-100%，分辨率0.1%，准确度±2%。</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6.风向测量范围：0-360°，分辨率1°，准确度±1°。</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7.光照强度测量范围：0-200000Lux，分辨率1Lux，精度±20Lux。</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8.风速测量范围：0-65m/s，分辨率±0.1m/s，准确度±0.1m/s。</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9.降水量测量范围：0-6500mm，分辨率0.1mm，准确度±0.1mm。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田间监测及作业监控设备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田间监测设备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土壤墒情仪</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土壤墒情仪</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1.具有定位和移除报警功能。</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2.土壤温度测量范围：-20℃-70℃，精度±0.5℃。</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3.土壤水分测量范围：0-60%VWC，精度±2.5%（室内）、±5%（室外）。</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4.监测深度≥60cm。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5.土层监测间距：最小10cm间距。</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6.数据采集间隔：5min-12h可调。</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7.外壳防水等级：IP68。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8.具有温度补偿和多种类型土壤质地的水分标定模型库。</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9.具有数据无线传输，数据手机查看等功能。</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9800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田间监测及作业监控设备</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田间监测设备</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农用北斗作业监测终端</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北斗远程监测终端</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1.含车载北斗终端、作业传感器、摄像头等。</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2.定位精度≤2m。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3.作业面积统计准确度≥97％。</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1120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割灌机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自走式割灌机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自走式。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4410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割灌机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斜挂式、背负式、手提式割灌机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斜挂式、背负式、手提式。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287</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割灌机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30-50马力避障式割草机配套动力</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1.30马力≤配套动力＜50马力。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2.躲避式割草设计。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3.可以割除树下草；割草高度30-70mm。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9800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割灌机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50马力及以上避障式割草机配套动力</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1.配套动力≥50马力。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2.躲避式割草设计。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3.可以割除树下草；割草高度30-70mm。</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割灌机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5-10cm遥控式割草机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1.动力型式：自走式；作业效率≥2.5亩/h。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2.漏割损失率≤2%；割幅≥0.8m；5cm＜割茬高度≤10cm。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3.带旋耕、开沟、起垄、回填功能。</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割灌机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0-5cm遥控式割草机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1.动力型式：自走式；作业效率≥3亩/h。</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2.漏割损失率≤2%；割幅≥1m；割茬高度≤5cm。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3.带旋耕、开沟、起垄、回填功能。</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14700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保鲜、冷藏和烘干设备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30-50m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移动式农产品预冷设备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1.30m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≤容积＜50m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2.保温型式：双面彩钢聚氨酯夹芯冷库板。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3.库板厚度≥100mm；库板密度≥40±2kg/m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；库温范围：5至-18℃；温控精度±0.1℃。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4.压缩机≥3匹；压缩机功率≥2kW。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5.蒸发器型式：冷风机或排管；融霜型式：电融霜（或热气融霜）。</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21000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保鲜、冷藏和烘干设备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50-100m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移动式农产品预冷设备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1.50m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≤容积＜100m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2.保温型式：双面彩钢聚氨酯夹芯冷库板；库板厚度≥100mm；库板密度≥40±2kg/m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；库温范围：5至-18℃；温控精度±0.1℃。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3.压缩机≥5匹；压缩机功率≥3.5kW。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4.蒸发器型式：冷风机或排管；融霜型式：电融霜（或热气融霜）。</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31500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保鲜、冷藏和烘干设备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及以上移动式农产品预冷设备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1.容积≥100m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；保温型式：双面彩钢聚氨酯夹芯冷库板。</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2.库板厚度≥100mm；库板密度≥40±2kg/m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；库温范围：5至-18℃；温控精度±0.1℃。</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3.压缩机≥8匹；压缩机功率≥6kW。</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4.蒸发器型式：冷风机或排管；融霜型式：电融霜（或热气融霜）。</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56000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保鲜、冷藏和烘干设备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气膜移动冷库</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1.长×宽×高≥4.5×3.8×2.7m。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2.结构为气肋式充气膜；防火等级B1级及以上。</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3.库内控制温度2℃-8℃；库内控制湿度20%-85%；环境适应温度30℃-70℃。</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4.主体和门体材料为PVDF建筑膜材；膜体质保年限≥15年；导热系数≥0.023w/m.k；门数量≥2；含制冷压缩机组、风机组、照明设备。</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10395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保鲜、冷藏和烘干设备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水产品速冻机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容量≥20盘；材质：304不锈钢及以上；温度≤-80℃。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23100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保鲜、冷藏和烘干设备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冷却机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Style w:val="18"/>
                <w:rFonts w:ascii="宋体" w:hAnsi="宋体" w:eastAsia="宋体" w:cs="宋体"/>
                <w:snapToGrid w:val="0"/>
                <w:kern w:val="0"/>
                <w:lang w:bidi="ar"/>
              </w:rPr>
              <w:t>1.45分钟内蔬菜降温至4℃及以下，压缩机功率≥10匹。</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2.分选设备运行速度≥3700kg/h，重量精度≤1%，糖度精度标准误差±1Brix。</w:t>
            </w:r>
            <w:r>
              <w:rPr>
                <w:rStyle w:val="18"/>
                <w:rFonts w:ascii="宋体" w:hAnsi="宋体" w:eastAsia="宋体" w:cs="宋体"/>
                <w:snapToGrid w:val="0"/>
                <w:kern w:val="0"/>
                <w:lang w:bidi="ar"/>
              </w:rPr>
              <w:br w:type="textWrapping"/>
            </w:r>
            <w:r>
              <w:rPr>
                <w:rStyle w:val="18"/>
                <w:rFonts w:ascii="宋体" w:hAnsi="宋体" w:eastAsia="宋体" w:cs="宋体"/>
                <w:snapToGrid w:val="0"/>
                <w:kern w:val="0"/>
                <w:lang w:bidi="ar"/>
              </w:rPr>
              <w:t>3.臭氧杀菌机，臭氧产量≥20kg/h，臭氧浓度≥150g/m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，臭氧功率≥140kW，冷却水流量≥40m</w:t>
            </w:r>
            <w:r>
              <w:rPr>
                <w:rFonts w:hint="eastAsia" w:ascii="宋体" w:hAnsi="宋体" w:cs="宋体"/>
                <w:snapToGrid w:val="0"/>
                <w:color w:val="000000"/>
                <w:kern w:val="0"/>
                <w:sz w:val="18"/>
                <w:szCs w:val="18"/>
                <w:lang w:bidi="ar"/>
              </w:rPr>
              <w:t>³</w:t>
            </w:r>
            <w:r>
              <w:rPr>
                <w:rStyle w:val="18"/>
                <w:rFonts w:ascii="宋体" w:hAnsi="宋体" w:eastAsia="宋体" w:cs="宋体"/>
                <w:snapToGrid w:val="0"/>
                <w:kern w:val="0"/>
                <w:lang w:bidi="ar"/>
              </w:rPr>
              <w:t>/h。</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262500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保鲜、冷藏和烘干设备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双螺旋速冻设备</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1.冻品进料温度15℃；冻品出料温度≤-18℃。</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2.冻结能力：产能≥2000kg/h。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3.蒸发温度≤-40℃；库内温度≤-35℃；产品进出时间≤90min。</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 xml:space="preserve">4.装机容量≥60kW；蒸发面积≥2800㎡；制冷量≥350kW；轴功率≥300kW。 </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5.设备精度100%；脱水率≤1%；破损率≤2%。</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1225000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薯类杀秧机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单行薯类杀秧机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1.配套动力：30-40马力。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2.工作幅宽≥90mm。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3.工作行数：1行。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4.生产效率≥4亩/小时。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5.结构型式：三点悬挂式。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2450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薯类杀秧机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双行薯类杀秧机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1.配套动力：60-80马力。</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2.工作幅宽≥180mm。</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3.工作行数：2行。</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4.生产效率≥8亩/小时。</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5.结构型式：三点悬挂式。</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5250</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防鸟防雹设备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防雹网</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材质PVC。</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12元/kg</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防鸟防雹设备</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太阳能驱鸟器</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声压≥120dB；两组及以上LED红蓝爆闪灯；50种及以上语音；太阳能和交流电供电；覆盖范围≥100000㎡。</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231</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0" w:hRule="atLeast"/>
        </w:trPr>
        <w:tc>
          <w:tcPr>
            <w:tcW w:w="10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84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其他机械</w:t>
            </w:r>
          </w:p>
        </w:tc>
        <w:tc>
          <w:tcPr>
            <w:tcW w:w="111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培菌机</w:t>
            </w:r>
          </w:p>
        </w:tc>
        <w:tc>
          <w:tcPr>
            <w:tcW w:w="1544"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培菌机</w:t>
            </w:r>
          </w:p>
        </w:tc>
        <w:tc>
          <w:tcPr>
            <w:tcW w:w="7211" w:type="dxa"/>
            <w:noWrap w:val="0"/>
            <w:vAlign w:val="center"/>
          </w:tcPr>
          <w:p>
            <w:pPr>
              <w:widowControl/>
              <w:spacing w:line="240" w:lineRule="exact"/>
              <w:jc w:val="left"/>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1.有效容积≥25L。</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2.设备功率≥2.7kW。</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3.支持触摸键控制；支持防漏电保护。</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4.最高灭菌温度≥90℃；生产能力≥25L/次；扩培时间12-24小时/次。</w:t>
            </w:r>
            <w:r>
              <w:rPr>
                <w:rFonts w:hint="eastAsia" w:ascii="宋体" w:hAnsi="宋体" w:cs="宋体"/>
                <w:snapToGrid w:val="0"/>
                <w:color w:val="000000"/>
                <w:kern w:val="0"/>
                <w:sz w:val="18"/>
                <w:szCs w:val="18"/>
                <w:lang w:bidi="ar"/>
              </w:rPr>
              <w:br w:type="textWrapping"/>
            </w:r>
            <w:r>
              <w:rPr>
                <w:rFonts w:hint="eastAsia" w:ascii="宋体" w:hAnsi="宋体" w:cs="宋体"/>
                <w:snapToGrid w:val="0"/>
                <w:color w:val="000000"/>
                <w:kern w:val="0"/>
                <w:sz w:val="18"/>
                <w:szCs w:val="18"/>
                <w:lang w:bidi="ar"/>
              </w:rPr>
              <w:t>5.适配菌种：芽孢杆菌、双歧杆菌、假单胞菌、乳杆菌、真菌、球菌、根瘤菌等；扩培能力：有效活菌数20-100亿CFU/mL（不同菌种繁殖能力不一），目标功能微生物含量≥95%以上。</w:t>
            </w:r>
          </w:p>
        </w:tc>
        <w:tc>
          <w:tcPr>
            <w:tcW w:w="936" w:type="dxa"/>
            <w:noWrap w:val="0"/>
            <w:vAlign w:val="center"/>
          </w:tcPr>
          <w:p>
            <w:pPr>
              <w:widowControl/>
              <w:spacing w:line="240" w:lineRule="exact"/>
              <w:jc w:val="center"/>
              <w:textAlignment w:val="center"/>
              <w:rPr>
                <w:rFonts w:hint="eastAsia" w:ascii="宋体" w:hAnsi="宋体" w:cs="宋体"/>
                <w:snapToGrid w:val="0"/>
                <w:color w:val="000000"/>
                <w:kern w:val="0"/>
                <w:sz w:val="18"/>
                <w:szCs w:val="18"/>
              </w:rPr>
            </w:pPr>
            <w:r>
              <w:rPr>
                <w:rFonts w:hint="eastAsia" w:ascii="宋体" w:hAnsi="宋体" w:cs="宋体"/>
                <w:snapToGrid w:val="0"/>
                <w:color w:val="000000"/>
                <w:kern w:val="0"/>
                <w:sz w:val="18"/>
                <w:szCs w:val="18"/>
                <w:lang w:bidi="ar"/>
              </w:rPr>
              <w:t>2765</w:t>
            </w:r>
          </w:p>
        </w:tc>
        <w:tc>
          <w:tcPr>
            <w:tcW w:w="759" w:type="dxa"/>
            <w:noWrap w:val="0"/>
            <w:vAlign w:val="center"/>
          </w:tcPr>
          <w:p>
            <w:pPr>
              <w:widowControl/>
              <w:spacing w:line="240" w:lineRule="exact"/>
              <w:rPr>
                <w:rFonts w:hint="eastAsia" w:ascii="宋体" w:hAnsi="宋体" w:cs="宋体"/>
                <w:snapToGrid w:val="0"/>
                <w:color w:val="000000"/>
                <w:kern w:val="0"/>
                <w:sz w:val="22"/>
                <w:szCs w:val="22"/>
              </w:rPr>
            </w:pPr>
          </w:p>
        </w:tc>
      </w:tr>
    </w:tbl>
    <w:p>
      <w:pPr>
        <w:pStyle w:val="11"/>
        <w:keepNext w:val="0"/>
        <w:keepLines w:val="0"/>
        <w:pageBreakBefore w:val="0"/>
        <w:widowControl w:val="0"/>
        <w:kinsoku/>
        <w:overflowPunct/>
        <w:topLinePunct w:val="0"/>
        <w:autoSpaceDE/>
        <w:autoSpaceDN/>
        <w:bidi w:val="0"/>
        <w:adjustRightInd/>
        <w:snapToGrid w:val="0"/>
        <w:spacing w:before="0" w:beforeAutospacing="0" w:after="0" w:afterAutospacing="0" w:line="540" w:lineRule="exact"/>
        <w:jc w:val="both"/>
        <w:textAlignment w:val="auto"/>
        <w:rPr>
          <w:rFonts w:hint="default"/>
          <w:lang w:val="en-US" w:eastAsia="zh-CN"/>
        </w:rPr>
      </w:pPr>
    </w:p>
    <w:sectPr>
      <w:headerReference r:id="rId4" w:type="default"/>
      <w:footerReference r:id="rId5" w:type="default"/>
      <w:pgSz w:w="16838" w:h="11906" w:orient="landscape"/>
      <w:pgMar w:top="1587" w:right="2098" w:bottom="1474" w:left="198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posOffset>4915535</wp:posOffset>
              </wp:positionH>
              <wp:positionV relativeFrom="paragraph">
                <wp:posOffset>95250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left:387.05pt;margin-top:7.5pt;height:144pt;width:144pt;mso-position-horizontal-relative:margin;mso-wrap-style:none;z-index:251659264;mso-width-relative:page;mso-height-relative:page;" filled="f" stroked="f" coordsize="21600,21600" o:gfxdata="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lz+rtcAAAALAQAADwAAAAAAAAABACAAAAAiAAAAZHJzL2Rvd25yZXYueG1sUEsBAhQA&#10;FAAAAAgAh07iQNt8TJYsAgAAVQQAAA4AAAAAAAAAAQAgAAAAJg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9q1d/LAQAAnAMAAA4AAAAAAAAAAQAgAAAAHgEAAGRycy9lMm9E&#10;b2MueG1sUEsFBgAAAAAGAAYAWQEAAFsFA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15899"/>
    <w:multiLevelType w:val="singleLevel"/>
    <w:tmpl w:val="60F1589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0YWQ0Y2Q1YmIxMGY3YzMwZGMzNzllZjg3NGYxNTkifQ=="/>
  </w:docVars>
  <w:rsids>
    <w:rsidRoot w:val="14340355"/>
    <w:rsid w:val="007D72EA"/>
    <w:rsid w:val="03DE68C9"/>
    <w:rsid w:val="056F493E"/>
    <w:rsid w:val="08034FA8"/>
    <w:rsid w:val="082A4122"/>
    <w:rsid w:val="0CE108EB"/>
    <w:rsid w:val="0EC16557"/>
    <w:rsid w:val="101D200E"/>
    <w:rsid w:val="103A3013"/>
    <w:rsid w:val="109E798F"/>
    <w:rsid w:val="11791E51"/>
    <w:rsid w:val="12690D22"/>
    <w:rsid w:val="12B74F25"/>
    <w:rsid w:val="12BD474D"/>
    <w:rsid w:val="13E971CB"/>
    <w:rsid w:val="14334E33"/>
    <w:rsid w:val="14340355"/>
    <w:rsid w:val="181D7C6A"/>
    <w:rsid w:val="1A0D6228"/>
    <w:rsid w:val="1A2075D3"/>
    <w:rsid w:val="1AE654E7"/>
    <w:rsid w:val="1D2577CE"/>
    <w:rsid w:val="222A1F48"/>
    <w:rsid w:val="224C05A0"/>
    <w:rsid w:val="225409AC"/>
    <w:rsid w:val="226C543F"/>
    <w:rsid w:val="2304488F"/>
    <w:rsid w:val="25066A96"/>
    <w:rsid w:val="25542464"/>
    <w:rsid w:val="25E43BF0"/>
    <w:rsid w:val="2623419C"/>
    <w:rsid w:val="26CB1D25"/>
    <w:rsid w:val="2BCA6102"/>
    <w:rsid w:val="2E0F4501"/>
    <w:rsid w:val="31FD1E67"/>
    <w:rsid w:val="32055D99"/>
    <w:rsid w:val="32434BA7"/>
    <w:rsid w:val="32E12546"/>
    <w:rsid w:val="33BA7323"/>
    <w:rsid w:val="341F3EDA"/>
    <w:rsid w:val="345351EE"/>
    <w:rsid w:val="363468BD"/>
    <w:rsid w:val="36712425"/>
    <w:rsid w:val="374554A1"/>
    <w:rsid w:val="38B552D6"/>
    <w:rsid w:val="39EC7941"/>
    <w:rsid w:val="3A205E9D"/>
    <w:rsid w:val="3E96521A"/>
    <w:rsid w:val="3E9723CF"/>
    <w:rsid w:val="3F6E653D"/>
    <w:rsid w:val="423802C9"/>
    <w:rsid w:val="42F00BE5"/>
    <w:rsid w:val="43141238"/>
    <w:rsid w:val="43303743"/>
    <w:rsid w:val="436B5E8C"/>
    <w:rsid w:val="440E1B1D"/>
    <w:rsid w:val="44BC2E45"/>
    <w:rsid w:val="44C2799A"/>
    <w:rsid w:val="45231E24"/>
    <w:rsid w:val="45D55F40"/>
    <w:rsid w:val="467F1F2E"/>
    <w:rsid w:val="46984557"/>
    <w:rsid w:val="47904D1F"/>
    <w:rsid w:val="47F24F5E"/>
    <w:rsid w:val="496621AD"/>
    <w:rsid w:val="496A18B4"/>
    <w:rsid w:val="49D11BD3"/>
    <w:rsid w:val="4B4F6A1E"/>
    <w:rsid w:val="4B555EEC"/>
    <w:rsid w:val="4DCA419E"/>
    <w:rsid w:val="50904582"/>
    <w:rsid w:val="50DB282C"/>
    <w:rsid w:val="53DB2DA4"/>
    <w:rsid w:val="53F3178A"/>
    <w:rsid w:val="56A44A4F"/>
    <w:rsid w:val="57037321"/>
    <w:rsid w:val="57781D2C"/>
    <w:rsid w:val="596725B1"/>
    <w:rsid w:val="5A185CBD"/>
    <w:rsid w:val="5ACF62B1"/>
    <w:rsid w:val="5C3B7289"/>
    <w:rsid w:val="5C7F7AC3"/>
    <w:rsid w:val="5DBF7EC3"/>
    <w:rsid w:val="5E214944"/>
    <w:rsid w:val="602771ED"/>
    <w:rsid w:val="61FD79D5"/>
    <w:rsid w:val="653225FF"/>
    <w:rsid w:val="67A12200"/>
    <w:rsid w:val="67A7152B"/>
    <w:rsid w:val="68027174"/>
    <w:rsid w:val="69811CDC"/>
    <w:rsid w:val="6A942B09"/>
    <w:rsid w:val="6AFF049E"/>
    <w:rsid w:val="6B3B1AF9"/>
    <w:rsid w:val="6B9844CA"/>
    <w:rsid w:val="6C1105A2"/>
    <w:rsid w:val="6DDD2093"/>
    <w:rsid w:val="6E59504D"/>
    <w:rsid w:val="70715006"/>
    <w:rsid w:val="71DA5013"/>
    <w:rsid w:val="72214232"/>
    <w:rsid w:val="724A5BF8"/>
    <w:rsid w:val="73693C49"/>
    <w:rsid w:val="75420FB7"/>
    <w:rsid w:val="75CD72C4"/>
    <w:rsid w:val="77407272"/>
    <w:rsid w:val="77444D73"/>
    <w:rsid w:val="78615A22"/>
    <w:rsid w:val="787752F9"/>
    <w:rsid w:val="78F21587"/>
    <w:rsid w:val="7A132DEC"/>
    <w:rsid w:val="7B5901AB"/>
    <w:rsid w:val="7BD05A61"/>
    <w:rsid w:val="7C370D28"/>
    <w:rsid w:val="7E4F79E9"/>
    <w:rsid w:val="7ECD0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line="560" w:lineRule="exact"/>
      <w:ind w:firstLine="200" w:firstLineChars="200"/>
      <w:outlineLvl w:val="0"/>
    </w:pPr>
    <w:rPr>
      <w:rFonts w:eastAsia="黑体"/>
      <w:b/>
      <w:bCs/>
      <w:kern w:val="44"/>
      <w:sz w:val="32"/>
      <w:szCs w:val="44"/>
    </w:rPr>
  </w:style>
  <w:style w:type="paragraph" w:styleId="4">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spacing w:after="120"/>
      <w:jc w:val="both"/>
    </w:pPr>
    <w:rPr>
      <w:rFonts w:ascii="仿宋_GB2312" w:hAnsi="Times New Roman" w:eastAsia="仿宋_GB2312" w:cs="Times New Roman"/>
      <w:snapToGrid/>
      <w:color w:val="000000"/>
      <w:kern w:val="2"/>
      <w:sz w:val="32"/>
      <w:szCs w:val="32"/>
      <w:lang w:val="en-US" w:eastAsia="zh-CN" w:bidi="ar-SA"/>
    </w:rPr>
  </w:style>
  <w:style w:type="paragraph" w:styleId="5">
    <w:name w:val="Normal Indent"/>
    <w:basedOn w:val="1"/>
    <w:qFormat/>
    <w:uiPriority w:val="99"/>
    <w:pPr>
      <w:ind w:firstLine="420" w:firstLineChars="200"/>
    </w:pPr>
  </w:style>
  <w:style w:type="paragraph" w:styleId="6">
    <w:name w:val="Body Text Indent"/>
    <w:basedOn w:val="1"/>
    <w:next w:val="7"/>
    <w:qFormat/>
    <w:uiPriority w:val="0"/>
    <w:pPr>
      <w:ind w:firstLine="420"/>
    </w:pPr>
  </w:style>
  <w:style w:type="paragraph" w:styleId="7">
    <w:name w:val="envelope return"/>
    <w:basedOn w:val="1"/>
    <w:qFormat/>
    <w:uiPriority w:val="99"/>
    <w:pPr>
      <w:snapToGrid w:val="0"/>
    </w:pPr>
    <w:rPr>
      <w:rFonts w:ascii="Arial" w:hAnsi="Arial" w:eastAsia="宋体" w:cs="Times New Roman"/>
    </w:rPr>
  </w:style>
  <w:style w:type="paragraph" w:styleId="8">
    <w:name w:val="Block Text"/>
    <w:basedOn w:val="1"/>
    <w:qFormat/>
    <w:uiPriority w:val="0"/>
    <w:pPr>
      <w:spacing w:beforeAutospacing="0" w:after="120" w:afterAutospacing="0"/>
      <w:ind w:left="1440" w:leftChars="700" w:right="1440" w:rightChars="700"/>
    </w:pPr>
    <w:rPr>
      <w:rFonts w:ascii="仿宋_GB2312" w:eastAsia="仿宋_GB2312"/>
      <w:sz w:val="32"/>
      <w:szCs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styleId="12">
    <w:name w:val="Body Text First Indent"/>
    <w:basedOn w:val="2"/>
    <w:unhideWhenUsed/>
    <w:qFormat/>
    <w:uiPriority w:val="99"/>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character" w:styleId="15">
    <w:name w:val="Strong"/>
    <w:basedOn w:val="14"/>
    <w:qFormat/>
    <w:uiPriority w:val="0"/>
    <w:rPr>
      <w:b/>
    </w:rPr>
  </w:style>
  <w:style w:type="character" w:styleId="16">
    <w:name w:val="page number"/>
    <w:basedOn w:val="14"/>
    <w:qFormat/>
    <w:uiPriority w:val="0"/>
  </w:style>
  <w:style w:type="paragraph" w:customStyle="1" w:styleId="17">
    <w:name w:val="A正文"/>
    <w:basedOn w:val="1"/>
    <w:qFormat/>
    <w:uiPriority w:val="0"/>
    <w:pPr>
      <w:ind w:firstLine="200" w:firstLineChars="200"/>
    </w:pPr>
  </w:style>
  <w:style w:type="character" w:customStyle="1" w:styleId="18">
    <w:name w:val="font61"/>
    <w:qFormat/>
    <w:uiPriority w:val="0"/>
    <w:rPr>
      <w:rFonts w:hint="eastAsia" w:ascii="仿宋" w:hAnsi="仿宋" w:eastAsia="仿宋" w:cs="仿宋"/>
      <w:color w:val="000000"/>
      <w:sz w:val="18"/>
      <w:szCs w:val="18"/>
      <w:u w:val="none"/>
    </w:rPr>
  </w:style>
  <w:style w:type="character" w:customStyle="1" w:styleId="19">
    <w:name w:val="font112"/>
    <w:qFormat/>
    <w:uiPriority w:val="0"/>
    <w:rPr>
      <w:rFonts w:ascii="Calibri" w:hAnsi="Calibri" w:cs="Calibri"/>
      <w:color w:val="000000"/>
      <w:sz w:val="18"/>
      <w:szCs w:val="18"/>
      <w:u w:val="none"/>
    </w:rPr>
  </w:style>
  <w:style w:type="character" w:customStyle="1" w:styleId="20">
    <w:name w:val="font131"/>
    <w:qFormat/>
    <w:uiPriority w:val="0"/>
    <w:rPr>
      <w:rFonts w:hint="eastAsia" w:ascii="仿宋" w:hAnsi="仿宋" w:eastAsia="仿宋" w:cs="仿宋"/>
      <w:b/>
      <w:bCs/>
      <w:color w:val="000000"/>
      <w:sz w:val="18"/>
      <w:szCs w:val="18"/>
      <w:u w:val="none"/>
    </w:rPr>
  </w:style>
  <w:style w:type="character" w:customStyle="1" w:styleId="21">
    <w:name w:val="font141"/>
    <w:qFormat/>
    <w:uiPriority w:val="0"/>
    <w:rPr>
      <w:rFonts w:hint="default" w:ascii="Calibri" w:hAnsi="Calibri" w:cs="Calibri"/>
      <w:color w:val="000000"/>
      <w:sz w:val="18"/>
      <w:szCs w:val="18"/>
      <w:u w:val="none"/>
    </w:rPr>
  </w:style>
  <w:style w:type="character" w:customStyle="1" w:styleId="22">
    <w:name w:val="font151"/>
    <w:qFormat/>
    <w:uiPriority w:val="0"/>
    <w:rPr>
      <w:rFonts w:hint="eastAsia" w:ascii="仿宋" w:hAnsi="仿宋" w:eastAsia="仿宋" w:cs="仿宋"/>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154</Pages>
  <Words>0</Words>
  <Characters>0</Characters>
  <Lines>0</Lines>
  <Paragraphs>0</Paragraphs>
  <TotalTime>8</TotalTime>
  <ScaleCrop>false</ScaleCrop>
  <LinksUpToDate>false</LinksUpToDate>
  <CharactersWithSpaces>0</CharactersWithSpaces>
  <Application>WPS Office_11.8.2.12265_F1E327BC-269C-435d-A152-05C5408002CA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2021-09-22T08:55:00Z</dcterms:created>
  <dc:creator>区农业农村局</dc:creator>
  <cp:lastModifiedBy>Administrator</cp:lastModifiedBy>
  <cp:lastPrinted>2025-03-19T06:15:00Z</cp:lastPrinted>
  <dcterms:modified xsi:type="dcterms:W3CDTF">2025-03-21T06:42:06Z</dcterms:modified>
  <dc:title>内部材料</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2052-11.8.2.12265</vt:lpwstr>
  </property>
  <property fmtid="{D5CDD505-2E9C-101B-9397-08002B2CF9AE}" pid="3" name="ICV">
    <vt:lpwstr>524EFCCFDD664002B220A01D1C654FBC</vt:lpwstr>
  </property>
</Properties>
</file>