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454D4">
      <w:pPr>
        <w:widowControl w:val="0"/>
        <w:rPr>
          <w:rFonts w:ascii="黑体" w:hAnsi="黑体" w:eastAsia="黑体"/>
        </w:rPr>
      </w:pPr>
      <w:r>
        <w:rPr>
          <w:rFonts w:hint="eastAsia" w:ascii="黑体" w:hAnsi="黑体" w:eastAsia="黑体"/>
        </w:rPr>
        <w:t>附件2</w:t>
      </w:r>
    </w:p>
    <w:p w14:paraId="13645F95">
      <w:pPr>
        <w:widowControl w:val="0"/>
        <w:jc w:val="center"/>
        <w:rPr>
          <w:rFonts w:ascii="方正小标宋简体" w:eastAsia="方正小标宋简体"/>
          <w:sz w:val="44"/>
        </w:rPr>
      </w:pPr>
    </w:p>
    <w:p w14:paraId="78815617">
      <w:pPr>
        <w:widowControl w:val="0"/>
        <w:jc w:val="center"/>
        <w:rPr>
          <w:rFonts w:ascii="方正小标宋简体" w:eastAsia="方正小标宋简体"/>
          <w:sz w:val="44"/>
        </w:rPr>
      </w:pPr>
      <w:r>
        <w:rPr>
          <w:rFonts w:hint="eastAsia" w:ascii="方正小标宋简体" w:eastAsia="方正小标宋简体"/>
          <w:sz w:val="44"/>
        </w:rPr>
        <w:t>延庆区“强基固本”教育改革与发展</w:t>
      </w:r>
    </w:p>
    <w:p w14:paraId="594E7233">
      <w:pPr>
        <w:widowControl w:val="0"/>
        <w:jc w:val="center"/>
        <w:rPr>
          <w:rFonts w:ascii="方正小标宋简体" w:hAnsi="方正小标宋简体" w:eastAsia="方正小标宋简体" w:cs="方正小标宋简体"/>
          <w:sz w:val="44"/>
          <w:szCs w:val="44"/>
        </w:rPr>
      </w:pPr>
      <w:r>
        <w:rPr>
          <w:rFonts w:hint="eastAsia" w:ascii="方正小标宋简体" w:eastAsia="方正小标宋简体"/>
          <w:sz w:val="44"/>
        </w:rPr>
        <w:t>三年行动计划</w:t>
      </w:r>
      <w:r>
        <w:rPr>
          <w:rFonts w:hint="eastAsia" w:ascii="方正小标宋简体" w:hAnsi="方正小标宋简体" w:eastAsia="方正小标宋简体" w:cs="方正小标宋简体"/>
          <w:sz w:val="44"/>
          <w:szCs w:val="44"/>
        </w:rPr>
        <w:t>（2025-2027年）</w:t>
      </w:r>
    </w:p>
    <w:p w14:paraId="52C3F516">
      <w:pPr>
        <w:pStyle w:val="3"/>
        <w:spacing w:after="0"/>
        <w:jc w:val="center"/>
        <w:rPr>
          <w:rFonts w:ascii="楷体_GB2312" w:hAnsi="楷体_GB2312" w:eastAsia="楷体_GB2312" w:cs="楷体_GB2312"/>
        </w:rPr>
      </w:pPr>
      <w:r>
        <w:rPr>
          <w:rFonts w:hint="eastAsia" w:ascii="楷体_GB2312" w:hAnsi="楷体_GB2312" w:eastAsia="楷体_GB2312" w:cs="楷体_GB2312"/>
        </w:rPr>
        <w:t>（征求意见稿）</w:t>
      </w:r>
    </w:p>
    <w:p w14:paraId="5620E839">
      <w:pPr>
        <w:pStyle w:val="3"/>
        <w:spacing w:after="0"/>
        <w:jc w:val="center"/>
        <w:rPr>
          <w:rFonts w:ascii="楷体_GB2312" w:hAnsi="楷体_GB2312" w:eastAsia="楷体_GB2312" w:cs="楷体_GB2312"/>
        </w:rPr>
      </w:pPr>
    </w:p>
    <w:p w14:paraId="71A22E54">
      <w:pPr>
        <w:widowControl w:val="0"/>
        <w:adjustRightInd w:val="0"/>
        <w:snapToGrid w:val="0"/>
        <w:ind w:firstLine="640" w:firstLineChars="200"/>
        <w:rPr>
          <w:snapToGrid w:val="0"/>
          <w:kern w:val="0"/>
        </w:rPr>
      </w:pPr>
      <w:r>
        <w:rPr>
          <w:rFonts w:hint="eastAsia"/>
          <w:snapToGrid w:val="0"/>
          <w:kern w:val="0"/>
        </w:rPr>
        <w:t>为深化教育综合改革，推进延庆教育高质量发展，尽快融入首都优质教育行列，</w:t>
      </w:r>
      <w:r>
        <w:rPr>
          <w:rFonts w:hint="eastAsia" w:hAnsi="仿宋_GB2312" w:cs="仿宋_GB2312"/>
          <w:snapToGrid w:val="0"/>
          <w:kern w:val="0"/>
        </w:rPr>
        <w:t>根据《中共中央国务院教育强国建设规划纲要（2</w:t>
      </w:r>
      <w:r>
        <w:rPr>
          <w:rFonts w:hAnsi="仿宋_GB2312" w:cs="仿宋_GB2312"/>
          <w:snapToGrid w:val="0"/>
          <w:kern w:val="0"/>
        </w:rPr>
        <w:t>024-2035</w:t>
      </w:r>
      <w:r>
        <w:rPr>
          <w:rFonts w:hint="eastAsia" w:hAnsi="仿宋_GB2312" w:cs="仿宋_GB2312"/>
          <w:snapToGrid w:val="0"/>
          <w:kern w:val="0"/>
        </w:rPr>
        <w:t>年）》《北京市贯彻〈强国建设规划纲要（2</w:t>
      </w:r>
      <w:r>
        <w:rPr>
          <w:rFonts w:hAnsi="仿宋_GB2312" w:cs="仿宋_GB2312"/>
          <w:snapToGrid w:val="0"/>
          <w:kern w:val="0"/>
        </w:rPr>
        <w:t>024-2035</w:t>
      </w:r>
      <w:r>
        <w:rPr>
          <w:rFonts w:hint="eastAsia" w:hAnsi="仿宋_GB2312" w:cs="仿宋_GB2312"/>
          <w:snapToGrid w:val="0"/>
          <w:kern w:val="0"/>
        </w:rPr>
        <w:t>年）〉的实施方案》及《延庆区深化教育改革加快教育高质量发展的实施意见》部署要求，</w:t>
      </w:r>
      <w:r>
        <w:rPr>
          <w:snapToGrid w:val="0"/>
          <w:kern w:val="0"/>
        </w:rPr>
        <w:t>结合</w:t>
      </w:r>
      <w:r>
        <w:rPr>
          <w:rFonts w:hint="eastAsia"/>
          <w:snapToGrid w:val="0"/>
          <w:kern w:val="0"/>
        </w:rPr>
        <w:t>我区教育发展</w:t>
      </w:r>
      <w:r>
        <w:rPr>
          <w:snapToGrid w:val="0"/>
          <w:kern w:val="0"/>
        </w:rPr>
        <w:t>实际，</w:t>
      </w:r>
      <w:r>
        <w:rPr>
          <w:rFonts w:hint="eastAsia"/>
          <w:snapToGrid w:val="0"/>
          <w:kern w:val="0"/>
        </w:rPr>
        <w:t>特</w:t>
      </w:r>
      <w:r>
        <w:rPr>
          <w:snapToGrid w:val="0"/>
          <w:kern w:val="0"/>
        </w:rPr>
        <w:t>制定本行动计划。</w:t>
      </w:r>
    </w:p>
    <w:p w14:paraId="32DA435F">
      <w:pPr>
        <w:widowControl w:val="0"/>
        <w:adjustRightInd w:val="0"/>
        <w:snapToGrid w:val="0"/>
        <w:ind w:firstLine="640" w:firstLineChars="200"/>
        <w:rPr>
          <w:rFonts w:ascii="黑体" w:hAnsi="黑体" w:eastAsia="黑体"/>
        </w:rPr>
      </w:pPr>
      <w:r>
        <w:rPr>
          <w:rFonts w:hint="eastAsia" w:ascii="黑体" w:hAnsi="黑体" w:eastAsia="黑体"/>
        </w:rPr>
        <w:t>一、指导思想</w:t>
      </w:r>
    </w:p>
    <w:p w14:paraId="781DB3FD">
      <w:pPr>
        <w:adjustRightInd w:val="0"/>
        <w:snapToGrid w:val="0"/>
        <w:ind w:firstLine="640" w:firstLineChars="200"/>
        <w:rPr>
          <w:rFonts w:hAnsi="仿宋_GB2312" w:cs="仿宋_GB2312"/>
          <w:snapToGrid w:val="0"/>
          <w:kern w:val="0"/>
        </w:rPr>
      </w:pPr>
      <w:r>
        <w:rPr>
          <w:rFonts w:hint="eastAsia" w:hAnsi="仿宋_GB2312" w:cs="仿宋_GB2312"/>
          <w:snapToGrid w:val="0"/>
          <w:kern w:val="0"/>
        </w:rPr>
        <w:t>坚持以习近平新时代中国特色社会主义思想为指导，深入贯彻党的二十大和二十届二中、三中全会精神，牢牢把握教育的政治属性、人民属性、战略属性，扎实践行习近平总书记“延庆是属于未来的”重要嘱托和总书记重要回信精神，认真落实全国、全市教育大会决策部署，落实立德树人根本任务，以满足人民群众对教育的新需求为中心，完善教育发展支持机制，加强干部教师队伍建设，深化教育改革创新，营造全社会关心教育发展的良好氛围，全力打造与最美冬奥城和国际一流的生态文明示范区建设相适应的高质量教育体系，为推动地区高质量绿色发展、服务首都教育强国首善之区建设作出更大贡献。</w:t>
      </w:r>
    </w:p>
    <w:p w14:paraId="19A17E36">
      <w:pPr>
        <w:widowControl w:val="0"/>
        <w:adjustRightInd w:val="0"/>
        <w:snapToGrid w:val="0"/>
        <w:ind w:firstLine="640" w:firstLineChars="200"/>
        <w:rPr>
          <w:rFonts w:ascii="黑体" w:hAnsi="黑体" w:eastAsia="黑体"/>
        </w:rPr>
      </w:pPr>
      <w:r>
        <w:rPr>
          <w:rFonts w:hint="eastAsia" w:ascii="黑体" w:hAnsi="黑体" w:eastAsia="黑体"/>
        </w:rPr>
        <w:t>二、工作目标</w:t>
      </w:r>
    </w:p>
    <w:p w14:paraId="125B2DB8">
      <w:pPr>
        <w:widowControl w:val="0"/>
        <w:adjustRightInd w:val="0"/>
        <w:snapToGrid w:val="0"/>
        <w:ind w:firstLine="640" w:firstLineChars="200"/>
      </w:pPr>
      <w:r>
        <w:rPr>
          <w:rFonts w:hint="eastAsia"/>
        </w:rPr>
        <w:t>紧扣“一年建机制、强规范，两年提质量、见成效，三年强特色、树品牌”总体目标，到2</w:t>
      </w:r>
      <w:r>
        <w:t>027</w:t>
      </w:r>
      <w:r>
        <w:rPr>
          <w:rFonts w:hint="eastAsia"/>
        </w:rPr>
        <w:t>年，基本建成富有地域特色、生态涵养区领先的高质量教育体系。</w:t>
      </w:r>
      <w:r>
        <w:rPr>
          <w:rFonts w:hint="eastAsia" w:hAnsi="仿宋_GB2312" w:cs="仿宋_GB2312"/>
          <w:snapToGrid w:val="0"/>
          <w:kern w:val="0"/>
        </w:rPr>
        <w:t>高质量党建引领教育高质量发展的制度机制不断完善，</w:t>
      </w:r>
      <w:r>
        <w:rPr>
          <w:rFonts w:hint="eastAsia"/>
        </w:rPr>
        <w:t>各类教育发展指标稳步提高，社会关注的教育领域“急难愁盼”问题得到有效缓解，人民群众的教育获得感和满意度持续提升。</w:t>
      </w:r>
    </w:p>
    <w:p w14:paraId="192A99DD">
      <w:pPr>
        <w:widowControl w:val="0"/>
        <w:adjustRightInd w:val="0"/>
        <w:snapToGrid w:val="0"/>
        <w:ind w:firstLine="640" w:firstLineChars="200"/>
        <w:rPr>
          <w:rFonts w:ascii="黑体" w:hAnsi="黑体" w:eastAsia="黑体"/>
        </w:rPr>
      </w:pPr>
      <w:r>
        <w:rPr>
          <w:rFonts w:hint="eastAsia" w:ascii="黑体" w:hAnsi="黑体" w:eastAsia="黑体"/>
        </w:rPr>
        <w:t>三、主要任务</w:t>
      </w:r>
    </w:p>
    <w:p w14:paraId="7D1FE366">
      <w:pPr>
        <w:widowControl w:val="0"/>
        <w:adjustRightInd w:val="0"/>
        <w:snapToGrid w:val="0"/>
        <w:ind w:firstLine="640" w:firstLineChars="200"/>
        <w:rPr>
          <w:rFonts w:ascii="楷体_GB2312" w:hAnsi="楷体" w:eastAsia="楷体_GB2312"/>
        </w:rPr>
      </w:pPr>
      <w:r>
        <w:rPr>
          <w:rFonts w:hint="eastAsia" w:ascii="楷体_GB2312" w:hAnsi="楷体" w:eastAsia="楷体_GB2312"/>
        </w:rPr>
        <w:t>（一）实施立德树人素养提升行动</w:t>
      </w:r>
    </w:p>
    <w:p w14:paraId="56B85979">
      <w:pPr>
        <w:ind w:firstLine="640" w:firstLineChars="200"/>
        <w:rPr>
          <w:rFonts w:hAnsi="仿宋_GB2312" w:cs="仿宋_GB2312"/>
        </w:rPr>
      </w:pPr>
      <w:r>
        <w:rPr>
          <w:rFonts w:hint="eastAsia"/>
        </w:rPr>
        <w:t>1</w:t>
      </w:r>
      <w:r>
        <w:t>.</w:t>
      </w:r>
      <w:r>
        <w:rPr>
          <w:rFonts w:hint="eastAsia"/>
        </w:rPr>
        <w:t>坚持和加强党的全面领导。</w:t>
      </w:r>
      <w:r>
        <w:rPr>
          <w:rFonts w:hint="eastAsia" w:hAnsi="仿宋_GB2312" w:cs="仿宋_GB2312"/>
        </w:rPr>
        <w:t>健全党对教育事业全面领导的体制机制，深化党组织领导的校长负责制改革，探索党建引领集团化办学路径，健全党组织统一领导、党政分工合作、协调运行的工作机制。加强基层党组织标准化、规范化建设，扎实开展党组织书记抓基层党建述职评议考核，制定实施《延庆区教育系统基层党组织标准化、规范化建设评价量规》，坚持“抓两头带中间”，实施党组织分类提升计划，组织党员集中轮训，推动党、团、队育人链条衔接贯通。到2027年，形成不少于18个教育系统党建工作品牌，基层党组织标准化规范化水平显著提升。</w:t>
      </w:r>
    </w:p>
    <w:p w14:paraId="6B3F00B9">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责任部门：区委教育工委、区委组织部、区委办公室、区政府办公室</w:t>
      </w:r>
    </w:p>
    <w:p w14:paraId="4CEF58C1">
      <w:pPr>
        <w:widowControl w:val="0"/>
        <w:adjustRightInd w:val="0"/>
        <w:snapToGrid w:val="0"/>
        <w:ind w:firstLine="640" w:firstLineChars="200"/>
      </w:pPr>
      <w:r>
        <w:t>2.</w:t>
      </w:r>
      <w:r>
        <w:rPr>
          <w:rFonts w:hint="eastAsia"/>
          <w:snapToGrid w:val="0"/>
          <w:kern w:val="0"/>
        </w:rPr>
        <w:t>构建“大思政课”育人格局。</w:t>
      </w:r>
      <w:r>
        <w:rPr>
          <w:rFonts w:hint="eastAsia"/>
        </w:rPr>
        <w:t>深化大中小学思政课一体化改革创新和以实践教学为主题的“大思政课”综合改革，实施中小学思政课内涵发展与质量提升行动，推动思政课程和课程思政有机融合，探索课上课下协同、校内校外一体、线上线下融合的育人机制，建成大中小一体化思政课例资源库，用好“新华思政学堂”课程资源。健全党政干部进校园开展思政教育长效机制，提高思政课教师、班主任等重点人群党员比例，定期开展教师思政教育集中培训、实践研修和跨区域教研。推动学校小课堂与社会大课堂紧密衔接，统筹利用市、区优质资源，深入开展红色研学、长城文化进校园、生态文明教育等活动，为学生提供更广阔的学习空间和实践机会。到2027年，构建15分钟思政教育圈，开发区级思政课实践教学基地20个，完善校内实践教学点40个，打造沉浸式思政课品牌。</w:t>
      </w:r>
    </w:p>
    <w:p w14:paraId="12A52D0E">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责任部门：区委教育工委、区教委、区委宣传部、区文旅局、区国资委、区文物局区长城管理处、区退役军人局、团区委、区妇联、各街乡镇</w:t>
      </w:r>
    </w:p>
    <w:p w14:paraId="2F657F6A">
      <w:pPr>
        <w:widowControl w:val="0"/>
        <w:adjustRightInd w:val="0"/>
        <w:snapToGrid w:val="0"/>
        <w:ind w:firstLine="640" w:firstLineChars="200"/>
        <w:rPr>
          <w:rFonts w:ascii="楷体_GB2312" w:hAnsi="楷体" w:eastAsia="楷体_GB2312"/>
        </w:rPr>
      </w:pPr>
      <w:r>
        <w:rPr>
          <w:rFonts w:hint="eastAsia"/>
        </w:rPr>
        <w:t>3</w:t>
      </w:r>
      <w:r>
        <w:t>.</w:t>
      </w:r>
      <w:r>
        <w:rPr>
          <w:rFonts w:hint="eastAsia"/>
        </w:rPr>
        <w:t>提升学生身心健康水平。实施中小学体质健康提升行动，以课间小切口撬动校内育人系统变革，注重体能锻炼与技能培养，形成“一校一品、一校多品”体育发展格局。加强教体融合，深入开展奥林匹克教育，推进冰雪运动进校园，</w:t>
      </w:r>
      <w:bookmarkStart w:id="0" w:name="_Hlk187738938"/>
      <w:r>
        <w:rPr>
          <w:rFonts w:hint="eastAsia"/>
        </w:rPr>
        <w:t>加强青少年足球人才培养改革试点区建设，</w:t>
      </w:r>
      <w:bookmarkEnd w:id="0"/>
      <w:r>
        <w:rPr>
          <w:rFonts w:hint="eastAsia"/>
        </w:rPr>
        <w:t>完善特长生选拔、培养、升学长链条贯通培养机制。开展“光亮未来”青少年近视防控专项行动，加大学龄前儿童近视防控力度。完善学生心理危机预警和干预机制，探索医教结合、学段衔接、校内外有效协同的工作模式，开展中小学教师全员心理健康教育素养提升实训。到2027年，有效降低“小眼镜、小豆芽、小胖墩、小焦虑”学生比例，确保每名学生掌握1至2项运动技能，学生体质健康水平位于生态涵养区前列，冰雪运动竞技成绩位于全市乃至全国前列。</w:t>
      </w:r>
    </w:p>
    <w:p w14:paraId="770B2E10">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责任部门：区教委、区体育局、区卫健委、区财政局、团区委、区妇联</w:t>
      </w:r>
    </w:p>
    <w:p w14:paraId="0F0F16B2">
      <w:pPr>
        <w:widowControl w:val="0"/>
        <w:adjustRightInd w:val="0"/>
        <w:snapToGrid w:val="0"/>
        <w:ind w:firstLine="640" w:firstLineChars="200"/>
      </w:pPr>
      <w:r>
        <w:rPr>
          <w:rFonts w:hint="eastAsia"/>
        </w:rPr>
        <w:t>4</w:t>
      </w:r>
      <w:r>
        <w:t>.</w:t>
      </w:r>
      <w:r>
        <w:rPr>
          <w:rFonts w:hint="eastAsia"/>
        </w:rPr>
        <w:t>提高学生综合素养和实践能力。深入实施素质教育，健全学生综合素质评价机制。开展青少年学生读书行动和汉字规范书写行动，探索实践项目式学习和跨学科主题学习。实施中小学美育浸润行动，携手校外教育资源推进民族艺术进校园，提高学生审美情趣，确保学生掌握1至2项艺术特长。到2027年，建成区级艺术特色校20所。构建中小幼贯通的劳动教育课程体系，制定学校劳动教育清单，</w:t>
      </w:r>
      <w:r>
        <w:rPr>
          <w:rFonts w:hint="eastAsia" w:cs="楷体_GB2312"/>
          <w:snapToGrid w:val="0"/>
          <w:kern w:val="0"/>
        </w:rPr>
        <w:t>常态化开展校园劳动和社会劳动，指导学生参与家务劳动，</w:t>
      </w:r>
      <w:r>
        <w:rPr>
          <w:rFonts w:hint="eastAsia"/>
        </w:rPr>
        <w:t>将每年5月第2周设为“学生劳动教育宣传实践周”，创建劳动教育达标学校。到2</w:t>
      </w:r>
      <w:r>
        <w:t>027</w:t>
      </w:r>
      <w:r>
        <w:rPr>
          <w:rFonts w:hint="eastAsia"/>
        </w:rPr>
        <w:t>年，建立区级劳动教育基地</w:t>
      </w:r>
      <w:r>
        <w:t>20</w:t>
      </w:r>
      <w:r>
        <w:rPr>
          <w:rFonts w:hint="eastAsia"/>
        </w:rPr>
        <w:t>个、基地校20所。开展延庆区“五好学子”年度选树活动，充分发挥榜样力量，促进学生综合素质全面提升。</w:t>
      </w:r>
    </w:p>
    <w:p w14:paraId="20FA44C0">
      <w:pPr>
        <w:widowControl w:val="0"/>
        <w:adjustRightInd w:val="0"/>
        <w:snapToGrid w:val="0"/>
        <w:ind w:firstLine="640" w:firstLineChars="200"/>
        <w:rPr>
          <w:rFonts w:ascii="楷体_GB2312" w:hAnsi="楷体" w:eastAsia="楷体_GB2312"/>
          <w:snapToGrid w:val="0"/>
          <w:kern w:val="0"/>
        </w:rPr>
      </w:pPr>
      <w:r>
        <w:rPr>
          <w:rFonts w:hint="eastAsia" w:ascii="楷体_GB2312" w:hAnsi="楷体" w:eastAsia="楷体_GB2312"/>
          <w:snapToGrid w:val="0"/>
          <w:kern w:val="0"/>
        </w:rPr>
        <w:t>责任部门：区教委、团区委、区文旅局、区财政局、区文联、区工商联、各街乡镇</w:t>
      </w:r>
    </w:p>
    <w:p w14:paraId="2BB416DE">
      <w:pPr>
        <w:widowControl w:val="0"/>
        <w:adjustRightInd w:val="0"/>
        <w:snapToGrid w:val="0"/>
        <w:ind w:firstLine="640" w:firstLineChars="200"/>
      </w:pPr>
      <w:r>
        <w:rPr>
          <w:rFonts w:hint="eastAsia"/>
        </w:rPr>
        <w:t>5</w:t>
      </w:r>
      <w:r>
        <w:t>.</w:t>
      </w:r>
      <w:r>
        <w:rPr>
          <w:rFonts w:hint="eastAsia"/>
        </w:rPr>
        <w:t>探索拔尖创新人才培养机制。建立健全区级创新人才培养领导小组，</w:t>
      </w:r>
      <w:r>
        <w:rPr>
          <w:rFonts w:hint="eastAsia" w:cs="仿宋_GB2312"/>
        </w:rPr>
        <w:t>成立北京市青少年创新学院延庆分院，加强</w:t>
      </w:r>
      <w:r>
        <w:rPr>
          <w:rFonts w:hint="eastAsia"/>
        </w:rPr>
        <w:t>科学教育实验校建设，</w:t>
      </w:r>
      <w:r>
        <w:rPr>
          <w:rFonts w:hint="eastAsia" w:cs="仿宋_GB2312"/>
          <w:bCs/>
          <w:snapToGrid w:val="0"/>
          <w:kern w:val="0"/>
        </w:rPr>
        <w:t>打造科学教育专业师资队伍</w:t>
      </w:r>
      <w:r>
        <w:rPr>
          <w:rFonts w:hint="eastAsia"/>
        </w:rPr>
        <w:t>。</w:t>
      </w:r>
      <w:r>
        <w:rPr>
          <w:rFonts w:hint="eastAsia" w:cs="仿宋_GB2312"/>
        </w:rPr>
        <w:t>以课创计划为切入点，推进拔尖创新人才贯通培养项目，</w:t>
      </w:r>
      <w:r>
        <w:rPr>
          <w:rFonts w:hint="eastAsia" w:hAnsi="楷体" w:cs="楷体_GB2312"/>
          <w:snapToGrid w:val="0"/>
          <w:kern w:val="0"/>
        </w:rPr>
        <w:t>实施科学素养培育“沃土计划”和“脱颖计划”。</w:t>
      </w:r>
      <w:r>
        <w:rPr>
          <w:rFonts w:hint="eastAsia" w:cs="仿宋_GB2312"/>
        </w:rPr>
        <w:t>聚焦核心素养，加强科学基础学科（数学、物理、化学、生物、地理、信息学等）教学改革，</w:t>
      </w:r>
      <w:r>
        <w:rPr>
          <w:rFonts w:hint="eastAsia" w:cs="楷体_GB2312"/>
          <w:snapToGrid w:val="0"/>
          <w:kern w:val="0"/>
        </w:rPr>
        <w:t>紧密结合区域发展特色产业，</w:t>
      </w:r>
      <w:bookmarkStart w:id="1" w:name="OLE_LINK14"/>
      <w:r>
        <w:rPr>
          <w:rFonts w:hint="eastAsia" w:hAnsi="楷体" w:cs="楷体_GB2312"/>
          <w:snapToGrid w:val="0"/>
          <w:kern w:val="0"/>
        </w:rPr>
        <w:t>依托生物多样性、无人机、现代农业、地质天文等区域资源优势，</w:t>
      </w:r>
      <w:bookmarkEnd w:id="1"/>
      <w:r>
        <w:rPr>
          <w:rFonts w:hint="eastAsia" w:hAnsi="楷体" w:cs="楷体_GB2312"/>
          <w:snapToGrid w:val="0"/>
          <w:kern w:val="0"/>
        </w:rPr>
        <w:t>深入开展学科实践、实验教学、跨学科主题学习和综合实践，打造无人机低空技术产业科普创新等科学教育特色品牌。</w:t>
      </w:r>
      <w:r>
        <w:rPr>
          <w:rFonts w:hint="eastAsia" w:cs="仿宋_GB2312"/>
        </w:rPr>
        <w:t>探索设立虚拟学校，建立系统、完备、科学、全面的拔尖创新人才培养追踪机制。</w:t>
      </w:r>
      <w:r>
        <w:rPr>
          <w:rFonts w:hint="eastAsia"/>
        </w:rPr>
        <w:t>到2027年，创新人才培养成果在生态涵养区处于前列。</w:t>
      </w:r>
    </w:p>
    <w:p w14:paraId="70E2D59C">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责任部门：区教委、区科信局（中关村延庆园管委会）、区农业农村局、区财政局、区科协、各街乡镇</w:t>
      </w:r>
    </w:p>
    <w:p w14:paraId="56877FCF">
      <w:pPr>
        <w:widowControl w:val="0"/>
        <w:adjustRightInd w:val="0"/>
        <w:snapToGrid w:val="0"/>
        <w:ind w:firstLine="640" w:firstLineChars="200"/>
        <w:rPr>
          <w:rFonts w:ascii="楷体_GB2312" w:hAnsi="楷体" w:eastAsia="楷体_GB2312"/>
        </w:rPr>
      </w:pPr>
      <w:r>
        <w:rPr>
          <w:rFonts w:hint="eastAsia" w:ascii="楷体_GB2312" w:hAnsi="楷体" w:eastAsia="楷体_GB2312"/>
        </w:rPr>
        <w:t>（二）实施基础教育扩优提质行动</w:t>
      </w:r>
    </w:p>
    <w:p w14:paraId="0248D048">
      <w:pPr>
        <w:widowControl w:val="0"/>
        <w:adjustRightInd w:val="0"/>
        <w:snapToGrid w:val="0"/>
        <w:ind w:firstLine="640" w:firstLineChars="200"/>
        <w:rPr>
          <w:rFonts w:hAnsi="仿宋_GB2312" w:cs="仿宋_GB2312"/>
          <w:snapToGrid w:val="0"/>
          <w:kern w:val="0"/>
        </w:rPr>
      </w:pPr>
      <w:r>
        <w:t>6.</w:t>
      </w:r>
      <w:r>
        <w:rPr>
          <w:rFonts w:hint="eastAsia"/>
        </w:rPr>
        <w:t>推进学前教育优质普惠发展。</w:t>
      </w:r>
      <w:r>
        <w:rPr>
          <w:rFonts w:hint="eastAsia" w:hAnsi="仿宋_GB2312" w:cs="仿宋_GB2312"/>
          <w:snapToGrid w:val="0"/>
          <w:kern w:val="0"/>
        </w:rPr>
        <w:t>实施保育教育质量评估指南，深化“直属园+校办园+民办园”集团化办园和“1+1”直属园办分园改革实践，整体提升学前育人质量。利用学前教育优质资源提供规范、多元、优质的托育服务，</w:t>
      </w:r>
      <w:r>
        <w:rPr>
          <w:rFonts w:hint="eastAsia" w:hAnsi="仿宋_GB2312" w:cs="仿宋_GB2312"/>
        </w:rPr>
        <w:t>推进托幼一体化发展。</w:t>
      </w:r>
      <w:r>
        <w:rPr>
          <w:rFonts w:hint="eastAsia" w:hAnsi="仿宋_GB2312" w:cs="仿宋_GB2312"/>
          <w:snapToGrid w:val="0"/>
          <w:kern w:val="0"/>
        </w:rPr>
        <w:t>2</w:t>
      </w:r>
      <w:r>
        <w:rPr>
          <w:rFonts w:hAnsi="仿宋_GB2312" w:cs="仿宋_GB2312"/>
          <w:snapToGrid w:val="0"/>
          <w:kern w:val="0"/>
        </w:rPr>
        <w:t>027</w:t>
      </w:r>
      <w:r>
        <w:rPr>
          <w:rFonts w:hint="eastAsia" w:hAnsi="仿宋_GB2312" w:cs="仿宋_GB2312"/>
          <w:snapToGrid w:val="0"/>
          <w:kern w:val="0"/>
        </w:rPr>
        <w:t>年前，在全市率先通过国家级县域学前教育普及普惠督导评估，学前教育质量达到全市领先水平。</w:t>
      </w:r>
    </w:p>
    <w:p w14:paraId="3344ABC7">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责任部门：区教委、区卫健委、区委编办、区人力社保局、区财政局、各街乡镇</w:t>
      </w:r>
    </w:p>
    <w:p w14:paraId="40EB190B">
      <w:pPr>
        <w:widowControl w:val="0"/>
        <w:adjustRightInd w:val="0"/>
        <w:snapToGrid w:val="0"/>
        <w:ind w:firstLine="640" w:firstLineChars="200"/>
        <w:rPr>
          <w:rFonts w:hAnsi="仿宋_GB2312" w:cs="仿宋_GB2312"/>
          <w:snapToGrid w:val="0"/>
          <w:kern w:val="0"/>
        </w:rPr>
      </w:pPr>
      <w:r>
        <w:t>7.</w:t>
      </w:r>
      <w:r>
        <w:rPr>
          <w:rFonts w:hint="eastAsia"/>
        </w:rPr>
        <w:t>推进义务教育优质均衡发展。印发实施</w:t>
      </w:r>
      <w:bookmarkStart w:id="2" w:name="_Hlk181867357"/>
      <w:r>
        <w:rPr>
          <w:rFonts w:hint="eastAsia"/>
        </w:rPr>
        <w:t>《延庆区新优质学校成长发展规划》</w:t>
      </w:r>
      <w:bookmarkEnd w:id="2"/>
      <w:r>
        <w:rPr>
          <w:rFonts w:hint="eastAsia"/>
        </w:rPr>
        <w:t>《延庆区义务教育质量提升行动计划》</w:t>
      </w:r>
      <w:r>
        <w:rPr>
          <w:rFonts w:hint="eastAsia" w:hAnsi="仿宋_GB2312" w:cs="仿宋_GB2312"/>
          <w:snapToGrid w:val="0"/>
          <w:kern w:val="0"/>
        </w:rPr>
        <w:t>，深化义务教育课程教学改革，巩固“双减”改革成果</w:t>
      </w:r>
      <w:r>
        <w:rPr>
          <w:rFonts w:hint="eastAsia"/>
        </w:rPr>
        <w:t>。</w:t>
      </w:r>
      <w:r>
        <w:rPr>
          <w:rFonts w:hint="eastAsia" w:hAnsi="仿宋_GB2312" w:cs="仿宋_GB2312"/>
          <w:snapToGrid w:val="0"/>
          <w:kern w:val="0"/>
        </w:rPr>
        <w:t>建立连接城、川、山的“1</w:t>
      </w:r>
      <w:r>
        <w:rPr>
          <w:rFonts w:hAnsi="仿宋_GB2312" w:cs="仿宋_GB2312"/>
          <w:snapToGrid w:val="0"/>
          <w:kern w:val="0"/>
        </w:rPr>
        <w:t>+N+M</w:t>
      </w:r>
      <w:r>
        <w:rPr>
          <w:rFonts w:hint="eastAsia" w:hAnsi="仿宋_GB2312" w:cs="仿宋_GB2312"/>
          <w:snapToGrid w:val="0"/>
          <w:kern w:val="0"/>
        </w:rPr>
        <w:t>”教育集团，健全集团办学管理运行机制。</w:t>
      </w:r>
      <w:r>
        <w:rPr>
          <w:rFonts w:hint="eastAsia" w:hAnsi="楷体_GB2312" w:cs="楷体_GB2312"/>
          <w:snapToGrid w:val="0"/>
          <w:kern w:val="0"/>
        </w:rPr>
        <w:t>推进新优质农村学校建设改革，</w:t>
      </w:r>
      <w:r>
        <w:rPr>
          <w:rFonts w:hint="eastAsia" w:hAnsi="仿宋_GB2312" w:cs="仿宋_GB2312"/>
          <w:snapToGrid w:val="0"/>
          <w:kern w:val="0"/>
        </w:rPr>
        <w:t>加强九年一贯制学校建设，组建农村小规模学校发展共同体，有序推进小班化教学。拓展“延海”协作、城乡“手拉手”等活动，与教育强区教科研部门深度合作。2027年前，创建国家级义务教育优质均衡发展区，义务教育质量达到生态涵养区领先水平。</w:t>
      </w:r>
    </w:p>
    <w:p w14:paraId="2AF89AEB">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责任部门：区教委、区委编办、区人力社保局、区财政局、区市场监管局、各街乡镇</w:t>
      </w:r>
    </w:p>
    <w:p w14:paraId="6BC0F186">
      <w:pPr>
        <w:widowControl w:val="0"/>
        <w:adjustRightInd w:val="0"/>
        <w:snapToGrid w:val="0"/>
        <w:ind w:firstLine="640" w:firstLineChars="200"/>
      </w:pPr>
      <w:r>
        <w:t>8.</w:t>
      </w:r>
      <w:r>
        <w:rPr>
          <w:rFonts w:hint="eastAsia"/>
        </w:rPr>
        <w:t>推进高中教育优质特色发展。</w:t>
      </w:r>
      <w:r>
        <w:rPr>
          <w:rFonts w:hint="eastAsia"/>
          <w:bCs/>
        </w:rPr>
        <w:t>优化高中教育布局，坚持“一校一案”，</w:t>
      </w:r>
      <w:r>
        <w:rPr>
          <w:rFonts w:hint="eastAsia" w:hAnsi="仿宋_GB2312" w:cs="仿宋_GB2312"/>
          <w:snapToGrid w:val="0"/>
          <w:kern w:val="0"/>
        </w:rPr>
        <w:t>树立第一中学教育集团区域标杆示范性普通高中教育品牌，加大北京市八一实验学校支持力度，打造第二中学研究型完全中学，夯实第五中学艺体特色教育，</w:t>
      </w:r>
      <w:r>
        <w:rPr>
          <w:rFonts w:hint="eastAsia"/>
        </w:rPr>
        <w:t>引进城区优质高中教育集团，新增高中合作办学项目不少于3个</w:t>
      </w:r>
      <w:r>
        <w:rPr>
          <w:rFonts w:hint="eastAsia"/>
          <w:bCs/>
        </w:rPr>
        <w:t>。高质量落实国家课程，</w:t>
      </w:r>
      <w:r>
        <w:rPr>
          <w:rFonts w:hint="eastAsia"/>
        </w:rPr>
        <w:t>加强区域特色课程群建设，</w:t>
      </w:r>
      <w:r>
        <w:rPr>
          <w:rFonts w:hint="eastAsia" w:hAnsi="仿宋_GB2312" w:cs="仿宋_GB2312"/>
          <w:snapToGrid w:val="0"/>
          <w:kern w:val="0"/>
        </w:rPr>
        <w:t>优化“1+3”培养实验，</w:t>
      </w:r>
      <w:r>
        <w:rPr>
          <w:rFonts w:hint="eastAsia"/>
          <w:bCs/>
        </w:rPr>
        <w:t>支持学校融入全市</w:t>
      </w:r>
      <w:r>
        <w:rPr>
          <w:rFonts w:hint="eastAsia"/>
        </w:rPr>
        <w:t>科技、数理、人文、艺体协作体，试点建立小初高纵向教育集团，探索十二年贯通培养办学模式和</w:t>
      </w:r>
      <w:r>
        <w:rPr>
          <w:rFonts w:hint="eastAsia" w:cs="仿宋_GB2312"/>
          <w:bCs/>
          <w:snapToGrid w:val="0"/>
          <w:kern w:val="0"/>
        </w:rPr>
        <w:t>免试直升等多样化入学</w:t>
      </w:r>
      <w:r>
        <w:rPr>
          <w:rFonts w:hint="eastAsia"/>
        </w:rPr>
        <w:t>方式，</w:t>
      </w:r>
      <w:r>
        <w:rPr>
          <w:rFonts w:hint="eastAsia" w:cs="仿宋_GB2312"/>
          <w:bCs/>
          <w:snapToGrid w:val="0"/>
          <w:kern w:val="0"/>
        </w:rPr>
        <w:t>完善集团各校间学生联合培养、贯通培养和长链条培养机制</w:t>
      </w:r>
      <w:r>
        <w:rPr>
          <w:rFonts w:hint="eastAsia"/>
        </w:rPr>
        <w:t>。开展普通高中教育集团课程创新实验，推进构建选修课程共享和跨校选课平台建设，加大与高校共建生源基地校力度，建立高中学校与高等学校协同育人机制。到2027年，高考质量保持生态涵养区前列、向全市中等水平迈进。</w:t>
      </w:r>
    </w:p>
    <w:p w14:paraId="26A14425">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责任部门：区委教育工委、区教委、区委编办、区人力社保局、区财政局</w:t>
      </w:r>
    </w:p>
    <w:p w14:paraId="29BB5970">
      <w:pPr>
        <w:widowControl w:val="0"/>
        <w:adjustRightInd w:val="0"/>
        <w:snapToGrid w:val="0"/>
        <w:ind w:firstLine="640" w:firstLineChars="200"/>
      </w:pPr>
      <w:r>
        <w:rPr>
          <w:rFonts w:hint="eastAsia"/>
        </w:rPr>
        <w:t>9</w:t>
      </w:r>
      <w:r>
        <w:t>.</w:t>
      </w:r>
      <w:r>
        <w:rPr>
          <w:rFonts w:hint="eastAsia"/>
        </w:rPr>
        <w:t>强化特殊教育优质融合发展。健全十五年制特殊教育学校体制机制，构建适合学前教育、义务教育、职业教育的课程体系，确保残疾儿童少年就近就便优先入学。加快建设示范性学区融合教育资源中心、融合教育学校资源教室，提升融合教育质量，将注意缺陷多动障碍、情绪行为障碍等特殊学生纳入特殊教育服务范围，做到“应融尽融”。到2027年，特殊教育质量达到生态涵养区领先水平。</w:t>
      </w:r>
    </w:p>
    <w:p w14:paraId="40816EF6">
      <w:pPr>
        <w:widowControl w:val="0"/>
        <w:adjustRightInd w:val="0"/>
        <w:snapToGrid w:val="0"/>
        <w:ind w:firstLine="640" w:firstLineChars="200"/>
        <w:rPr>
          <w:rFonts w:ascii="楷体_GB2312" w:hAnsi="楷体" w:eastAsia="楷体_GB2312" w:cs="仿宋_GB2312"/>
        </w:rPr>
      </w:pPr>
      <w:r>
        <w:rPr>
          <w:rFonts w:hint="eastAsia" w:ascii="楷体_GB2312" w:hAnsi="楷体" w:eastAsia="楷体_GB2312" w:cs="仿宋_GB2312"/>
        </w:rPr>
        <w:t>责任部门：区教委、区民政局、区残联、区委编办、区人力社保局、区财政局、</w:t>
      </w:r>
      <w:r>
        <w:rPr>
          <w:rFonts w:hint="eastAsia" w:ascii="楷体_GB2312" w:hAnsi="楷体" w:eastAsia="楷体_GB2312"/>
        </w:rPr>
        <w:t>各街乡镇</w:t>
      </w:r>
    </w:p>
    <w:p w14:paraId="43553BBB">
      <w:pPr>
        <w:widowControl w:val="0"/>
        <w:adjustRightInd w:val="0"/>
        <w:snapToGrid w:val="0"/>
        <w:ind w:firstLine="640" w:firstLineChars="200"/>
      </w:pPr>
      <w:r>
        <w:rPr>
          <w:rFonts w:hint="eastAsia"/>
        </w:rPr>
        <w:t>10.推进职业教育优质创新发展。聚焦区域重点产业人才需求，打造烹饪、无人机、冰雪体育等重点专业。深化产教融合与校企合作，与产业园区和知名企业共建新专业、开发新课程，开展订单式培养，打造学生实习实训基地和技能人才培养培训基地品牌。推进职普融通，建立普通高中与中职学校资源互通共享、培养成果互认、学籍互转机制，</w:t>
      </w:r>
      <w:r>
        <w:rPr>
          <w:rFonts w:hint="eastAsia" w:cs="仿宋_GB2312"/>
          <w:bCs/>
          <w:snapToGrid w:val="0"/>
          <w:kern w:val="0"/>
        </w:rPr>
        <w:t>探索建设综合高中</w:t>
      </w:r>
      <w:r>
        <w:rPr>
          <w:rFonts w:hint="eastAsia"/>
        </w:rPr>
        <w:t>。</w:t>
      </w:r>
      <w:r>
        <w:rPr>
          <w:rFonts w:hint="eastAsia" w:cs="仿宋_GB2312"/>
          <w:bCs/>
          <w:snapToGrid w:val="0"/>
          <w:kern w:val="0"/>
        </w:rPr>
        <w:t>加强中职学校与高等院校衔接培养，加大“3+2”贯通培养力度，探索“3+2+2”培养模式。</w:t>
      </w:r>
      <w:r>
        <w:rPr>
          <w:rFonts w:hint="eastAsia"/>
        </w:rPr>
        <w:t>完善职成教三级网络体系建设，提升市民素养，促进乡村振兴。到2027年，建成具有区域特色的职成教一体化办学体系，职业教育水平居生态涵养区前列。</w:t>
      </w:r>
    </w:p>
    <w:p w14:paraId="200DBBBC">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责任部门：区教委、区农业农村局、区科信局（中关村延庆园管委会）、区人力社保局、区商务局、区文旅局、各街乡镇</w:t>
      </w:r>
    </w:p>
    <w:p w14:paraId="5BC9A063">
      <w:pPr>
        <w:widowControl w:val="0"/>
        <w:adjustRightInd w:val="0"/>
        <w:snapToGrid w:val="0"/>
        <w:ind w:firstLine="640" w:firstLineChars="200"/>
        <w:rPr>
          <w:rFonts w:ascii="楷体_GB2312" w:hAnsi="楷体" w:eastAsia="楷体_GB2312"/>
        </w:rPr>
      </w:pPr>
      <w:r>
        <w:rPr>
          <w:rFonts w:hint="eastAsia" w:ascii="楷体_GB2312" w:hAnsi="楷体" w:eastAsia="楷体_GB2312"/>
        </w:rPr>
        <w:t>（三）实施队伍建设铸魂强师行动</w:t>
      </w:r>
    </w:p>
    <w:p w14:paraId="64BE9924">
      <w:pPr>
        <w:widowControl w:val="0"/>
        <w:adjustRightInd w:val="0"/>
        <w:snapToGrid w:val="0"/>
        <w:ind w:firstLine="640" w:firstLineChars="200"/>
      </w:pPr>
      <w:r>
        <w:rPr>
          <w:rFonts w:hint="eastAsia"/>
        </w:rPr>
        <w:t>1</w:t>
      </w:r>
      <w:r>
        <w:t>1.</w:t>
      </w:r>
      <w:r>
        <w:rPr>
          <w:rFonts w:hint="eastAsia"/>
        </w:rPr>
        <w:t>弘扬践行教育家精神。</w:t>
      </w:r>
      <w:r>
        <w:rPr>
          <w:rFonts w:hint="eastAsia"/>
          <w:bCs/>
        </w:rPr>
        <w:t>推动教育家精神融入教师培养培训全过程，</w:t>
      </w:r>
      <w:r>
        <w:rPr>
          <w:rFonts w:hint="eastAsia" w:cs="仿宋_GB2312"/>
          <w:bCs/>
          <w:snapToGrid w:val="0"/>
          <w:kern w:val="0"/>
        </w:rPr>
        <w:t>全面开展教师思想政治轮训，构建日常浸润、项目赋能、平台支撑的教师发展良好生态，</w:t>
      </w:r>
      <w:r>
        <w:rPr>
          <w:rFonts w:hint="eastAsia"/>
          <w:bCs/>
        </w:rPr>
        <w:t>将思想政治和师德表现作为教师资格准入、评价考核的首要条件。</w:t>
      </w:r>
      <w:r>
        <w:rPr>
          <w:rFonts w:hint="eastAsia"/>
        </w:rPr>
        <w:t>加大优秀教师选树宣传力度，</w:t>
      </w:r>
      <w:r>
        <w:rPr>
          <w:rFonts w:hint="eastAsia"/>
          <w:bCs/>
        </w:rPr>
        <w:t>每月开展一次“身边好老师”推介活动，将每年9月设为“教师宣传月”</w:t>
      </w:r>
      <w:r>
        <w:rPr>
          <w:rFonts w:hint="eastAsia"/>
        </w:rPr>
        <w:t>。</w:t>
      </w:r>
      <w:r>
        <w:rPr>
          <w:rFonts w:hint="eastAsia"/>
          <w:bCs/>
        </w:rPr>
        <w:t>坚持师德师风第一标准，</w:t>
      </w:r>
      <w:r>
        <w:rPr>
          <w:rFonts w:hint="eastAsia"/>
        </w:rPr>
        <w:t>健全师德师风建设长效机制，推行师德考核负面清单制度，加强日常警示教育，严格落实师德失范“零容忍”。</w:t>
      </w:r>
    </w:p>
    <w:p w14:paraId="3758E531">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责任部门：区委教育工委、区教委、区委宣传部、区人力社保局、区财政局、区融媒体中心</w:t>
      </w:r>
    </w:p>
    <w:p w14:paraId="35BE1359">
      <w:pPr>
        <w:widowControl w:val="0"/>
        <w:adjustRightInd w:val="0"/>
        <w:snapToGrid w:val="0"/>
        <w:ind w:firstLine="640" w:firstLineChars="200"/>
        <w:rPr>
          <w:rFonts w:cs="仿宋_GB2312"/>
        </w:rPr>
      </w:pPr>
      <w:r>
        <w:rPr>
          <w:rFonts w:cs="仿宋_GB2312"/>
          <w:bCs/>
        </w:rPr>
        <w:t>1</w:t>
      </w:r>
      <w:r>
        <w:rPr>
          <w:rFonts w:hint="eastAsia" w:cs="仿宋_GB2312"/>
          <w:bCs/>
        </w:rPr>
        <w:t>2</w:t>
      </w:r>
      <w:r>
        <w:rPr>
          <w:rFonts w:cs="仿宋_GB2312"/>
          <w:bCs/>
        </w:rPr>
        <w:t>.</w:t>
      </w:r>
      <w:r>
        <w:rPr>
          <w:rFonts w:hint="eastAsia" w:cs="仿宋_GB2312"/>
          <w:bCs/>
        </w:rPr>
        <w:t>提高干部队伍领航能力。</w:t>
      </w:r>
      <w:r>
        <w:rPr>
          <w:rFonts w:hint="eastAsia"/>
        </w:rPr>
        <w:t>出台《延庆区教育人才引进办法》，平均每年引进知名校长、特级教师、省市级学科带头人等领军型人才1</w:t>
      </w:r>
      <w:r>
        <w:t>-</w:t>
      </w:r>
      <w:r>
        <w:rPr>
          <w:rFonts w:hint="eastAsia"/>
        </w:rPr>
        <w:t>3人，积极引进学科竞赛金牌教练等具有专长的特殊人才。出台《延庆区中小学书记（校长）管理办法》，选派优秀青年干部到名校挂职、出任执行校长、参与高端培训等，发挥名校长、特级校长工作室孵化培育作用，推行校级干部全员深入教学一线。</w:t>
      </w:r>
      <w:r>
        <w:rPr>
          <w:rFonts w:hint="eastAsia" w:cs="仿宋_GB2312"/>
        </w:rPr>
        <w:t>建立青年人才储备库，加大年级组长、中层干部培养力度</w:t>
      </w:r>
      <w:r>
        <w:rPr>
          <w:rFonts w:hint="eastAsia" w:cs="方正小标宋简体"/>
        </w:rPr>
        <w:t>，完善中层干部竞聘上岗机制，探索开展副校级干部竞聘工作，加大择优选拔力度。</w:t>
      </w:r>
      <w:r>
        <w:rPr>
          <w:rFonts w:hint="eastAsia" w:cs="仿宋_GB2312"/>
        </w:rPr>
        <w:t>优化教育两委科室和事业单位设置，推进事业单位改革，建立健全区域内跨系统干部交流轮岗机制。到2027年，校科级干部研究生以上学历提高至23%以上，平均年龄下降到49岁以下，培养后备校（园）长</w:t>
      </w:r>
      <w:r>
        <w:rPr>
          <w:rFonts w:cs="仿宋_GB2312"/>
        </w:rPr>
        <w:t>30</w:t>
      </w:r>
      <w:r>
        <w:rPr>
          <w:rFonts w:hint="eastAsia" w:cs="仿宋_GB2312"/>
        </w:rPr>
        <w:t>人、卓越校（园）长</w:t>
      </w:r>
      <w:r>
        <w:rPr>
          <w:rFonts w:cs="仿宋_GB2312"/>
        </w:rPr>
        <w:t>6</w:t>
      </w:r>
      <w:r>
        <w:rPr>
          <w:rFonts w:hint="eastAsia" w:cs="仿宋_GB2312"/>
        </w:rPr>
        <w:t>人、特级校（园）长3人。</w:t>
      </w:r>
    </w:p>
    <w:p w14:paraId="446AAB03">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责任部门：区委教育工委、区委组织部、区委编办、区教委、区人力社保局、区财政局</w:t>
      </w:r>
    </w:p>
    <w:p w14:paraId="5EFD47F9">
      <w:pPr>
        <w:widowControl w:val="0"/>
        <w:adjustRightInd w:val="0"/>
        <w:snapToGrid w:val="0"/>
        <w:ind w:firstLine="640" w:firstLineChars="200"/>
        <w:rPr>
          <w:rFonts w:hAnsi="方正小标宋简体" w:cs="方正小标宋简体"/>
        </w:rPr>
      </w:pPr>
      <w:r>
        <w:t>13.</w:t>
      </w:r>
      <w:r>
        <w:rPr>
          <w:rFonts w:hint="eastAsia"/>
        </w:rPr>
        <w:t>提升教师队伍育人水平。加大教师自主招聘力度，</w:t>
      </w:r>
      <w:bookmarkStart w:id="3" w:name="_Hlk192408748"/>
      <w:r>
        <w:rPr>
          <w:rFonts w:hint="eastAsia"/>
        </w:rPr>
        <w:t>拓宽教师招聘渠道，</w:t>
      </w:r>
      <w:bookmarkEnd w:id="3"/>
      <w:r>
        <w:rPr>
          <w:rFonts w:hint="eastAsia"/>
        </w:rPr>
        <w:t>逐年增加引进非京生源指标。实施教师学历提升计划，探索与高校建立“订单式”人才培养机制，到2027年专任教师本科及以上学历占比提高至97%，研究生学历占比提高至10%。深化“区管校聘”管理改革，持续推进教师交流轮岗，实施“银龄计划”，适时启动“员额制”改革，建立优秀教师跨校跨学段融通使用机制。实施教师“群雁齐飞”计划，健全分层分类培训体系，</w:t>
      </w:r>
      <w:r>
        <w:rPr>
          <w:rFonts w:hint="eastAsia" w:cs="仿宋_GB2312"/>
          <w:bCs/>
          <w:snapToGrid w:val="0"/>
          <w:kern w:val="0"/>
        </w:rPr>
        <w:t>健全中小学班主任基本功培训和展示机制，推进数字赋能教师发展行动，发挥名师工作室孵化培育作用，加大青年教师课程研发支持力度，</w:t>
      </w:r>
      <w:r>
        <w:rPr>
          <w:rFonts w:hint="eastAsia"/>
        </w:rPr>
        <w:t>完善教师队伍建设与校长绩效考核挂钩机制，到2</w:t>
      </w:r>
      <w:r>
        <w:t>027</w:t>
      </w:r>
      <w:r>
        <w:rPr>
          <w:rFonts w:hint="eastAsia"/>
        </w:rPr>
        <w:t>年培养“园丁新秀”和“百优班主任”各1</w:t>
      </w:r>
      <w:r>
        <w:t>00</w:t>
      </w:r>
      <w:r>
        <w:rPr>
          <w:rFonts w:hint="eastAsia"/>
        </w:rPr>
        <w:t>人，培育储备优秀骨干教师5</w:t>
      </w:r>
      <w:r>
        <w:t>00</w:t>
      </w:r>
      <w:r>
        <w:rPr>
          <w:rFonts w:hint="eastAsia"/>
        </w:rPr>
        <w:t>人，培养市级以上骨干教师60人。完善教研员动态管理机制，打通教师与教研员双向流动通道</w:t>
      </w:r>
      <w:r>
        <w:rPr>
          <w:rFonts w:hint="eastAsia" w:hAnsi="仿宋_GB2312" w:cs="仿宋_GB2312"/>
          <w:snapToGrid w:val="0"/>
          <w:kern w:val="0"/>
        </w:rPr>
        <w:t>，探索特级、正高级、市级骨干教师等到教研机构交流任职机制</w:t>
      </w:r>
      <w:r>
        <w:rPr>
          <w:rFonts w:hint="eastAsia"/>
        </w:rPr>
        <w:t>，</w:t>
      </w:r>
      <w:r>
        <w:rPr>
          <w:rFonts w:hint="eastAsia" w:hAnsi="仿宋_GB2312" w:cs="仿宋_GB2312"/>
        </w:rPr>
        <w:t>推动教研员到基层一线练兵。</w:t>
      </w:r>
      <w:r>
        <w:rPr>
          <w:rFonts w:hint="eastAsia"/>
        </w:rPr>
        <w:t>创新“研培结合、以研促培”一体化培养和评价模式，构建“一横两纵”大教研格局，常态化开展岗位大练兵和教师全员实训，打造“全域教研”品牌。</w:t>
      </w:r>
    </w:p>
    <w:p w14:paraId="43D36CCA">
      <w:pPr>
        <w:widowControl w:val="0"/>
        <w:adjustRightInd w:val="0"/>
        <w:snapToGrid w:val="0"/>
        <w:ind w:firstLine="640" w:firstLineChars="200"/>
        <w:rPr>
          <w:rFonts w:ascii="楷体_GB2312" w:hAnsi="楷体" w:eastAsia="楷体_GB2312"/>
        </w:rPr>
      </w:pPr>
      <w:r>
        <w:rPr>
          <w:rFonts w:hint="eastAsia" w:ascii="楷体_GB2312" w:hAnsi="楷体" w:eastAsia="楷体_GB2312"/>
        </w:rPr>
        <w:t>责任部门：区教委、区人力社保局、区委编办、区财政局</w:t>
      </w:r>
    </w:p>
    <w:p w14:paraId="1AA06D10">
      <w:pPr>
        <w:widowControl w:val="0"/>
        <w:pBdr>
          <w:bottom w:val="single" w:color="FFFFFF" w:sz="4" w:space="28"/>
        </w:pBdr>
        <w:adjustRightInd w:val="0"/>
        <w:snapToGrid w:val="0"/>
        <w:ind w:firstLine="640" w:firstLineChars="200"/>
      </w:pPr>
      <w:r>
        <w:t>1</w:t>
      </w:r>
      <w:r>
        <w:rPr>
          <w:rFonts w:hint="eastAsia"/>
        </w:rPr>
        <w:t>4</w:t>
      </w:r>
      <w:r>
        <w:t>.</w:t>
      </w:r>
      <w:r>
        <w:rPr>
          <w:rFonts w:hint="eastAsia"/>
        </w:rPr>
        <w:t>健全保障激励机制。深化学校书记、校长职级制改革</w:t>
      </w:r>
      <w:r>
        <w:rPr>
          <w:rFonts w:hint="eastAsia" w:cs="方正小标宋简体"/>
        </w:rPr>
        <w:t>，建立职级动态调整机制，实施任期责任制，严格年度考核和任期考核，推动干部能上能下。</w:t>
      </w:r>
      <w:r>
        <w:rPr>
          <w:rFonts w:hint="eastAsia"/>
        </w:rPr>
        <w:t>深化教师考核评价制度改革，突出业绩导向，完善职称评聘、骨干评选、奖励评优工作机制。评选区级特级教师、学科教学带头人、骨干班主任，完善</w:t>
      </w:r>
      <w:r>
        <w:rPr>
          <w:rFonts w:hint="eastAsia" w:cs="仿宋_GB2312"/>
          <w:bCs/>
          <w:snapToGrid w:val="0"/>
          <w:kern w:val="0"/>
        </w:rPr>
        <w:t>特级校长教师工作室、市级骨干教师工作坊团组式交流支教工作机制，促进市级及以上骨干教师优质资源辐射每所学校。</w:t>
      </w:r>
      <w:r>
        <w:rPr>
          <w:rFonts w:hint="eastAsia"/>
        </w:rPr>
        <w:t>实施教师关爱支持行动，</w:t>
      </w:r>
      <w:r>
        <w:rPr>
          <w:rFonts w:hint="eastAsia" w:cs="仿宋_GB2312"/>
          <w:bCs/>
          <w:snapToGrid w:val="0"/>
          <w:kern w:val="0"/>
        </w:rPr>
        <w:t>在医疗健康、文化提升、生活服务、住房保障等方面落实尊师惠师措施，</w:t>
      </w:r>
      <w:r>
        <w:rPr>
          <w:rFonts w:hint="eastAsia"/>
        </w:rPr>
        <w:t>鼓励社会力量对优秀教师进行奖励，做好教师荣休工作。深化教师减负专项行动，减轻教师非教育教学负担。</w:t>
      </w:r>
      <w:r>
        <w:rPr>
          <w:rFonts w:hint="eastAsia" w:cs="仿宋_GB2312"/>
          <w:bCs/>
          <w:snapToGrid w:val="0"/>
          <w:kern w:val="0"/>
        </w:rPr>
        <w:t>依法坚定维护教师教育惩戒权，坚决维护教师的职业尊严和合法权益。</w:t>
      </w:r>
    </w:p>
    <w:p w14:paraId="0567D533">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责任部门：区委教育工委、区教委、区人力社保局、区财政局、区卫健委、区工商联、区总工会</w:t>
      </w:r>
    </w:p>
    <w:p w14:paraId="082D4380">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（四）实施新质校园扩容提升行动</w:t>
      </w:r>
    </w:p>
    <w:p w14:paraId="28FBDA9B">
      <w:pPr>
        <w:widowControl w:val="0"/>
        <w:pBdr>
          <w:bottom w:val="single" w:color="FFFFFF" w:sz="4" w:space="28"/>
        </w:pBdr>
        <w:adjustRightInd w:val="0"/>
        <w:snapToGrid w:val="0"/>
        <w:ind w:firstLine="640" w:firstLineChars="200"/>
        <w:rPr>
          <w:rFonts w:hAnsi="仿宋_GB2312" w:cs="仿宋_GB2312"/>
        </w:rPr>
      </w:pPr>
      <w:r>
        <w:rPr>
          <w:rFonts w:hint="eastAsia" w:hAnsi="仿宋"/>
          <w:bCs/>
          <w:snapToGrid w:val="0"/>
          <w:kern w:val="0"/>
        </w:rPr>
        <w:t>1</w:t>
      </w:r>
      <w:r>
        <w:rPr>
          <w:rFonts w:hAnsi="仿宋"/>
          <w:bCs/>
          <w:snapToGrid w:val="0"/>
          <w:kern w:val="0"/>
        </w:rPr>
        <w:t>5</w:t>
      </w:r>
      <w:r>
        <w:rPr>
          <w:rFonts w:hint="eastAsia" w:hAnsi="仿宋"/>
          <w:bCs/>
          <w:snapToGrid w:val="0"/>
          <w:kern w:val="0"/>
        </w:rPr>
        <w:t>.</w:t>
      </w:r>
      <w:bookmarkStart w:id="4" w:name="OLE_LINK6"/>
      <w:bookmarkStart w:id="5" w:name="OLE_LINK7"/>
      <w:r>
        <w:rPr>
          <w:rFonts w:hint="eastAsia" w:hAnsi="仿宋"/>
          <w:bCs/>
          <w:snapToGrid w:val="0"/>
          <w:kern w:val="0"/>
        </w:rPr>
        <w:t>优化教育资源规划布局。加强延庆高铁站、大学城以及中关村延庆园等重点功能区的学校布局，</w:t>
      </w:r>
      <w:r>
        <w:rPr>
          <w:rFonts w:hint="eastAsia" w:hAnsi="仿宋"/>
          <w:snapToGrid w:val="0"/>
          <w:kern w:val="0"/>
        </w:rPr>
        <w:t>落实《北京市延庆区基础教育设施专项规划（2021年-2035年）》，应对人口峰谷变化，</w:t>
      </w:r>
      <w:r>
        <w:rPr>
          <w:rFonts w:hint="eastAsia" w:hAnsi="仿宋"/>
          <w:bCs/>
          <w:snapToGrid w:val="0"/>
          <w:kern w:val="0"/>
        </w:rPr>
        <w:t>实施中小学建设专项行动，</w:t>
      </w:r>
      <w:r>
        <w:rPr>
          <w:rFonts w:hint="eastAsia" w:hAnsi="仿宋"/>
          <w:snapToGrid w:val="0"/>
          <w:kern w:val="0"/>
        </w:rPr>
        <w:t>2025年完成第一幼儿园分园、第三小学改扩建和世园小学新建项目，新增学位1</w:t>
      </w:r>
      <w:r>
        <w:rPr>
          <w:rFonts w:hAnsi="仿宋"/>
          <w:snapToGrid w:val="0"/>
          <w:kern w:val="0"/>
        </w:rPr>
        <w:t>500</w:t>
      </w:r>
      <w:r>
        <w:rPr>
          <w:rFonts w:hint="eastAsia" w:hAnsi="仿宋"/>
          <w:snapToGrid w:val="0"/>
          <w:kern w:val="0"/>
        </w:rPr>
        <w:t>个左右。加快推进北京市八一实验学校（小学部）、城南市区优质学校</w:t>
      </w:r>
      <w:r>
        <w:rPr>
          <w:rFonts w:hint="eastAsia" w:hAnsi="仿宋_GB2312" w:cs="仿宋_GB2312"/>
        </w:rPr>
        <w:t>等建设项目，</w:t>
      </w:r>
      <w:r>
        <w:rPr>
          <w:rFonts w:hint="eastAsia" w:hAnsi="仿宋"/>
          <w:bCs/>
          <w:snapToGrid w:val="0"/>
          <w:kern w:val="0"/>
        </w:rPr>
        <w:t>积极引进高端民办教育机构，</w:t>
      </w:r>
      <w:r>
        <w:rPr>
          <w:rFonts w:hint="eastAsia" w:hAnsi="仿宋_GB2312" w:cs="仿宋_GB2312"/>
          <w:snapToGrid w:val="0"/>
          <w:kern w:val="0"/>
        </w:rPr>
        <w:t>稳妥整合“小散弱”乡村学校。</w:t>
      </w:r>
      <w:r>
        <w:rPr>
          <w:rFonts w:hint="eastAsia" w:hAnsi="仿宋_GB2312" w:cs="仿宋_GB2312"/>
        </w:rPr>
        <w:t>实施校园环境提升计划，改善学校建筑品质，为新优质学校奠定硬件基础。</w:t>
      </w:r>
      <w:bookmarkEnd w:id="4"/>
      <w:bookmarkEnd w:id="5"/>
    </w:p>
    <w:p w14:paraId="764DD622">
      <w:pPr>
        <w:widowControl w:val="0"/>
        <w:pBdr>
          <w:bottom w:val="single" w:color="FFFFFF" w:sz="4" w:space="28"/>
        </w:pBdr>
        <w:adjustRightInd w:val="0"/>
        <w:snapToGrid w:val="0"/>
        <w:ind w:firstLine="640" w:firstLineChars="200"/>
        <w:rPr>
          <w:rFonts w:eastAsia="楷体_GB2312"/>
          <w:snapToGrid w:val="0"/>
          <w:kern w:val="0"/>
        </w:rPr>
      </w:pPr>
      <w:r>
        <w:rPr>
          <w:rFonts w:hint="eastAsia" w:ascii="楷体_GB2312" w:hAnsi="楷体" w:eastAsia="楷体_GB2312"/>
        </w:rPr>
        <w:t>责任部门：区教委、</w:t>
      </w:r>
      <w:r>
        <w:rPr>
          <w:rFonts w:hint="eastAsia" w:eastAsia="楷体_GB2312"/>
          <w:snapToGrid w:val="0"/>
          <w:kern w:val="0"/>
          <w:lang w:eastAsia="zh-CN"/>
        </w:rPr>
        <w:t>市规划自然资源委</w:t>
      </w:r>
      <w:r>
        <w:rPr>
          <w:rFonts w:hint="eastAsia" w:eastAsia="楷体_GB2312"/>
          <w:snapToGrid w:val="0"/>
          <w:kern w:val="0"/>
        </w:rPr>
        <w:t>延庆分局、区发展改革委、区住建委、区财政局、各街乡镇</w:t>
      </w:r>
    </w:p>
    <w:p w14:paraId="5004E409">
      <w:pPr>
        <w:widowControl w:val="0"/>
        <w:pBdr>
          <w:bottom w:val="single" w:color="FFFFFF" w:sz="4" w:space="28"/>
        </w:pBdr>
        <w:adjustRightInd w:val="0"/>
        <w:snapToGrid w:val="0"/>
        <w:ind w:firstLine="640" w:firstLineChars="200"/>
        <w:rPr>
          <w:rFonts w:hAnsi="仿宋_GB2312" w:cs="仿宋_GB2312"/>
        </w:rPr>
      </w:pPr>
      <w:bookmarkStart w:id="6" w:name="OLE_LINK2"/>
      <w:bookmarkStart w:id="7" w:name="OLE_LINK1"/>
      <w:r>
        <w:rPr>
          <w:rFonts w:hAnsi="仿宋"/>
          <w:bCs/>
          <w:snapToGrid w:val="0"/>
          <w:kern w:val="0"/>
        </w:rPr>
        <w:t>16</w:t>
      </w:r>
      <w:r>
        <w:rPr>
          <w:rFonts w:hint="eastAsia" w:hAnsi="仿宋"/>
          <w:bCs/>
          <w:snapToGrid w:val="0"/>
          <w:kern w:val="0"/>
        </w:rPr>
        <w:t>.探索“人工智能+教育”新场景。</w:t>
      </w:r>
      <w:r>
        <w:rPr>
          <w:rFonts w:hint="eastAsia" w:hAnsi="仿宋_GB2312" w:cs="仿宋_GB2312"/>
          <w:snapToGrid w:val="0"/>
          <w:kern w:val="0"/>
        </w:rPr>
        <w:t>出台《延庆区教育信息化三年行动计划》，实施教师信息化素养提升工程。加快建设承载区域教育教学、应急指挥、考试巡查、安全技防等应用平台，建设创新融合课堂场景，开展A</w:t>
      </w:r>
      <w:r>
        <w:rPr>
          <w:rFonts w:hAnsi="仿宋_GB2312" w:cs="仿宋_GB2312"/>
          <w:snapToGrid w:val="0"/>
          <w:kern w:val="0"/>
        </w:rPr>
        <w:t>I</w:t>
      </w:r>
      <w:r>
        <w:rPr>
          <w:rFonts w:hint="eastAsia" w:hAnsi="仿宋_GB2312" w:cs="仿宋_GB2312"/>
          <w:snapToGrid w:val="0"/>
          <w:kern w:val="0"/>
        </w:rPr>
        <w:t>评教评学试点。</w:t>
      </w:r>
      <w:r>
        <w:rPr>
          <w:rFonts w:hint="eastAsia" w:hAnsi="仿宋_GB2312" w:cs="仿宋_GB2312"/>
        </w:rPr>
        <w:t>积极探索数字技术、人工智能技术赋能教育教学场景创新，充分利用国家智慧教育、双师课堂等在线平台，</w:t>
      </w:r>
      <w:r>
        <w:rPr>
          <w:rFonts w:hint="eastAsia" w:hAnsi="仿宋_GB2312" w:cs="仿宋_GB2312"/>
          <w:snapToGrid w:val="0"/>
          <w:kern w:val="0"/>
        </w:rPr>
        <w:t>构建线上线下混合式教学系统，</w:t>
      </w:r>
      <w:r>
        <w:rPr>
          <w:rFonts w:hint="eastAsia" w:hAnsi="仿宋_GB2312" w:cs="仿宋_GB2312"/>
        </w:rPr>
        <w:t>深化</w:t>
      </w:r>
      <w:r>
        <w:rPr>
          <w:rFonts w:hint="eastAsia" w:hAnsi="仿宋_GB2312" w:cs="仿宋_GB2312"/>
          <w:snapToGrid w:val="0"/>
          <w:kern w:val="0"/>
        </w:rPr>
        <w:t>“同上一门课”教学改革</w:t>
      </w:r>
      <w:r>
        <w:rPr>
          <w:rFonts w:hint="eastAsia" w:hAnsi="仿宋_GB2312" w:cs="仿宋_GB2312"/>
        </w:rPr>
        <w:t>。健全网络和数据安全管理体系，规范做好教育数据安全管理。到202</w:t>
      </w:r>
      <w:r>
        <w:rPr>
          <w:rFonts w:hAnsi="仿宋_GB2312" w:cs="仿宋_GB2312"/>
        </w:rPr>
        <w:t>7</w:t>
      </w:r>
      <w:r>
        <w:rPr>
          <w:rFonts w:hint="eastAsia" w:hAnsi="仿宋_GB2312" w:cs="仿宋_GB2312"/>
        </w:rPr>
        <w:t>年，90%以上中小学校达到智慧校园建设标准。</w:t>
      </w:r>
    </w:p>
    <w:p w14:paraId="6D6E011E">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责任部门：区科信局、区政务和数据局、区教委、区委网信办、区发展改革委、区财政局</w:t>
      </w:r>
    </w:p>
    <w:bookmarkEnd w:id="6"/>
    <w:bookmarkEnd w:id="7"/>
    <w:p w14:paraId="076F524A">
      <w:pPr>
        <w:widowControl w:val="0"/>
        <w:pBdr>
          <w:bottom w:val="single" w:color="FFFFFF" w:sz="4" w:space="28"/>
        </w:pBdr>
        <w:adjustRightInd w:val="0"/>
        <w:snapToGrid w:val="0"/>
        <w:ind w:firstLine="640" w:firstLineChars="200"/>
      </w:pPr>
      <w:r>
        <w:rPr>
          <w:rFonts w:hAnsi="仿宋"/>
          <w:bCs/>
          <w:snapToGrid w:val="0"/>
          <w:kern w:val="0"/>
        </w:rPr>
        <w:t>17</w:t>
      </w:r>
      <w:r>
        <w:rPr>
          <w:rFonts w:hint="eastAsia" w:hAnsi="仿宋"/>
          <w:bCs/>
          <w:snapToGrid w:val="0"/>
          <w:kern w:val="0"/>
        </w:rPr>
        <w:t>.</w:t>
      </w:r>
      <w:r>
        <w:rPr>
          <w:rFonts w:hint="eastAsia"/>
        </w:rPr>
        <w:t>营造安全稳定教育发展环境</w:t>
      </w:r>
      <w:r>
        <w:rPr>
          <w:rFonts w:hint="eastAsia" w:hAnsi="仿宋"/>
          <w:bCs/>
          <w:snapToGrid w:val="0"/>
          <w:kern w:val="0"/>
        </w:rPr>
        <w:t>。</w:t>
      </w:r>
      <w:r>
        <w:rPr>
          <w:rFonts w:hint="eastAsia" w:hAnsi="仿宋"/>
          <w:snapToGrid w:val="0"/>
          <w:kern w:val="0"/>
        </w:rPr>
        <w:t>健全政府统一领导、部门齐抓共管、各街乡镇组织落实、社会协同联动的学校安全工作机制</w:t>
      </w:r>
      <w:r>
        <w:rPr>
          <w:rFonts w:hint="eastAsia"/>
        </w:rPr>
        <w:t>，做好校园及周边环境秩序和交通综合治理，强化安全隐患排查和预防控制，持续推动安全生产治本攻坚三年行动落实见效。巩固校园餐集中整治成果，加强校内外供餐管理，深化“互联网+明厨亮灶”，提升学生在校就餐服务水平。发挥法治副校长和“</w:t>
      </w:r>
      <w:r>
        <w:rPr>
          <w:rFonts w:hint="eastAsia" w:cstheme="minorBidi"/>
        </w:rPr>
        <w:t>平安校园先议办公室”</w:t>
      </w:r>
      <w:r>
        <w:rPr>
          <w:rFonts w:hint="eastAsia"/>
        </w:rPr>
        <w:t>作用，完善校园欺凌和暴力行为早发现、早预防、早控制机制，健全校园安全纠纷多元化解机制和安全风险社会化分担机制，积极做好专门教育。到2027年，100%的中小学、幼儿园达到更高水平平安校园建设标准</w:t>
      </w:r>
      <w:r>
        <w:rPr>
          <w:rFonts w:hint="eastAsia" w:hAnsi="仿宋"/>
          <w:snapToGrid w:val="0"/>
          <w:kern w:val="0"/>
        </w:rPr>
        <w:t>。</w:t>
      </w:r>
    </w:p>
    <w:p w14:paraId="75311484">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责任部门：区委教育工委、区教委、区委政法委、区法院、区检察院、延庆公安分局、区司法局、区市场监管局、区财政局、区卫健委、消防救援局、区城管委、区交通局、延庆公路分局、各街乡镇</w:t>
      </w:r>
    </w:p>
    <w:p w14:paraId="7CE75B74">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（五）实施办学治校协同发展行动</w:t>
      </w:r>
    </w:p>
    <w:p w14:paraId="393D5A52">
      <w:pPr>
        <w:widowControl w:val="0"/>
        <w:pBdr>
          <w:bottom w:val="single" w:color="FFFFFF" w:sz="4" w:space="28"/>
        </w:pBdr>
        <w:adjustRightInd w:val="0"/>
        <w:snapToGrid w:val="0"/>
        <w:ind w:firstLine="640" w:firstLineChars="200"/>
      </w:pPr>
      <w:r>
        <w:t>18</w:t>
      </w:r>
      <w:r>
        <w:rPr>
          <w:rFonts w:hint="eastAsia"/>
        </w:rPr>
        <w:t>.加强社会参与治理。组建以政府部门、社会力量为主的延庆区教育发展理事会，每年对区域教育发展重点、难点和堵点问题进行专题研究不少于1次，并对学校发展进行视导。发动区级党政机关、资源单位、社会群体关心支持教育改革发展，建立教育发展基金项目，鼓励各类社会主体捐资参与区域教育发展建设。加大与基础教育名校、高等院校、教科研机构以及教育教学名家的合作力度，全面提升教育发展规划、重大事项决策、教育教学改革、办学治校等方面的水平，引领带动全区教育质量提升。</w:t>
      </w:r>
    </w:p>
    <w:p w14:paraId="31FF4B73">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责任部门：区委教育工委、区教委、区委统战部、区民政局、区国资委、区工商联、各街乡镇</w:t>
      </w:r>
    </w:p>
    <w:p w14:paraId="0C29E8EB">
      <w:pPr>
        <w:widowControl w:val="0"/>
        <w:pBdr>
          <w:bottom w:val="single" w:color="FFFFFF" w:sz="4" w:space="28"/>
        </w:pBdr>
        <w:adjustRightInd w:val="0"/>
        <w:snapToGrid w:val="0"/>
        <w:ind w:firstLine="640" w:firstLineChars="200"/>
        <w:rPr>
          <w:rFonts w:hAnsi="仿宋_GB2312" w:cs="仿宋_GB2312"/>
          <w:snapToGrid w:val="0"/>
          <w:kern w:val="0"/>
        </w:rPr>
      </w:pPr>
      <w:r>
        <w:t>19</w:t>
      </w:r>
      <w:r>
        <w:rPr>
          <w:rFonts w:hint="eastAsia"/>
        </w:rPr>
        <w:t>.构建协同育人“教联体”。</w:t>
      </w:r>
      <w:r>
        <w:rPr>
          <w:rFonts w:hint="eastAsia" w:hAnsi="仿宋_GB2312" w:cs="仿宋_GB2312"/>
          <w:snapToGrid w:val="0"/>
          <w:kern w:val="0"/>
        </w:rPr>
        <w:t>在每个街乡镇建立一个区域教育发展共同体，充分挖掘整合各类社会资源，构建学生综合实践、特色课程教学、家校社共育、劳动教育等实践基地。建立区域教育发展定期沟通协商机制，充分发挥教育助理作用，每学年集中协商不少于</w:t>
      </w:r>
      <w:r>
        <w:rPr>
          <w:rFonts w:hAnsi="仿宋_GB2312" w:cs="仿宋_GB2312"/>
          <w:snapToGrid w:val="0"/>
          <w:kern w:val="0"/>
        </w:rPr>
        <w:t>2</w:t>
      </w:r>
      <w:r>
        <w:rPr>
          <w:rFonts w:hint="eastAsia" w:hAnsi="仿宋_GB2312" w:cs="仿宋_GB2312"/>
          <w:snapToGrid w:val="0"/>
          <w:kern w:val="0"/>
        </w:rPr>
        <w:t>次，及时协调解决学校发展过程中的困难和问题。推动家校社协同育人，完善家长委员会组织机制，</w:t>
      </w:r>
      <w:bookmarkStart w:id="8" w:name="_Hlk192410056"/>
      <w:r>
        <w:rPr>
          <w:rFonts w:hint="eastAsia" w:hAnsi="仿宋_GB2312" w:cs="仿宋_GB2312"/>
          <w:snapToGrid w:val="0"/>
          <w:kern w:val="0"/>
        </w:rPr>
        <w:t>办好家长学校，开好家长会，</w:t>
      </w:r>
      <w:bookmarkEnd w:id="8"/>
      <w:r>
        <w:rPr>
          <w:rFonts w:hint="eastAsia" w:hAnsi="仿宋_GB2312" w:cs="仿宋_GB2312"/>
          <w:snapToGrid w:val="0"/>
          <w:kern w:val="0"/>
        </w:rPr>
        <w:t>落实全员家访、校长接访制度，探索家校共育课程化实施。组建中小学家庭教育指导师队伍，设立家校协调员。打造家校协同育人特色品牌，争创全国家校协同实验区。</w:t>
      </w:r>
    </w:p>
    <w:p w14:paraId="3500A66E">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责任部门：区委教育工委、区教委、区委政法委、区法院、区检察院、延庆公安分局、区司法局、区民政局、区妇联、各街乡镇</w:t>
      </w:r>
    </w:p>
    <w:p w14:paraId="7F1F8495">
      <w:pPr>
        <w:widowControl w:val="0"/>
        <w:pBdr>
          <w:bottom w:val="single" w:color="FFFFFF" w:sz="4" w:space="28"/>
        </w:pBdr>
        <w:adjustRightInd w:val="0"/>
        <w:snapToGrid w:val="0"/>
        <w:ind w:firstLine="640" w:firstLineChars="200"/>
        <w:rPr>
          <w:rFonts w:hAnsi="仿宋_GB2312" w:cs="仿宋_GB2312"/>
          <w:snapToGrid w:val="0"/>
          <w:kern w:val="0"/>
        </w:rPr>
      </w:pPr>
      <w:r>
        <w:t>20</w:t>
      </w:r>
      <w:r>
        <w:rPr>
          <w:rFonts w:hint="eastAsia"/>
        </w:rPr>
        <w:t>.完善教育督导机制。</w:t>
      </w:r>
      <w:r>
        <w:rPr>
          <w:rFonts w:hint="eastAsia" w:hAnsi="仿宋_GB2312" w:cs="仿宋_GB2312"/>
          <w:snapToGrid w:val="0"/>
          <w:kern w:val="0"/>
        </w:rPr>
        <w:t>深入实施责任督学挂牌督导，推进幼儿园办园质量督导评估，全面开展中小学校发展素质教育综合督导，推动以发展素质教育为导向、指向重点改革任务落实、涵盖德智体美劳全要素的“1+N”学校督导制度落地实施。强化学校内部督导，学校主要负责人亲自抓内部督导工作。鼓励公众参与教育督导，加强对教育督导结果的应用。引入第三方评估机构参与教育评估监测，提高评估结果的客观性和权威性，为改善教育管理与教育决策提供科学依据。</w:t>
      </w:r>
    </w:p>
    <w:p w14:paraId="1A0EB0B9">
      <w:pPr>
        <w:widowControl w:val="0"/>
        <w:pBdr>
          <w:bottom w:val="single" w:color="FFFFFF" w:sz="4" w:space="28"/>
        </w:pBdr>
        <w:adjustRightInd w:val="0"/>
        <w:snapToGrid w:val="0"/>
        <w:ind w:firstLine="640" w:firstLineChars="200"/>
        <w:rPr>
          <w:rFonts w:ascii="楷体_GB2312" w:hAnsi="楷体" w:eastAsia="楷体_GB2312"/>
        </w:rPr>
      </w:pPr>
      <w:r>
        <w:rPr>
          <w:rFonts w:hint="eastAsia" w:ascii="楷体_GB2312" w:hAnsi="楷体" w:eastAsia="楷体_GB2312"/>
        </w:rPr>
        <w:t>责任部门：区教委、区政府教育督导室</w:t>
      </w:r>
    </w:p>
    <w:p w14:paraId="61911342">
      <w:pPr>
        <w:widowControl w:val="0"/>
        <w:pBdr>
          <w:bottom w:val="single" w:color="FFFFFF" w:sz="4" w:space="28"/>
        </w:pBdr>
        <w:adjustRightInd w:val="0"/>
        <w:snapToGrid w:val="0"/>
        <w:ind w:firstLine="640" w:firstLineChars="200"/>
        <w:rPr>
          <w:rFonts w:ascii="黑体" w:hAnsi="黑体" w:eastAsia="黑体"/>
        </w:rPr>
      </w:pPr>
      <w:r>
        <w:rPr>
          <w:rFonts w:hint="eastAsia" w:ascii="黑体" w:hAnsi="黑体" w:eastAsia="黑体"/>
        </w:rPr>
        <w:t>四、保障措施</w:t>
      </w:r>
    </w:p>
    <w:p w14:paraId="74C2C879">
      <w:pPr>
        <w:widowControl w:val="0"/>
        <w:pBdr>
          <w:bottom w:val="single" w:color="FFFFFF" w:sz="4" w:space="28"/>
        </w:pBdr>
        <w:adjustRightInd w:val="0"/>
        <w:snapToGrid w:val="0"/>
        <w:ind w:firstLine="640" w:firstLineChars="200"/>
        <w:rPr>
          <w:rFonts w:cs="仿宋_GB2312"/>
        </w:rPr>
      </w:pPr>
      <w:r>
        <w:rPr>
          <w:rFonts w:hint="eastAsia" w:ascii="楷体_GB2312" w:hAnsi="楷体" w:eastAsia="楷体_GB2312" w:cs="仿宋_GB2312"/>
        </w:rPr>
        <w:t>（一）加强组织推动。</w:t>
      </w:r>
      <w:r>
        <w:rPr>
          <w:rFonts w:hint="eastAsia" w:cs="仿宋_GB2312"/>
        </w:rPr>
        <w:t>坚持教育优先发展，建立党委统一领导、党政齐抓共管、部门各负其责的教育领导体制，建立区领导联系学校工作制度，一体推进教育发展、科技创新、人才培养。</w:t>
      </w:r>
      <w:r>
        <w:rPr>
          <w:rFonts w:hint="eastAsia" w:cs="仿宋_GB2312"/>
          <w:lang w:bidi="ar"/>
        </w:rPr>
        <w:t>教育两委负责统筹谋划、综合协调和调度指导三年行动计划落实落地，</w:t>
      </w:r>
      <w:r>
        <w:rPr>
          <w:rFonts w:hint="eastAsia" w:cs="仿宋_GB2312"/>
        </w:rPr>
        <w:t>区委、区政府每年至少听取一次工作汇报</w:t>
      </w:r>
      <w:r>
        <w:rPr>
          <w:rFonts w:hint="eastAsia" w:cs="仿宋_GB2312"/>
          <w:lang w:bidi="ar"/>
        </w:rPr>
        <w:t>。</w:t>
      </w:r>
      <w:r>
        <w:rPr>
          <w:rFonts w:hint="eastAsia" w:cs="仿宋_GB2312"/>
        </w:rPr>
        <w:t>各相关部门和各街乡镇切实履行教育责任，鼓励引导各类社会主体捐资参与区域教育发展建设。</w:t>
      </w:r>
    </w:p>
    <w:p w14:paraId="4BFCF0B4">
      <w:pPr>
        <w:widowControl w:val="0"/>
        <w:pBdr>
          <w:bottom w:val="single" w:color="FFFFFF" w:sz="4" w:space="28"/>
        </w:pBdr>
        <w:adjustRightInd w:val="0"/>
        <w:snapToGrid w:val="0"/>
        <w:ind w:firstLine="640" w:firstLineChars="200"/>
        <w:rPr>
          <w:rFonts w:hAnsi="仿宋_GB2312" w:cs="仿宋_GB2312"/>
          <w:snapToGrid w:val="0"/>
          <w:kern w:val="0"/>
        </w:rPr>
      </w:pPr>
      <w:r>
        <w:rPr>
          <w:rFonts w:hint="eastAsia" w:ascii="楷体_GB2312" w:hAnsi="楷体" w:eastAsia="楷体_GB2312" w:cs="仿宋_GB2312"/>
        </w:rPr>
        <w:t>（二）强化部门联动。</w:t>
      </w:r>
      <w:r>
        <w:rPr>
          <w:rFonts w:hint="eastAsia" w:hAnsi="仿宋_GB2312" w:cs="仿宋_GB2312"/>
          <w:snapToGrid w:val="0"/>
          <w:kern w:val="0"/>
        </w:rPr>
        <w:t>区委教育工委、区教委要牵头抓总，细化落实方案，有序推进三年行动计划各项任务。区财政局要加大资金投入力度，优化财政支出结构，支持保障各项改革任务落实。区委组织部、区委编办、区人力社保局要为引进人才、师资配备、职称评审等提供支持和保障。区发展改革委、区住建委、</w:t>
      </w:r>
      <w:r>
        <w:rPr>
          <w:rFonts w:hint="eastAsia" w:hAnsi="仿宋_GB2312" w:cs="仿宋_GB2312"/>
          <w:snapToGrid w:val="0"/>
          <w:kern w:val="0"/>
          <w:lang w:eastAsia="zh-CN"/>
        </w:rPr>
        <w:t>市规划自然资源委</w:t>
      </w:r>
      <w:r>
        <w:rPr>
          <w:rFonts w:hint="eastAsia" w:hAnsi="仿宋_GB2312" w:cs="仿宋_GB2312"/>
          <w:snapToGrid w:val="0"/>
          <w:kern w:val="0"/>
        </w:rPr>
        <w:t>延庆分局、区政务和数据局等部门要在教育规划用地、工程建设、数字化升级等方面加大支持力度。区卫健委、区体育局、区文旅局、区市场监管局、区妇联等部门要落实部门责任，发挥关工委和“五老”助教作用，鼓励和引导社会力量支持教育改革发展。</w:t>
      </w:r>
    </w:p>
    <w:p w14:paraId="6F0599A7">
      <w:pPr>
        <w:widowControl w:val="0"/>
        <w:pBdr>
          <w:bottom w:val="single" w:color="FFFFFF" w:sz="4" w:space="28"/>
        </w:pBdr>
        <w:adjustRightInd w:val="0"/>
        <w:snapToGrid w:val="0"/>
        <w:ind w:firstLine="640" w:firstLineChars="200"/>
        <w:rPr>
          <w:rFonts w:hAnsi="仿宋_GB2312" w:cs="仿宋_GB2312"/>
          <w:snapToGrid w:val="0"/>
          <w:kern w:val="0"/>
        </w:rPr>
      </w:pPr>
      <w:r>
        <w:rPr>
          <w:rFonts w:hint="eastAsia" w:ascii="楷体_GB2312" w:hAnsi="楷体" w:eastAsia="楷体_GB2312" w:cs="仿宋_GB2312"/>
        </w:rPr>
        <w:t>（三）完善督导驱动。</w:t>
      </w:r>
      <w:r>
        <w:rPr>
          <w:rFonts w:hint="eastAsia" w:hAnsi="仿宋_GB2312" w:cs="仿宋_GB2312"/>
          <w:snapToGrid w:val="0"/>
          <w:kern w:val="0"/>
        </w:rPr>
        <w:t>区委、区政府每年定期召开教育改革发展推进会，及时研究解决三年行动计划实施过程中的困难和问题。区委教育工委、区教委要协调各街乡镇，指导各学校、幼儿园严格落实各项发展指标任务。区政府教育督导室把各街乡镇、</w:t>
      </w:r>
      <w:bookmarkStart w:id="9" w:name="_GoBack"/>
      <w:r>
        <w:rPr>
          <w:rFonts w:hint="eastAsia" w:hAnsi="仿宋_GB2312" w:cs="仿宋_GB2312"/>
          <w:snapToGrid w:val="0"/>
          <w:kern w:val="0"/>
        </w:rPr>
        <w:t>部门支持教育发展和各学校幼儿园落实重点任务情况，纳入督导</w:t>
      </w:r>
      <w:bookmarkEnd w:id="9"/>
      <w:r>
        <w:rPr>
          <w:rFonts w:hint="eastAsia" w:hAnsi="仿宋_GB2312" w:cs="仿宋_GB2312"/>
          <w:snapToGrid w:val="0"/>
          <w:kern w:val="0"/>
        </w:rPr>
        <w:t>评估内容，及时发现问题并督促整改。</w:t>
      </w:r>
    </w:p>
    <w:p w14:paraId="625B4C3C">
      <w:pPr>
        <w:widowControl w:val="0"/>
        <w:pBdr>
          <w:bottom w:val="single" w:color="FFFFFF" w:sz="4" w:space="28"/>
        </w:pBdr>
        <w:adjustRightInd w:val="0"/>
        <w:snapToGrid w:val="0"/>
        <w:ind w:firstLine="640" w:firstLineChars="200"/>
        <w:rPr>
          <w:rFonts w:hAnsi="仿宋_GB2312" w:cs="仿宋_GB2312"/>
          <w:snapToGrid w:val="0"/>
          <w:kern w:val="0"/>
        </w:rPr>
      </w:pPr>
      <w:r>
        <w:rPr>
          <w:rFonts w:hint="eastAsia" w:ascii="楷体_GB2312" w:hAnsi="楷体" w:eastAsia="楷体_GB2312" w:cs="仿宋_GB2312"/>
        </w:rPr>
        <w:t>（四）推进示范带动。</w:t>
      </w:r>
      <w:r>
        <w:rPr>
          <w:rFonts w:hint="eastAsia" w:hAnsi="仿宋_GB2312" w:cs="仿宋_GB2312"/>
          <w:snapToGrid w:val="0"/>
          <w:kern w:val="0"/>
        </w:rPr>
        <w:t>及时总结阶段性实践成果，解决一批问题、固化一批成果、形成一套机制。通过各级各类媒体平台和社会平台，系统策划主题，不断优化形式，加大对区域教育发展的宣传力度。加大对于优秀教师、优秀教育教学成果、典型教育事例的宣传，讲好延庆教育故事，提升社会各界对于延庆教育发展的认可度、满意度。动员全社会积极关心支持区域教育发展，营造良好的舆论氛围和社会环境。</w:t>
      </w:r>
    </w:p>
    <w:p w14:paraId="79D547D7">
      <w:pPr>
        <w:widowControl w:val="0"/>
        <w:pBdr>
          <w:bottom w:val="single" w:color="FFFFFF" w:sz="4" w:space="28"/>
        </w:pBdr>
        <w:adjustRightInd w:val="0"/>
        <w:snapToGrid w:val="0"/>
        <w:ind w:firstLine="640" w:firstLineChars="200"/>
      </w:pPr>
    </w:p>
    <w:p w14:paraId="45AA92BF">
      <w:pPr>
        <w:widowControl w:val="0"/>
        <w:pBdr>
          <w:bottom w:val="single" w:color="FFFFFF" w:sz="4" w:space="28"/>
        </w:pBdr>
        <w:ind w:firstLine="640" w:firstLineChars="200"/>
      </w:pPr>
      <w:r>
        <w:rPr>
          <w:rFonts w:hint="eastAsia"/>
        </w:rPr>
        <w:t>附件：延庆区“强基固本”教育改革与发展三年行动计划</w:t>
      </w:r>
    </w:p>
    <w:p w14:paraId="6E423CD6">
      <w:pPr>
        <w:widowControl w:val="0"/>
        <w:pBdr>
          <w:bottom w:val="single" w:color="FFFFFF" w:sz="4" w:space="28"/>
        </w:pBdr>
        <w:ind w:firstLine="1600" w:firstLineChars="500"/>
      </w:pPr>
      <w:r>
        <w:rPr>
          <w:rFonts w:hint="eastAsia"/>
        </w:rPr>
        <w:t>年度目标进度安排表</w:t>
      </w:r>
    </w:p>
    <w:p w14:paraId="336588CD">
      <w:pPr>
        <w:widowControl w:val="0"/>
        <w:pBdr>
          <w:bottom w:val="single" w:color="FFFFFF" w:sz="4" w:space="28"/>
        </w:pBdr>
        <w:adjustRightInd w:val="0"/>
        <w:snapToGrid w:val="0"/>
        <w:sectPr>
          <w:footerReference r:id="rId5" w:type="default"/>
          <w:footerReference r:id="rId6" w:type="even"/>
          <w:pgSz w:w="11906" w:h="16838"/>
          <w:pgMar w:top="1985" w:right="1474" w:bottom="1701" w:left="1588" w:header="851" w:footer="992" w:gutter="0"/>
          <w:pgNumType w:fmt="numberInDash"/>
          <w:cols w:space="0" w:num="1"/>
          <w:docGrid w:linePitch="435" w:charSpace="0"/>
        </w:sectPr>
      </w:pPr>
    </w:p>
    <w:p w14:paraId="381B45CC">
      <w:pPr>
        <w:widowControl w:val="0"/>
        <w:rPr>
          <w:rFonts w:ascii="黑体" w:hAnsi="黑体" w:eastAsia="黑体" w:cs="方正小标宋简体"/>
          <w:lang w:bidi="ar"/>
        </w:rPr>
      </w:pPr>
      <w:r>
        <w:rPr>
          <w:rFonts w:hint="eastAsia" w:ascii="黑体" w:hAnsi="黑体" w:eastAsia="黑体" w:cs="方正小标宋简体"/>
          <w:lang w:bidi="ar"/>
        </w:rPr>
        <w:t>附件</w:t>
      </w:r>
    </w:p>
    <w:p w14:paraId="77695DDA">
      <w:pPr>
        <w:widowControl w:val="0"/>
        <w:jc w:val="center"/>
        <w:rPr>
          <w:rFonts w:ascii="方正小标宋简体" w:eastAsia="方正小标宋简体" w:cs="黑体"/>
          <w:sz w:val="44"/>
          <w:szCs w:val="24"/>
          <w:lang w:bidi="ar"/>
        </w:rPr>
      </w:pPr>
      <w:r>
        <w:rPr>
          <w:rFonts w:hint="eastAsia" w:ascii="方正小标宋简体" w:eastAsia="方正小标宋简体" w:cs="方正小标宋简体"/>
          <w:sz w:val="44"/>
          <w:lang w:bidi="ar"/>
        </w:rPr>
        <w:t>延庆区“强基固本”教育改革与发展三年行动计划年度目标进度安排表</w:t>
      </w:r>
    </w:p>
    <w:tbl>
      <w:tblPr>
        <w:tblStyle w:val="8"/>
        <w:tblW w:w="1564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80"/>
        <w:gridCol w:w="1101"/>
        <w:gridCol w:w="4127"/>
        <w:gridCol w:w="4127"/>
        <w:gridCol w:w="4128"/>
      </w:tblGrid>
      <w:tr w14:paraId="3FF2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080" w:type="dxa"/>
            <w:vMerge w:val="restart"/>
            <w:tcBorders>
              <w:tl2br w:val="nil"/>
              <w:tr2bl w:val="nil"/>
            </w:tcBorders>
            <w:shd w:val="clear" w:color="auto" w:fill="auto"/>
            <w:noWrap/>
            <w:vAlign w:val="center"/>
          </w:tcPr>
          <w:p w14:paraId="54697A99">
            <w:pPr>
              <w:spacing w:line="240" w:lineRule="auto"/>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改革</w:t>
            </w:r>
          </w:p>
          <w:p w14:paraId="6C275437">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任务</w:t>
            </w:r>
          </w:p>
        </w:tc>
        <w:tc>
          <w:tcPr>
            <w:tcW w:w="1080" w:type="dxa"/>
            <w:vMerge w:val="restart"/>
            <w:tcBorders>
              <w:tl2br w:val="nil"/>
              <w:tr2bl w:val="nil"/>
            </w:tcBorders>
            <w:shd w:val="clear" w:color="auto" w:fill="auto"/>
            <w:noWrap/>
            <w:vAlign w:val="center"/>
          </w:tcPr>
          <w:p w14:paraId="6337599C">
            <w:pPr>
              <w:spacing w:line="240" w:lineRule="auto"/>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改革</w:t>
            </w:r>
          </w:p>
          <w:p w14:paraId="4C11FAF9">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措施</w:t>
            </w:r>
          </w:p>
        </w:tc>
        <w:tc>
          <w:tcPr>
            <w:tcW w:w="1101" w:type="dxa"/>
            <w:vMerge w:val="restart"/>
            <w:tcBorders>
              <w:tl2br w:val="nil"/>
              <w:tr2bl w:val="nil"/>
            </w:tcBorders>
            <w:shd w:val="clear" w:color="auto" w:fill="auto"/>
            <w:noWrap/>
            <w:vAlign w:val="center"/>
          </w:tcPr>
          <w:p w14:paraId="751F4AE0">
            <w:pPr>
              <w:spacing w:line="240" w:lineRule="auto"/>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责任</w:t>
            </w:r>
          </w:p>
          <w:p w14:paraId="68EDC22E">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部门</w:t>
            </w:r>
          </w:p>
        </w:tc>
        <w:tc>
          <w:tcPr>
            <w:tcW w:w="12382" w:type="dxa"/>
            <w:gridSpan w:val="3"/>
            <w:tcBorders>
              <w:tl2br w:val="nil"/>
              <w:tr2bl w:val="nil"/>
            </w:tcBorders>
            <w:shd w:val="clear" w:color="auto" w:fill="auto"/>
            <w:noWrap/>
            <w:vAlign w:val="center"/>
          </w:tcPr>
          <w:p w14:paraId="6F574E5D">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年度目标</w:t>
            </w:r>
          </w:p>
        </w:tc>
      </w:tr>
      <w:tr w14:paraId="4EC3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080" w:type="dxa"/>
            <w:vMerge w:val="continue"/>
            <w:tcBorders>
              <w:tl2br w:val="nil"/>
              <w:tr2bl w:val="nil"/>
            </w:tcBorders>
            <w:shd w:val="clear" w:color="auto" w:fill="auto"/>
            <w:noWrap/>
            <w:vAlign w:val="center"/>
          </w:tcPr>
          <w:p w14:paraId="35D4A0F7">
            <w:pPr>
              <w:spacing w:line="240" w:lineRule="auto"/>
              <w:jc w:val="center"/>
              <w:rPr>
                <w:rFonts w:ascii="黑体" w:hAnsi="宋体" w:eastAsia="黑体" w:cs="黑体"/>
                <w:sz w:val="22"/>
                <w:szCs w:val="22"/>
              </w:rPr>
            </w:pPr>
          </w:p>
        </w:tc>
        <w:tc>
          <w:tcPr>
            <w:tcW w:w="1080" w:type="dxa"/>
            <w:vMerge w:val="continue"/>
            <w:tcBorders>
              <w:tl2br w:val="nil"/>
              <w:tr2bl w:val="nil"/>
            </w:tcBorders>
            <w:shd w:val="clear" w:color="auto" w:fill="auto"/>
            <w:noWrap/>
            <w:vAlign w:val="center"/>
          </w:tcPr>
          <w:p w14:paraId="4B42E15C">
            <w:pPr>
              <w:spacing w:line="240" w:lineRule="auto"/>
              <w:jc w:val="center"/>
              <w:rPr>
                <w:rFonts w:ascii="黑体" w:hAnsi="宋体" w:eastAsia="黑体" w:cs="黑体"/>
                <w:sz w:val="22"/>
                <w:szCs w:val="22"/>
              </w:rPr>
            </w:pPr>
          </w:p>
        </w:tc>
        <w:tc>
          <w:tcPr>
            <w:tcW w:w="1101" w:type="dxa"/>
            <w:vMerge w:val="continue"/>
            <w:tcBorders>
              <w:tl2br w:val="nil"/>
              <w:tr2bl w:val="nil"/>
            </w:tcBorders>
            <w:shd w:val="clear" w:color="auto" w:fill="auto"/>
            <w:noWrap/>
            <w:vAlign w:val="center"/>
          </w:tcPr>
          <w:p w14:paraId="58B205ED">
            <w:pPr>
              <w:spacing w:line="240" w:lineRule="auto"/>
              <w:jc w:val="center"/>
              <w:rPr>
                <w:rFonts w:ascii="黑体" w:hAnsi="宋体" w:eastAsia="黑体" w:cs="黑体"/>
                <w:sz w:val="22"/>
                <w:szCs w:val="22"/>
              </w:rPr>
            </w:pPr>
          </w:p>
        </w:tc>
        <w:tc>
          <w:tcPr>
            <w:tcW w:w="4127" w:type="dxa"/>
            <w:tcBorders>
              <w:tl2br w:val="nil"/>
              <w:tr2bl w:val="nil"/>
            </w:tcBorders>
            <w:shd w:val="clear" w:color="auto" w:fill="auto"/>
            <w:noWrap/>
            <w:vAlign w:val="center"/>
          </w:tcPr>
          <w:p w14:paraId="307186EB">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2025年</w:t>
            </w:r>
          </w:p>
        </w:tc>
        <w:tc>
          <w:tcPr>
            <w:tcW w:w="4127" w:type="dxa"/>
            <w:tcBorders>
              <w:tl2br w:val="nil"/>
              <w:tr2bl w:val="nil"/>
            </w:tcBorders>
            <w:shd w:val="clear" w:color="auto" w:fill="auto"/>
            <w:noWrap/>
            <w:vAlign w:val="center"/>
          </w:tcPr>
          <w:p w14:paraId="0F8530C5">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2026年</w:t>
            </w:r>
          </w:p>
        </w:tc>
        <w:tc>
          <w:tcPr>
            <w:tcW w:w="4128" w:type="dxa"/>
            <w:tcBorders>
              <w:tl2br w:val="nil"/>
              <w:tr2bl w:val="nil"/>
            </w:tcBorders>
            <w:shd w:val="clear" w:color="auto" w:fill="auto"/>
            <w:noWrap/>
            <w:vAlign w:val="center"/>
          </w:tcPr>
          <w:p w14:paraId="4DB8EEDD">
            <w:pPr>
              <w:spacing w:line="240" w:lineRule="auto"/>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2027年</w:t>
            </w:r>
          </w:p>
        </w:tc>
      </w:tr>
      <w:tr w14:paraId="1DD93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1" w:hRule="atLeast"/>
        </w:trPr>
        <w:tc>
          <w:tcPr>
            <w:tcW w:w="1080" w:type="dxa"/>
            <w:vMerge w:val="restart"/>
            <w:tcBorders>
              <w:tl2br w:val="nil"/>
              <w:tr2bl w:val="nil"/>
            </w:tcBorders>
            <w:shd w:val="clear" w:color="auto" w:fill="auto"/>
            <w:vAlign w:val="center"/>
          </w:tcPr>
          <w:p w14:paraId="029ED950">
            <w:pPr>
              <w:spacing w:line="240" w:lineRule="exact"/>
              <w:textAlignment w:val="center"/>
              <w:rPr>
                <w:rFonts w:hAnsi="宋体" w:cs="仿宋_GB2312"/>
                <w:sz w:val="22"/>
                <w:szCs w:val="22"/>
              </w:rPr>
            </w:pPr>
            <w:r>
              <w:rPr>
                <w:rFonts w:hint="eastAsia" w:hAnsi="宋体" w:cs="仿宋_GB2312"/>
                <w:kern w:val="0"/>
                <w:sz w:val="22"/>
                <w:szCs w:val="22"/>
                <w:lang w:bidi="ar"/>
              </w:rPr>
              <w:t>（一）实施立德树人素养提升行动</w:t>
            </w:r>
          </w:p>
        </w:tc>
        <w:tc>
          <w:tcPr>
            <w:tcW w:w="1080" w:type="dxa"/>
            <w:tcBorders>
              <w:tl2br w:val="nil"/>
              <w:tr2bl w:val="nil"/>
            </w:tcBorders>
            <w:shd w:val="clear" w:color="auto" w:fill="auto"/>
            <w:vAlign w:val="center"/>
          </w:tcPr>
          <w:p w14:paraId="4CD97DF9">
            <w:pPr>
              <w:spacing w:line="240" w:lineRule="exact"/>
              <w:textAlignment w:val="center"/>
              <w:rPr>
                <w:rFonts w:hAnsi="宋体" w:cs="仿宋_GB2312"/>
                <w:sz w:val="22"/>
                <w:szCs w:val="22"/>
              </w:rPr>
            </w:pPr>
            <w:r>
              <w:rPr>
                <w:rFonts w:hint="eastAsia" w:hAnsi="宋体" w:cs="仿宋_GB2312"/>
                <w:kern w:val="0"/>
                <w:sz w:val="22"/>
                <w:szCs w:val="22"/>
                <w:lang w:bidi="ar"/>
              </w:rPr>
              <w:t>1.坚持和加强党的全面领导</w:t>
            </w:r>
          </w:p>
        </w:tc>
        <w:tc>
          <w:tcPr>
            <w:tcW w:w="1101" w:type="dxa"/>
            <w:tcBorders>
              <w:tl2br w:val="nil"/>
              <w:tr2bl w:val="nil"/>
            </w:tcBorders>
            <w:shd w:val="clear" w:color="auto" w:fill="auto"/>
            <w:vAlign w:val="center"/>
          </w:tcPr>
          <w:p w14:paraId="1C3C7A66">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区委教育工委、区委组织部、区委办公室、区政府办公室</w:t>
            </w:r>
          </w:p>
        </w:tc>
        <w:tc>
          <w:tcPr>
            <w:tcW w:w="4127" w:type="dxa"/>
            <w:tcBorders>
              <w:tl2br w:val="nil"/>
              <w:tr2bl w:val="nil"/>
            </w:tcBorders>
            <w:shd w:val="clear" w:color="auto" w:fill="auto"/>
            <w:vAlign w:val="center"/>
          </w:tcPr>
          <w:p w14:paraId="35D75417">
            <w:pPr>
              <w:spacing w:line="240" w:lineRule="exact"/>
              <w:textAlignment w:val="center"/>
              <w:rPr>
                <w:rFonts w:hAnsi="宋体" w:cs="仿宋_GB2312"/>
                <w:sz w:val="22"/>
                <w:szCs w:val="22"/>
              </w:rPr>
            </w:pPr>
            <w:r>
              <w:rPr>
                <w:rFonts w:hint="eastAsia" w:hAnsi="宋体" w:cs="仿宋_GB2312"/>
                <w:kern w:val="0"/>
                <w:sz w:val="22"/>
                <w:szCs w:val="22"/>
                <w:lang w:bidi="ar"/>
              </w:rPr>
              <w:t>研究制定区级教育工作联席会运行规则，召开联席会不少于1次。深化党组织领导的校长负责制改革，指导基层党组织完善19项改革制度。落实《关于进一步加强党建带团建、队建工作的指导意见（试行）》，加强对青少年的思想政治引领，推动教职工团支部规范落实“三会两制一课”制度，加大“新时代好少年”的选树和宣传力度。开展1次党组织书记抓基层党建述职评议考核，出台《延庆区教育系统基层党组织标准化、规范化建设评价量规》，按照比例确定先进、中间、后进党组织，开展分类提升计划，推选区级先进党组织参评北京市中小学校示范党组织评选活动，后进党组织转化率不低于50%，新增培育6个党建品牌。开展党员教育集中轮训1次。</w:t>
            </w:r>
          </w:p>
        </w:tc>
        <w:tc>
          <w:tcPr>
            <w:tcW w:w="4127" w:type="dxa"/>
            <w:tcBorders>
              <w:tl2br w:val="nil"/>
              <w:tr2bl w:val="nil"/>
            </w:tcBorders>
            <w:shd w:val="clear" w:color="auto" w:fill="auto"/>
            <w:vAlign w:val="center"/>
          </w:tcPr>
          <w:p w14:paraId="334B9E5D">
            <w:pPr>
              <w:spacing w:line="240" w:lineRule="exact"/>
              <w:textAlignment w:val="center"/>
              <w:rPr>
                <w:rFonts w:hAnsi="宋体" w:cs="仿宋_GB2312"/>
                <w:sz w:val="22"/>
                <w:szCs w:val="22"/>
              </w:rPr>
            </w:pPr>
            <w:r>
              <w:rPr>
                <w:rFonts w:hint="eastAsia" w:hAnsi="宋体" w:cs="仿宋_GB2312"/>
                <w:kern w:val="0"/>
                <w:sz w:val="22"/>
                <w:szCs w:val="22"/>
                <w:lang w:bidi="ar"/>
              </w:rPr>
              <w:t>召开区级教育工作联席会不少于1次。深化党组织领导的校长负责制改革，全覆盖审核备案基层党组织区级改革任务清单制度机制。落实《关于进一步加强党建带团建、队建工作的指导意见（试行）》，常态化开展用“童言童语”“青言青语”讲好党的创新理论的学习活动，深化以“新时代好少年”评选表彰为主体的青少年阶梯式成长激励体系。开展1次党组织书记抓基层党建述职评议考核、基层党组织规范化建设评价，持续开展分类提升计划、先进党组织创建评选活动，后进党组织100%实现整顿转化，新增培育6个党建品牌。开展党员教育集中轮训1次。</w:t>
            </w:r>
          </w:p>
        </w:tc>
        <w:tc>
          <w:tcPr>
            <w:tcW w:w="4128" w:type="dxa"/>
            <w:tcBorders>
              <w:tl2br w:val="nil"/>
              <w:tr2bl w:val="nil"/>
            </w:tcBorders>
            <w:shd w:val="clear" w:color="auto" w:fill="auto"/>
            <w:vAlign w:val="center"/>
          </w:tcPr>
          <w:p w14:paraId="1AF8F19D">
            <w:pPr>
              <w:spacing w:line="240" w:lineRule="exact"/>
              <w:textAlignment w:val="center"/>
              <w:rPr>
                <w:rFonts w:hAnsi="宋体" w:cs="仿宋_GB2312"/>
                <w:sz w:val="22"/>
                <w:szCs w:val="22"/>
              </w:rPr>
            </w:pPr>
            <w:r>
              <w:rPr>
                <w:rFonts w:hint="eastAsia" w:hAnsi="宋体" w:cs="仿宋_GB2312"/>
                <w:kern w:val="0"/>
                <w:sz w:val="22"/>
                <w:szCs w:val="22"/>
                <w:lang w:bidi="ar"/>
              </w:rPr>
              <w:t>召开区级教育工作联席会不少于1次。指导基层党组织根据工作实际完善改革相关制度机制。适时修订《关于进一步加强党建带团建、队建工作的指导意见》，规范做好团员、队员组织发展、教育管理工作，构建队员、团员、党员阶梯化培养链条。开展1次党组织书记抓基层党建述职评议考核、基层党组织规范化建设评价，开展新一轮分类提升计划、先进党组织创建评选活动，巩固后进党组织整顿转化成果，新增培育6个党建品牌。开展党员教育集中轮训1次。</w:t>
            </w:r>
          </w:p>
        </w:tc>
      </w:tr>
      <w:tr w14:paraId="15AC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6" w:hRule="atLeast"/>
        </w:trPr>
        <w:tc>
          <w:tcPr>
            <w:tcW w:w="1080" w:type="dxa"/>
            <w:vMerge w:val="continue"/>
            <w:tcBorders>
              <w:tl2br w:val="nil"/>
              <w:tr2bl w:val="nil"/>
            </w:tcBorders>
            <w:shd w:val="clear" w:color="auto" w:fill="auto"/>
            <w:vAlign w:val="center"/>
          </w:tcPr>
          <w:p w14:paraId="7A94AC5B">
            <w:pPr>
              <w:spacing w:line="240" w:lineRule="exact"/>
              <w:rPr>
                <w:rFonts w:hAnsi="宋体" w:cs="仿宋_GB2312"/>
                <w:sz w:val="22"/>
                <w:szCs w:val="22"/>
              </w:rPr>
            </w:pPr>
          </w:p>
        </w:tc>
        <w:tc>
          <w:tcPr>
            <w:tcW w:w="1080" w:type="dxa"/>
            <w:tcBorders>
              <w:tl2br w:val="nil"/>
              <w:tr2bl w:val="nil"/>
            </w:tcBorders>
            <w:shd w:val="clear" w:color="auto" w:fill="auto"/>
            <w:vAlign w:val="center"/>
          </w:tcPr>
          <w:p w14:paraId="1F3A22F6">
            <w:pPr>
              <w:spacing w:line="240" w:lineRule="exact"/>
              <w:textAlignment w:val="center"/>
              <w:rPr>
                <w:rFonts w:hAnsi="宋体" w:cs="仿宋_GB2312"/>
                <w:sz w:val="22"/>
                <w:szCs w:val="22"/>
              </w:rPr>
            </w:pPr>
            <w:r>
              <w:rPr>
                <w:rFonts w:hint="eastAsia" w:hAnsi="宋体" w:cs="仿宋_GB2312"/>
                <w:kern w:val="0"/>
                <w:sz w:val="22"/>
                <w:szCs w:val="22"/>
                <w:lang w:bidi="ar"/>
              </w:rPr>
              <w:t>2.构建“大思政课”育人格局</w:t>
            </w:r>
          </w:p>
        </w:tc>
        <w:tc>
          <w:tcPr>
            <w:tcW w:w="1101" w:type="dxa"/>
            <w:tcBorders>
              <w:tl2br w:val="nil"/>
              <w:tr2bl w:val="nil"/>
            </w:tcBorders>
            <w:shd w:val="clear" w:color="auto" w:fill="auto"/>
            <w:vAlign w:val="center"/>
          </w:tcPr>
          <w:p w14:paraId="309E94A2">
            <w:pPr>
              <w:adjustRightInd w:val="0"/>
              <w:snapToGrid w:val="0"/>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区委教育工委、区教委、区委宣传部、区文旅局、区国资委、区文物局、区退役军人局、团区委、区妇联、各街乡镇</w:t>
            </w:r>
          </w:p>
        </w:tc>
        <w:tc>
          <w:tcPr>
            <w:tcW w:w="4127" w:type="dxa"/>
            <w:tcBorders>
              <w:tl2br w:val="nil"/>
              <w:tr2bl w:val="nil"/>
            </w:tcBorders>
            <w:shd w:val="clear" w:color="auto" w:fill="auto"/>
            <w:vAlign w:val="center"/>
          </w:tcPr>
          <w:p w14:paraId="36556440">
            <w:pPr>
              <w:spacing w:line="240" w:lineRule="exact"/>
              <w:textAlignment w:val="center"/>
              <w:rPr>
                <w:rFonts w:hAnsi="宋体" w:cs="仿宋_GB2312"/>
                <w:sz w:val="22"/>
                <w:szCs w:val="22"/>
              </w:rPr>
            </w:pPr>
            <w:r>
              <w:rPr>
                <w:rStyle w:val="14"/>
                <w:rFonts w:hint="default" w:hAnsi="宋体"/>
                <w:color w:val="auto"/>
                <w:lang w:bidi="ar"/>
              </w:rPr>
              <w:t>实施中小学思政课内涵发展与质量提升行动，建设一体化教研组，纳入常态集体教研和一体备课，组织1次实践教学基地（点）现场教研，提升思政教师大思政综合教学能力，推荐2所学校开展思政课教学成果展示活动，推荐课例不少于10节，纳入思政课例资源库。建立健全党政干部进校园开展思想政治教育长效机制，鼓励党员教师讲思政课，</w:t>
            </w:r>
            <w:r>
              <w:rPr>
                <w:rFonts w:hint="eastAsia" w:hAnsi="宋体" w:cs="仿宋_GB2312"/>
                <w:kern w:val="0"/>
                <w:sz w:val="22"/>
                <w:szCs w:val="22"/>
                <w:lang w:bidi="ar"/>
              </w:rPr>
              <w:t>思政课教师、班主任等重点人群党员比例达到80%</w:t>
            </w:r>
            <w:r>
              <w:rPr>
                <w:rStyle w:val="14"/>
                <w:rFonts w:hint="default" w:hAnsi="宋体"/>
                <w:color w:val="auto"/>
                <w:lang w:bidi="ar"/>
              </w:rPr>
              <w:t>。拓展育人渠道，用好社会大课堂，梳理区域大课堂资源单位，建立评优与退出机制。构建“15分钟思政教育圈”，开发区级思政课实践教学基地12个，完善校内实践教学点10个。</w:t>
            </w:r>
          </w:p>
        </w:tc>
        <w:tc>
          <w:tcPr>
            <w:tcW w:w="4127" w:type="dxa"/>
            <w:tcBorders>
              <w:tl2br w:val="nil"/>
              <w:tr2bl w:val="nil"/>
            </w:tcBorders>
            <w:shd w:val="clear" w:color="auto" w:fill="auto"/>
            <w:vAlign w:val="center"/>
          </w:tcPr>
          <w:p w14:paraId="264F6CE6">
            <w:pPr>
              <w:spacing w:line="240" w:lineRule="exact"/>
              <w:textAlignment w:val="center"/>
              <w:rPr>
                <w:rFonts w:hAnsi="宋体" w:cs="仿宋_GB2312"/>
                <w:sz w:val="22"/>
                <w:szCs w:val="22"/>
              </w:rPr>
            </w:pPr>
            <w:r>
              <w:rPr>
                <w:rStyle w:val="14"/>
                <w:rFonts w:hint="default" w:hAnsi="宋体"/>
                <w:color w:val="auto"/>
                <w:lang w:bidi="ar"/>
              </w:rPr>
              <w:t>实施中小学思政课内涵发展与质量提升行动，依托一体化教研组开展2次跨学段联合教研、1次实践教学基地（点）现场教研，提升思政教师大思政综合教学能力，推荐2所学校开展思政课教学成果展示活动，推荐课例不少于15节，纳入思政课例资源库。建立健全党政干部进校园开展思想政治教育长效机制，鼓励党员教师讲思政课，</w:t>
            </w:r>
            <w:r>
              <w:rPr>
                <w:rFonts w:hint="eastAsia" w:hAnsi="宋体" w:cs="仿宋_GB2312"/>
                <w:kern w:val="0"/>
                <w:sz w:val="22"/>
                <w:szCs w:val="22"/>
                <w:lang w:bidi="ar"/>
              </w:rPr>
              <w:t>思政课教师、班主任等重点人群党员比例达到80%</w:t>
            </w:r>
            <w:r>
              <w:rPr>
                <w:rStyle w:val="14"/>
                <w:rFonts w:hint="default" w:hAnsi="宋体"/>
                <w:color w:val="auto"/>
                <w:lang w:bidi="ar"/>
              </w:rPr>
              <w:t>。拓展育人渠道，用好社会大课堂，指导大课堂资源单位开发实践课程，丰富学生实践活动。构建“15分钟思政教育圈”，新增区级思政课实践教学基地4个，完善校内实践教学点15个。</w:t>
            </w:r>
          </w:p>
        </w:tc>
        <w:tc>
          <w:tcPr>
            <w:tcW w:w="4128" w:type="dxa"/>
            <w:tcBorders>
              <w:tl2br w:val="nil"/>
              <w:tr2bl w:val="nil"/>
            </w:tcBorders>
            <w:shd w:val="clear" w:color="auto" w:fill="auto"/>
            <w:vAlign w:val="center"/>
          </w:tcPr>
          <w:p w14:paraId="573182D5">
            <w:pPr>
              <w:spacing w:line="240" w:lineRule="exact"/>
              <w:textAlignment w:val="center"/>
              <w:rPr>
                <w:rFonts w:hAnsi="宋体" w:cs="仿宋_GB2312"/>
                <w:sz w:val="22"/>
                <w:szCs w:val="22"/>
              </w:rPr>
            </w:pPr>
            <w:r>
              <w:rPr>
                <w:rStyle w:val="14"/>
                <w:rFonts w:hint="default" w:hAnsi="宋体"/>
                <w:color w:val="auto"/>
                <w:lang w:bidi="ar"/>
              </w:rPr>
              <w:t>实施中小学思政课内涵发展与质量提升行动，依托一体化教研组开展2次跨学段联合教研、1次实践教学基地（点）现场教研，提升思政教师大思政综合教学能力，推荐2所学校开展思政课教学成果展示活动，推荐课例不少于20节，完成思政课例资源库建设。建立健全党政干部进校园开展思想政治教育长效机制，鼓励党员教师讲思政课，</w:t>
            </w:r>
            <w:r>
              <w:rPr>
                <w:rFonts w:hint="eastAsia" w:hAnsi="宋体" w:cs="仿宋_GB2312"/>
                <w:kern w:val="0"/>
                <w:sz w:val="22"/>
                <w:szCs w:val="22"/>
                <w:lang w:bidi="ar"/>
              </w:rPr>
              <w:t>思政课教师、班主任等重点人群党员比例达到80%</w:t>
            </w:r>
            <w:r>
              <w:rPr>
                <w:rStyle w:val="14"/>
                <w:rFonts w:hint="default" w:hAnsi="宋体"/>
                <w:color w:val="auto"/>
                <w:lang w:bidi="ar"/>
              </w:rPr>
              <w:t>。拓展育人渠道，用好社会大课堂，指导大课堂资源单位研制实践教学课例集。构建“15分钟思政教育圈”，区级思政课实践教学基地达到20个，建立课程体系健全的40个校内实践教学点。</w:t>
            </w:r>
          </w:p>
        </w:tc>
      </w:tr>
      <w:tr w14:paraId="5962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8" w:hRule="atLeast"/>
        </w:trPr>
        <w:tc>
          <w:tcPr>
            <w:tcW w:w="1080" w:type="dxa"/>
            <w:vMerge w:val="restart"/>
            <w:tcBorders>
              <w:tl2br w:val="nil"/>
              <w:tr2bl w:val="nil"/>
            </w:tcBorders>
            <w:shd w:val="clear" w:color="auto" w:fill="auto"/>
            <w:vAlign w:val="center"/>
          </w:tcPr>
          <w:p w14:paraId="5E537D5F">
            <w:pPr>
              <w:spacing w:line="240" w:lineRule="exact"/>
              <w:textAlignment w:val="center"/>
              <w:rPr>
                <w:rFonts w:hAnsi="宋体" w:cs="仿宋_GB2312"/>
                <w:sz w:val="22"/>
                <w:szCs w:val="22"/>
              </w:rPr>
            </w:pPr>
            <w:r>
              <w:rPr>
                <w:rFonts w:hint="eastAsia" w:hAnsi="宋体" w:cs="仿宋_GB2312"/>
                <w:kern w:val="0"/>
                <w:sz w:val="22"/>
                <w:szCs w:val="22"/>
                <w:lang w:bidi="ar"/>
              </w:rPr>
              <w:t>（一）实施立德树人素养提升行动</w:t>
            </w:r>
          </w:p>
        </w:tc>
        <w:tc>
          <w:tcPr>
            <w:tcW w:w="1080" w:type="dxa"/>
            <w:tcBorders>
              <w:tl2br w:val="nil"/>
              <w:tr2bl w:val="nil"/>
            </w:tcBorders>
            <w:shd w:val="clear" w:color="auto" w:fill="auto"/>
            <w:vAlign w:val="center"/>
          </w:tcPr>
          <w:p w14:paraId="7422C058">
            <w:pPr>
              <w:spacing w:line="240" w:lineRule="exact"/>
              <w:textAlignment w:val="center"/>
              <w:rPr>
                <w:rFonts w:hAnsi="宋体" w:cs="仿宋_GB2312"/>
                <w:sz w:val="22"/>
                <w:szCs w:val="22"/>
              </w:rPr>
            </w:pPr>
            <w:r>
              <w:rPr>
                <w:rFonts w:hint="eastAsia" w:hAnsi="宋体" w:cs="仿宋_GB2312"/>
                <w:kern w:val="0"/>
                <w:sz w:val="22"/>
                <w:szCs w:val="22"/>
                <w:lang w:bidi="ar"/>
              </w:rPr>
              <w:t>3.提升学生身心健康水平</w:t>
            </w:r>
          </w:p>
        </w:tc>
        <w:tc>
          <w:tcPr>
            <w:tcW w:w="1101" w:type="dxa"/>
            <w:tcBorders>
              <w:tl2br w:val="nil"/>
              <w:tr2bl w:val="nil"/>
            </w:tcBorders>
            <w:shd w:val="clear" w:color="auto" w:fill="auto"/>
            <w:vAlign w:val="center"/>
          </w:tcPr>
          <w:p w14:paraId="4BFF7D0F">
            <w:pPr>
              <w:spacing w:line="240" w:lineRule="exact"/>
              <w:textAlignment w:val="center"/>
              <w:rPr>
                <w:rFonts w:hAnsi="宋体" w:cs="仿宋_GB2312"/>
                <w:sz w:val="22"/>
                <w:szCs w:val="22"/>
              </w:rPr>
            </w:pPr>
            <w:r>
              <w:rPr>
                <w:rFonts w:hint="eastAsia" w:hAnsi="宋体" w:cs="仿宋_GB2312"/>
                <w:kern w:val="0"/>
                <w:sz w:val="22"/>
                <w:szCs w:val="22"/>
                <w:lang w:bidi="ar"/>
              </w:rPr>
              <w:t>区教委、区体育局、区卫健委、区财政局、团区委、区妇联</w:t>
            </w:r>
          </w:p>
        </w:tc>
        <w:tc>
          <w:tcPr>
            <w:tcW w:w="4127" w:type="dxa"/>
            <w:tcBorders>
              <w:tl2br w:val="nil"/>
              <w:tr2bl w:val="nil"/>
            </w:tcBorders>
            <w:shd w:val="clear" w:color="auto" w:fill="auto"/>
            <w:vAlign w:val="center"/>
          </w:tcPr>
          <w:p w14:paraId="552C7510">
            <w:pPr>
              <w:spacing w:line="240" w:lineRule="exact"/>
              <w:textAlignment w:val="center"/>
              <w:rPr>
                <w:rFonts w:hAnsi="宋体" w:cs="仿宋_GB2312"/>
                <w:sz w:val="22"/>
                <w:szCs w:val="22"/>
              </w:rPr>
            </w:pPr>
            <w:r>
              <w:rPr>
                <w:rStyle w:val="14"/>
                <w:rFonts w:hint="default" w:hAnsi="宋体"/>
                <w:color w:val="auto"/>
                <w:lang w:bidi="ar"/>
              </w:rPr>
              <w:t>实施中小学体质健康提升行动，以小学跳绳、中学引体向上为突破口，规范常规体育课堂教学，提高课间一刻钟活动实效，探索区校两级班级赛体系建设，国家学生体质健康监测及格率达到98%，优秀率达到21%，优良率超过70%。开展“光亮未来”专项行动，加强儿童青少年近视监测与干预，重点加大幼儿防控，降低近视新发率。</w:t>
            </w:r>
            <w:r>
              <w:rPr>
                <w:rFonts w:hint="eastAsia" w:hAnsi="宋体" w:cs="仿宋_GB2312"/>
                <w:kern w:val="0"/>
                <w:sz w:val="22"/>
                <w:szCs w:val="22"/>
                <w:lang w:bidi="ar"/>
              </w:rPr>
              <w:t>开齐心理健康教育课，学校心理辅导室定时开放，提高专职心理教师配备比例，中学达到68.4%，小学达到38%。开展中小学教师全员心理健康教育素养提升实训，完成16学时培训。加强青少年足球人才培养改革试点区建设，</w:t>
            </w:r>
            <w:r>
              <w:rPr>
                <w:rStyle w:val="14"/>
                <w:rFonts w:hint="default" w:hAnsi="宋体"/>
                <w:color w:val="auto"/>
                <w:lang w:bidi="ar"/>
              </w:rPr>
              <w:t>冰雪普及人数5000人，培养1-2名国家一、二级运动员。</w:t>
            </w:r>
          </w:p>
        </w:tc>
        <w:tc>
          <w:tcPr>
            <w:tcW w:w="4127" w:type="dxa"/>
            <w:tcBorders>
              <w:tl2br w:val="nil"/>
              <w:tr2bl w:val="nil"/>
            </w:tcBorders>
            <w:shd w:val="clear" w:color="auto" w:fill="auto"/>
            <w:vAlign w:val="center"/>
          </w:tcPr>
          <w:p w14:paraId="33BF2568">
            <w:pPr>
              <w:spacing w:line="240" w:lineRule="exact"/>
              <w:textAlignment w:val="center"/>
              <w:rPr>
                <w:rFonts w:hAnsi="宋体" w:cs="仿宋_GB2312"/>
                <w:sz w:val="22"/>
                <w:szCs w:val="22"/>
              </w:rPr>
            </w:pPr>
            <w:r>
              <w:rPr>
                <w:rStyle w:val="14"/>
                <w:rFonts w:hint="default" w:hAnsi="宋体"/>
                <w:color w:val="auto"/>
                <w:lang w:bidi="ar"/>
              </w:rPr>
              <w:t>实施中小学体质健康提升行动，国家学生体质健康监测及格率达到98%，优秀率达到22%，优良率超过70%。全面实施区校两级班级赛。持续推进“光亮未来”专项行动，加强儿童青少年近视防控的监测和干预，近视率逐年下降。</w:t>
            </w:r>
            <w:r>
              <w:rPr>
                <w:rFonts w:hint="eastAsia" w:hAnsi="宋体" w:cs="仿宋_GB2312"/>
                <w:kern w:val="0"/>
                <w:sz w:val="22"/>
                <w:szCs w:val="22"/>
                <w:lang w:bidi="ar"/>
              </w:rPr>
              <w:t>开齐心理健康教育课，开展心理健康教育优秀课例征集。提高专职心理教师配备比例，中学达到82%，小学达到55%。根据市教委统一安排，试点开展心理测评工作。开展心理剧创编展演活动，评选优秀剧目8个。加强青少年足球人才培养改革试点区建设，</w:t>
            </w:r>
            <w:r>
              <w:rPr>
                <w:rStyle w:val="14"/>
                <w:rFonts w:hint="default" w:hAnsi="宋体"/>
                <w:color w:val="auto"/>
                <w:lang w:bidi="ar"/>
              </w:rPr>
              <w:t>冰雪普及人数5000人，培养1-2名国家一、二级运动员。</w:t>
            </w:r>
          </w:p>
        </w:tc>
        <w:tc>
          <w:tcPr>
            <w:tcW w:w="4128" w:type="dxa"/>
            <w:tcBorders>
              <w:tl2br w:val="nil"/>
              <w:tr2bl w:val="nil"/>
            </w:tcBorders>
            <w:shd w:val="clear" w:color="auto" w:fill="auto"/>
            <w:vAlign w:val="center"/>
          </w:tcPr>
          <w:p w14:paraId="3273A159">
            <w:pPr>
              <w:spacing w:line="240" w:lineRule="exact"/>
              <w:textAlignment w:val="center"/>
              <w:rPr>
                <w:rFonts w:hAnsi="宋体" w:cs="仿宋_GB2312"/>
                <w:sz w:val="22"/>
                <w:szCs w:val="22"/>
              </w:rPr>
            </w:pPr>
            <w:r>
              <w:rPr>
                <w:rStyle w:val="14"/>
                <w:rFonts w:hint="default" w:hAnsi="宋体"/>
                <w:color w:val="auto"/>
                <w:lang w:bidi="ar"/>
              </w:rPr>
              <w:t>实施中小学体质健康提升行动，国家学生体质健康监测及格率达到98%，优秀率达到23%，优良率超过70%。巩固班级赛推进的成果，儿童青少年近视率逐年下降，每名毕业生掌握至少1-2项运动技能，学生体质健康水平位于生态涵养区前列。</w:t>
            </w:r>
            <w:r>
              <w:rPr>
                <w:rFonts w:hint="eastAsia" w:hAnsi="宋体" w:cs="仿宋_GB2312"/>
                <w:kern w:val="0"/>
                <w:sz w:val="22"/>
                <w:szCs w:val="22"/>
                <w:lang w:bidi="ar"/>
              </w:rPr>
              <w:t>开齐心理健康教育课，形成优秀课例集。提高专职心理教师配备比例，中学达到100%，小学达到81%。根据市教委安排，全面开展心理测评。开展心理剧创编展演活动，评选优秀剧目10个，初步形成我区心理剧脚本库。加强青少年足球人才培养改革试点区建设，</w:t>
            </w:r>
            <w:r>
              <w:rPr>
                <w:rStyle w:val="14"/>
                <w:rFonts w:hint="default" w:hAnsi="宋体"/>
                <w:color w:val="auto"/>
                <w:lang w:bidi="ar"/>
              </w:rPr>
              <w:t>冰雪普及人数5000人，培养1-2名国家一、二级运动员。</w:t>
            </w:r>
          </w:p>
        </w:tc>
      </w:tr>
      <w:tr w14:paraId="211BB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6" w:hRule="atLeast"/>
        </w:trPr>
        <w:tc>
          <w:tcPr>
            <w:tcW w:w="1080" w:type="dxa"/>
            <w:vMerge w:val="continue"/>
            <w:tcBorders>
              <w:tl2br w:val="nil"/>
              <w:tr2bl w:val="nil"/>
            </w:tcBorders>
            <w:shd w:val="clear" w:color="auto" w:fill="auto"/>
            <w:vAlign w:val="center"/>
          </w:tcPr>
          <w:p w14:paraId="1415EFBE">
            <w:pPr>
              <w:spacing w:line="240" w:lineRule="exact"/>
              <w:rPr>
                <w:rFonts w:hAnsi="宋体" w:cs="仿宋_GB2312"/>
                <w:sz w:val="22"/>
                <w:szCs w:val="22"/>
              </w:rPr>
            </w:pPr>
          </w:p>
        </w:tc>
        <w:tc>
          <w:tcPr>
            <w:tcW w:w="1080" w:type="dxa"/>
            <w:tcBorders>
              <w:tl2br w:val="nil"/>
              <w:tr2bl w:val="nil"/>
            </w:tcBorders>
            <w:shd w:val="clear" w:color="auto" w:fill="auto"/>
            <w:vAlign w:val="center"/>
          </w:tcPr>
          <w:p w14:paraId="04CEBDC0">
            <w:pPr>
              <w:spacing w:line="240" w:lineRule="exact"/>
              <w:textAlignment w:val="center"/>
              <w:rPr>
                <w:rFonts w:hAnsi="宋体" w:cs="仿宋_GB2312"/>
                <w:sz w:val="22"/>
                <w:szCs w:val="22"/>
              </w:rPr>
            </w:pPr>
            <w:r>
              <w:rPr>
                <w:rFonts w:hint="eastAsia" w:hAnsi="宋体" w:cs="仿宋_GB2312"/>
                <w:kern w:val="0"/>
                <w:sz w:val="22"/>
                <w:szCs w:val="22"/>
                <w:lang w:bidi="ar"/>
              </w:rPr>
              <w:t>4.提高学生综合素养和实践能力</w:t>
            </w:r>
          </w:p>
        </w:tc>
        <w:tc>
          <w:tcPr>
            <w:tcW w:w="1101" w:type="dxa"/>
            <w:tcBorders>
              <w:tl2br w:val="nil"/>
              <w:tr2bl w:val="nil"/>
            </w:tcBorders>
            <w:shd w:val="clear" w:color="auto" w:fill="auto"/>
            <w:vAlign w:val="center"/>
          </w:tcPr>
          <w:p w14:paraId="4E3365A0">
            <w:pPr>
              <w:spacing w:line="240" w:lineRule="exact"/>
              <w:textAlignment w:val="center"/>
              <w:rPr>
                <w:rFonts w:hAnsi="宋体" w:cs="仿宋_GB2312"/>
                <w:sz w:val="22"/>
                <w:szCs w:val="22"/>
              </w:rPr>
            </w:pPr>
            <w:r>
              <w:rPr>
                <w:rFonts w:hint="eastAsia" w:hAnsi="宋体" w:cs="仿宋_GB2312"/>
                <w:kern w:val="0"/>
                <w:sz w:val="22"/>
                <w:szCs w:val="22"/>
                <w:lang w:bidi="ar"/>
              </w:rPr>
              <w:t>区教委、团区委、区文旅局、区财政局、区文联、区工商联、各街乡镇</w:t>
            </w:r>
          </w:p>
        </w:tc>
        <w:tc>
          <w:tcPr>
            <w:tcW w:w="4127" w:type="dxa"/>
            <w:tcBorders>
              <w:tl2br w:val="nil"/>
              <w:tr2bl w:val="nil"/>
            </w:tcBorders>
            <w:shd w:val="clear" w:color="auto" w:fill="auto"/>
            <w:vAlign w:val="center"/>
          </w:tcPr>
          <w:p w14:paraId="5FBED18C">
            <w:pPr>
              <w:spacing w:line="240" w:lineRule="exact"/>
              <w:textAlignment w:val="center"/>
              <w:rPr>
                <w:rFonts w:hAnsi="宋体" w:cs="仿宋_GB2312"/>
                <w:sz w:val="22"/>
                <w:szCs w:val="22"/>
              </w:rPr>
            </w:pPr>
            <w:r>
              <w:rPr>
                <w:rStyle w:val="14"/>
                <w:rFonts w:hint="default" w:hAnsi="宋体"/>
                <w:color w:val="auto"/>
                <w:lang w:bidi="ar"/>
              </w:rPr>
              <w:t>开展青少年学生读书行动和汉字规范书写行动，制定工作方案，开展项目式阅读及跨学科主题阅读。</w:t>
            </w:r>
            <w:r>
              <w:rPr>
                <w:rFonts w:hint="eastAsia" w:hAnsi="宋体" w:cs="仿宋_GB2312"/>
                <w:kern w:val="0"/>
                <w:sz w:val="22"/>
                <w:szCs w:val="22"/>
                <w:lang w:bidi="ar"/>
              </w:rPr>
              <w:t>出台中小学美育浸润行动工作方案，推进竹马、葫芦烫画等区域特色艺术进校园，举办1次艺术展演或艺术专项展示。</w:t>
            </w:r>
            <w:r>
              <w:rPr>
                <w:rStyle w:val="14"/>
                <w:rFonts w:hint="default" w:hAnsi="宋体"/>
                <w:color w:val="auto"/>
                <w:lang w:bidi="ar"/>
              </w:rPr>
              <w:t>完成劳动教育特色课程方案，开齐开足劳动教育课程，各学科科学融入劳动教育内容，形成中小幼贯通的劳动教育课程体系，中小学生每学年至少参加3次社会大课堂实践活动，将劳动教育学习和实践情况纳入学生综合素质评价。指导各中小学校制定劳动教育清单，将5月第2周设为“学生劳动教育宣传实践周”，启动劳动教育达标学校创建工作，建立区级劳动教育基地14个、基地校6所。</w:t>
            </w:r>
          </w:p>
        </w:tc>
        <w:tc>
          <w:tcPr>
            <w:tcW w:w="4127" w:type="dxa"/>
            <w:tcBorders>
              <w:tl2br w:val="nil"/>
              <w:tr2bl w:val="nil"/>
            </w:tcBorders>
            <w:shd w:val="clear" w:color="auto" w:fill="auto"/>
            <w:vAlign w:val="center"/>
          </w:tcPr>
          <w:p w14:paraId="6160E5FF">
            <w:pPr>
              <w:spacing w:line="240" w:lineRule="exact"/>
              <w:textAlignment w:val="center"/>
              <w:rPr>
                <w:rFonts w:hAnsi="宋体" w:cs="仿宋_GB2312"/>
                <w:sz w:val="22"/>
                <w:szCs w:val="22"/>
              </w:rPr>
            </w:pPr>
            <w:r>
              <w:rPr>
                <w:rStyle w:val="14"/>
                <w:rFonts w:hint="default" w:hAnsi="宋体"/>
                <w:color w:val="auto"/>
                <w:lang w:bidi="ar"/>
              </w:rPr>
              <w:t>持续开展青少年学生读书行动和汉字规范书写行动，输送图书馆资源进班级，每名学生每学期阅读3本书籍，持续开展项目式阅读及跨学科主题阅读。</w:t>
            </w:r>
            <w:r>
              <w:rPr>
                <w:rFonts w:hint="eastAsia" w:hAnsi="宋体" w:cs="仿宋_GB2312"/>
                <w:kern w:val="0"/>
                <w:sz w:val="22"/>
                <w:szCs w:val="22"/>
                <w:lang w:bidi="ar"/>
              </w:rPr>
              <w:t>落实中小学美育浸润行动，开展区校两级常态化艺术展演活动，持续推进合唱特色。</w:t>
            </w:r>
            <w:r>
              <w:rPr>
                <w:rStyle w:val="14"/>
                <w:rFonts w:hint="default" w:hAnsi="宋体"/>
                <w:color w:val="auto"/>
                <w:lang w:bidi="ar"/>
              </w:rPr>
              <w:t>落实劳动教育特色课程方案，形成中小幼贯通的劳动教育课程体系，中小学生每学年至少参加3次社会大课堂实践活动，将劳动教育学习和实践情况纳入学生综合素质评价。指导各中小学校完善劳动教育清单，深化“学生劳动教育宣传实践周”活动，推进劳动教育达标学校创建工作，建立区级劳动教育基地17个、基地校15所。</w:t>
            </w:r>
          </w:p>
        </w:tc>
        <w:tc>
          <w:tcPr>
            <w:tcW w:w="4128" w:type="dxa"/>
            <w:tcBorders>
              <w:tl2br w:val="nil"/>
              <w:tr2bl w:val="nil"/>
            </w:tcBorders>
            <w:shd w:val="clear" w:color="auto" w:fill="auto"/>
            <w:vAlign w:val="center"/>
          </w:tcPr>
          <w:p w14:paraId="5FB50643">
            <w:pPr>
              <w:spacing w:line="240" w:lineRule="exact"/>
              <w:textAlignment w:val="center"/>
              <w:rPr>
                <w:rFonts w:hAnsi="宋体" w:cs="仿宋_GB2312"/>
                <w:sz w:val="22"/>
                <w:szCs w:val="22"/>
              </w:rPr>
            </w:pPr>
            <w:r>
              <w:rPr>
                <w:rStyle w:val="14"/>
                <w:rFonts w:hint="default" w:hAnsi="宋体"/>
                <w:color w:val="auto"/>
                <w:lang w:bidi="ar"/>
              </w:rPr>
              <w:t>持续开展青少年学生读书行动和汉字规范书写行动，各中小学打造项目式阅读及跨学科主题阅读品牌。</w:t>
            </w:r>
            <w:r>
              <w:rPr>
                <w:rFonts w:hint="eastAsia" w:hAnsi="宋体" w:cs="仿宋_GB2312"/>
                <w:kern w:val="0"/>
                <w:sz w:val="22"/>
                <w:szCs w:val="22"/>
                <w:lang w:bidi="ar"/>
              </w:rPr>
              <w:t>持续推进中小学美育浸润行动，优化学校社团建设，创建美育特色学校不少于17所，积极打造市级高水平学生社团。</w:t>
            </w:r>
            <w:r>
              <w:rPr>
                <w:rStyle w:val="14"/>
                <w:rFonts w:hint="default" w:hAnsi="宋体"/>
                <w:color w:val="auto"/>
                <w:lang w:bidi="ar"/>
              </w:rPr>
              <w:t>落实劳动教育特色课程方案，形成中小幼贯通的劳动教育课程体系，中小学生每学年至少参加3次社会大课堂实践活动，将劳动教育学习和实践情况纳入学生综合素质评价。丰富“学生劳动教育宣传实践周”系列活动，建立区级劳动教育基地20个、基地校20所，每所学校至少打造一门精品劳动特色课程。</w:t>
            </w:r>
          </w:p>
        </w:tc>
      </w:tr>
      <w:tr w14:paraId="62856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8" w:hRule="atLeast"/>
        </w:trPr>
        <w:tc>
          <w:tcPr>
            <w:tcW w:w="1080" w:type="dxa"/>
            <w:tcBorders>
              <w:tl2br w:val="nil"/>
              <w:tr2bl w:val="nil"/>
            </w:tcBorders>
            <w:shd w:val="clear" w:color="auto" w:fill="auto"/>
            <w:vAlign w:val="center"/>
          </w:tcPr>
          <w:p w14:paraId="43853AC3">
            <w:pPr>
              <w:spacing w:line="240" w:lineRule="exact"/>
              <w:textAlignment w:val="center"/>
              <w:rPr>
                <w:rFonts w:hAnsi="宋体" w:cs="仿宋_GB2312"/>
                <w:sz w:val="22"/>
                <w:szCs w:val="22"/>
              </w:rPr>
            </w:pPr>
            <w:r>
              <w:rPr>
                <w:rFonts w:hint="eastAsia" w:hAnsi="宋体" w:cs="仿宋_GB2312"/>
                <w:kern w:val="0"/>
                <w:sz w:val="22"/>
                <w:szCs w:val="22"/>
                <w:lang w:bidi="ar"/>
              </w:rPr>
              <w:t>（一）实施立德树人素养提升行动</w:t>
            </w:r>
          </w:p>
        </w:tc>
        <w:tc>
          <w:tcPr>
            <w:tcW w:w="1080" w:type="dxa"/>
            <w:tcBorders>
              <w:tl2br w:val="nil"/>
              <w:tr2bl w:val="nil"/>
            </w:tcBorders>
            <w:shd w:val="clear" w:color="auto" w:fill="auto"/>
            <w:vAlign w:val="center"/>
          </w:tcPr>
          <w:p w14:paraId="4143FFE4">
            <w:pPr>
              <w:spacing w:line="240" w:lineRule="exact"/>
              <w:textAlignment w:val="center"/>
              <w:rPr>
                <w:rFonts w:hAnsi="宋体" w:cs="仿宋_GB2312"/>
                <w:sz w:val="22"/>
                <w:szCs w:val="22"/>
              </w:rPr>
            </w:pPr>
            <w:r>
              <w:rPr>
                <w:rFonts w:hint="eastAsia" w:hAnsi="宋体" w:cs="仿宋_GB2312"/>
                <w:kern w:val="0"/>
                <w:sz w:val="22"/>
                <w:szCs w:val="22"/>
                <w:lang w:bidi="ar"/>
              </w:rPr>
              <w:t>5.探索拔尖创新人才培养机制</w:t>
            </w:r>
          </w:p>
        </w:tc>
        <w:tc>
          <w:tcPr>
            <w:tcW w:w="1101" w:type="dxa"/>
            <w:tcBorders>
              <w:tl2br w:val="nil"/>
              <w:tr2bl w:val="nil"/>
            </w:tcBorders>
            <w:shd w:val="clear" w:color="auto" w:fill="auto"/>
            <w:vAlign w:val="center"/>
          </w:tcPr>
          <w:p w14:paraId="67CBF809">
            <w:pPr>
              <w:spacing w:line="240" w:lineRule="exact"/>
              <w:textAlignment w:val="center"/>
              <w:rPr>
                <w:rFonts w:hAnsi="宋体" w:cs="仿宋_GB2312"/>
                <w:sz w:val="22"/>
                <w:szCs w:val="22"/>
              </w:rPr>
            </w:pPr>
            <w:r>
              <w:rPr>
                <w:rFonts w:hint="eastAsia" w:hAnsi="宋体" w:cs="仿宋_GB2312"/>
                <w:kern w:val="0"/>
                <w:sz w:val="22"/>
                <w:szCs w:val="22"/>
                <w:lang w:bidi="ar"/>
              </w:rPr>
              <w:t>区教委、区科信局（中关村延庆园管委会）、区农业农村局、区财政局、区科协、各街乡镇</w:t>
            </w:r>
          </w:p>
        </w:tc>
        <w:tc>
          <w:tcPr>
            <w:tcW w:w="4127" w:type="dxa"/>
            <w:tcBorders>
              <w:tl2br w:val="nil"/>
              <w:tr2bl w:val="nil"/>
            </w:tcBorders>
            <w:shd w:val="clear" w:color="auto" w:fill="auto"/>
            <w:vAlign w:val="center"/>
          </w:tcPr>
          <w:p w14:paraId="327291B1">
            <w:pPr>
              <w:spacing w:line="240" w:lineRule="exact"/>
              <w:textAlignment w:val="center"/>
              <w:rPr>
                <w:rFonts w:hAnsi="宋体" w:cs="仿宋_GB2312"/>
                <w:sz w:val="22"/>
                <w:szCs w:val="22"/>
              </w:rPr>
            </w:pPr>
            <w:r>
              <w:rPr>
                <w:rFonts w:hint="eastAsia" w:hAnsi="宋体" w:cs="仿宋_GB2312"/>
                <w:kern w:val="0"/>
                <w:sz w:val="22"/>
                <w:szCs w:val="22"/>
                <w:lang w:bidi="ar"/>
              </w:rPr>
              <w:t>举办延庆区首届科学节，成立北京市青少年创新学院延庆分院；以课创计划为切入点，尝试构建拔尖创新人才纵向贯通、横向聚合的培养体系，实施科学素养培育沃土计划、脱颖计划，推进拔尖创新人才贯通培养项目，打造无人机低空产业技术科普创新等科学教育特色品牌；聚焦核心素养，加强科学及数学教学改革。</w:t>
            </w:r>
          </w:p>
        </w:tc>
        <w:tc>
          <w:tcPr>
            <w:tcW w:w="4127" w:type="dxa"/>
            <w:tcBorders>
              <w:tl2br w:val="nil"/>
              <w:tr2bl w:val="nil"/>
            </w:tcBorders>
            <w:shd w:val="clear" w:color="auto" w:fill="auto"/>
            <w:vAlign w:val="center"/>
          </w:tcPr>
          <w:p w14:paraId="0A285AB7">
            <w:pPr>
              <w:spacing w:line="240" w:lineRule="exact"/>
              <w:textAlignment w:val="center"/>
              <w:rPr>
                <w:rFonts w:hAnsi="宋体" w:cs="仿宋_GB2312"/>
                <w:sz w:val="22"/>
                <w:szCs w:val="22"/>
              </w:rPr>
            </w:pPr>
            <w:r>
              <w:rPr>
                <w:rFonts w:hint="eastAsia" w:hAnsi="宋体" w:cs="仿宋_GB2312"/>
                <w:kern w:val="0"/>
                <w:sz w:val="22"/>
                <w:szCs w:val="22"/>
                <w:lang w:bidi="ar"/>
              </w:rPr>
              <w:t>举办延庆区第二届科学节；举办首届延庆区拔尖创新人才培养论坛；以课创计划为切入点，在一中集团初步形成1-2个特色课程群；聚焦核心素养，加强物理、化学教学中的实验创新改革；持续打造无人机低空产业技术科普创新等科学教育特色品牌。</w:t>
            </w:r>
          </w:p>
        </w:tc>
        <w:tc>
          <w:tcPr>
            <w:tcW w:w="4128" w:type="dxa"/>
            <w:tcBorders>
              <w:tl2br w:val="nil"/>
              <w:tr2bl w:val="nil"/>
            </w:tcBorders>
            <w:shd w:val="clear" w:color="auto" w:fill="auto"/>
            <w:vAlign w:val="center"/>
          </w:tcPr>
          <w:p w14:paraId="7B489797">
            <w:pPr>
              <w:spacing w:line="240" w:lineRule="exact"/>
              <w:textAlignment w:val="center"/>
              <w:rPr>
                <w:rFonts w:hAnsi="宋体" w:cs="仿宋_GB2312"/>
                <w:sz w:val="22"/>
                <w:szCs w:val="22"/>
              </w:rPr>
            </w:pPr>
            <w:r>
              <w:rPr>
                <w:rFonts w:hint="eastAsia" w:hAnsi="宋体" w:cs="仿宋_GB2312"/>
                <w:kern w:val="0"/>
                <w:sz w:val="22"/>
                <w:szCs w:val="22"/>
                <w:lang w:bidi="ar"/>
              </w:rPr>
              <w:t>举办延庆区第三届科学节；举办第二届延庆区拔尖创新人才培养论坛；以课创计划为切入点，在一中集团经验的基础上，将八一实验学校纳入到课创计划，进行特色课程群建设；聚焦核心素养，加强生物、地理、信息学等学科教学改革；形成无人机低空产业技术科普创新等区域科学教育特色品牌。</w:t>
            </w:r>
          </w:p>
        </w:tc>
      </w:tr>
      <w:tr w14:paraId="7B96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9" w:hRule="atLeast"/>
        </w:trPr>
        <w:tc>
          <w:tcPr>
            <w:tcW w:w="1080" w:type="dxa"/>
            <w:tcBorders>
              <w:tl2br w:val="nil"/>
              <w:tr2bl w:val="nil"/>
            </w:tcBorders>
            <w:shd w:val="clear" w:color="auto" w:fill="auto"/>
            <w:vAlign w:val="center"/>
          </w:tcPr>
          <w:p w14:paraId="3FF4AE20">
            <w:pPr>
              <w:spacing w:line="240" w:lineRule="exact"/>
              <w:textAlignment w:val="center"/>
              <w:rPr>
                <w:rFonts w:hAnsi="宋体" w:cs="仿宋_GB2312"/>
                <w:sz w:val="22"/>
                <w:szCs w:val="22"/>
              </w:rPr>
            </w:pPr>
            <w:r>
              <w:rPr>
                <w:rFonts w:hint="eastAsia" w:hAnsi="宋体" w:cs="仿宋_GB2312"/>
                <w:kern w:val="0"/>
                <w:sz w:val="22"/>
                <w:szCs w:val="22"/>
                <w:lang w:bidi="ar"/>
              </w:rPr>
              <w:t>（二）实施基础教育扩优提质行动</w:t>
            </w:r>
          </w:p>
        </w:tc>
        <w:tc>
          <w:tcPr>
            <w:tcW w:w="1080" w:type="dxa"/>
            <w:tcBorders>
              <w:tl2br w:val="nil"/>
              <w:tr2bl w:val="nil"/>
            </w:tcBorders>
            <w:shd w:val="clear" w:color="auto" w:fill="auto"/>
            <w:vAlign w:val="center"/>
          </w:tcPr>
          <w:p w14:paraId="0CBBA93F">
            <w:pPr>
              <w:spacing w:line="240" w:lineRule="exact"/>
              <w:textAlignment w:val="center"/>
              <w:rPr>
                <w:rFonts w:hAnsi="宋体" w:cs="仿宋_GB2312"/>
                <w:sz w:val="22"/>
                <w:szCs w:val="22"/>
              </w:rPr>
            </w:pPr>
            <w:r>
              <w:rPr>
                <w:rFonts w:hint="eastAsia" w:hAnsi="宋体" w:cs="仿宋_GB2312"/>
                <w:kern w:val="0"/>
                <w:sz w:val="22"/>
                <w:szCs w:val="22"/>
                <w:lang w:bidi="ar"/>
              </w:rPr>
              <w:t>6.推进学前教育优质普惠发展</w:t>
            </w:r>
          </w:p>
        </w:tc>
        <w:tc>
          <w:tcPr>
            <w:tcW w:w="1101" w:type="dxa"/>
            <w:tcBorders>
              <w:tl2br w:val="nil"/>
              <w:tr2bl w:val="nil"/>
            </w:tcBorders>
            <w:shd w:val="clear" w:color="auto" w:fill="auto"/>
            <w:vAlign w:val="center"/>
          </w:tcPr>
          <w:p w14:paraId="03494642">
            <w:pPr>
              <w:spacing w:line="240" w:lineRule="exact"/>
              <w:textAlignment w:val="center"/>
              <w:rPr>
                <w:rFonts w:hAnsi="宋体" w:cs="仿宋_GB2312"/>
                <w:sz w:val="22"/>
                <w:szCs w:val="22"/>
              </w:rPr>
            </w:pPr>
            <w:r>
              <w:rPr>
                <w:rFonts w:hint="eastAsia" w:hAnsi="宋体" w:cs="仿宋_GB2312"/>
                <w:kern w:val="0"/>
                <w:sz w:val="22"/>
                <w:szCs w:val="22"/>
                <w:lang w:bidi="ar"/>
              </w:rPr>
              <w:t>区教委、区卫健委、区委编办、区人力社保局、区财政局、各街乡镇</w:t>
            </w:r>
          </w:p>
        </w:tc>
        <w:tc>
          <w:tcPr>
            <w:tcW w:w="4127" w:type="dxa"/>
            <w:tcBorders>
              <w:tl2br w:val="nil"/>
              <w:tr2bl w:val="nil"/>
            </w:tcBorders>
            <w:shd w:val="clear" w:color="auto" w:fill="auto"/>
            <w:vAlign w:val="center"/>
          </w:tcPr>
          <w:p w14:paraId="0155B0FC">
            <w:pPr>
              <w:spacing w:line="240" w:lineRule="exact"/>
              <w:textAlignment w:val="center"/>
              <w:rPr>
                <w:rFonts w:hAnsi="宋体" w:cs="仿宋_GB2312"/>
                <w:sz w:val="22"/>
                <w:szCs w:val="22"/>
              </w:rPr>
            </w:pPr>
            <w:r>
              <w:rPr>
                <w:rFonts w:hint="eastAsia" w:hAnsi="宋体" w:cs="仿宋_GB2312"/>
                <w:kern w:val="0"/>
                <w:sz w:val="22"/>
                <w:szCs w:val="22"/>
                <w:lang w:bidi="ar"/>
              </w:rPr>
              <w:t>完善以公办园为保障、普惠性民办园为补充的学前教育服务体系，因地制宜实施保育教育质量评估指南。深化“直属园+校办园+民办园”集团化办园和“1+1”直属园办分园改革实践，开展“幼儿自主游戏、幼小衔接、高质量师幼互动”等项目研究，组织校办园“一园一品”展示活动，探索捆绑评价机制。发挥国润托育服务中心教研基地引领作用，开展托幼一体化培训与研究。完善民办园联合检查和统筹资金发放机制。高质量通过国家级双普验收。</w:t>
            </w:r>
          </w:p>
        </w:tc>
        <w:tc>
          <w:tcPr>
            <w:tcW w:w="4127" w:type="dxa"/>
            <w:tcBorders>
              <w:tl2br w:val="nil"/>
              <w:tr2bl w:val="nil"/>
            </w:tcBorders>
            <w:shd w:val="clear" w:color="auto" w:fill="auto"/>
            <w:vAlign w:val="center"/>
          </w:tcPr>
          <w:p w14:paraId="2FD153E4">
            <w:pPr>
              <w:spacing w:line="240" w:lineRule="exact"/>
              <w:textAlignment w:val="center"/>
              <w:rPr>
                <w:rFonts w:hAnsi="宋体" w:cs="仿宋_GB2312"/>
                <w:sz w:val="22"/>
                <w:szCs w:val="22"/>
              </w:rPr>
            </w:pPr>
            <w:r>
              <w:rPr>
                <w:rFonts w:hint="eastAsia" w:hAnsi="宋体" w:cs="仿宋_GB2312"/>
                <w:kern w:val="0"/>
                <w:sz w:val="22"/>
                <w:szCs w:val="22"/>
                <w:lang w:bidi="ar"/>
              </w:rPr>
              <w:t>进一步完善以公办园为保障、普惠性民办园为补充的学前教育服务体系，因地制宜实施保育教育质量评估指南。进一步深化“直属园+校办园+民办园”集团化办园和“1+1”直属园办分园改革实践，组织2-3个集团进行阶段性研究成果交流，完善“1+1”直属园办分园交流轮岗、教师教研、捆绑评价机制，推选优秀捆绑园进行展示。推进托幼一体化培训与研究，在课程、游戏等方面进行一体化探索。优化民办园联合检查、展示和统筹资金发放机制，促进民办园办园质量提升。</w:t>
            </w:r>
          </w:p>
        </w:tc>
        <w:tc>
          <w:tcPr>
            <w:tcW w:w="4128" w:type="dxa"/>
            <w:tcBorders>
              <w:tl2br w:val="nil"/>
              <w:tr2bl w:val="nil"/>
            </w:tcBorders>
            <w:shd w:val="clear" w:color="auto" w:fill="auto"/>
            <w:vAlign w:val="center"/>
          </w:tcPr>
          <w:p w14:paraId="7D6DCC56">
            <w:pPr>
              <w:spacing w:line="240" w:lineRule="exact"/>
              <w:textAlignment w:val="center"/>
              <w:rPr>
                <w:rFonts w:hAnsi="宋体" w:cs="仿宋_GB2312"/>
                <w:sz w:val="22"/>
                <w:szCs w:val="22"/>
              </w:rPr>
            </w:pPr>
            <w:r>
              <w:rPr>
                <w:rFonts w:hint="eastAsia" w:hAnsi="宋体" w:cs="仿宋_GB2312"/>
                <w:kern w:val="0"/>
                <w:sz w:val="22"/>
                <w:szCs w:val="22"/>
                <w:lang w:bidi="ar"/>
              </w:rPr>
              <w:t>优化以公办园为保障、普惠性民办园为补充的学前教育服务体系，因地制宜实施保育教育质量评估指南。继续深化“直属园+校办园+民办园”集团化办园和“1+1”直属园办分园改革实践，梳理总结学前教育集团项目研究成果，编印成果集并全区推广，总结“1+1”直属园办分园成功经验。深化托幼一体化研究，梳理相关研究成果并进行推广。持续推进民办园管理，优化民办园结构布局，加大民办园与公办园联动，提升民办园办园水平。</w:t>
            </w:r>
          </w:p>
        </w:tc>
      </w:tr>
      <w:tr w14:paraId="44F7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0" w:hRule="atLeast"/>
        </w:trPr>
        <w:tc>
          <w:tcPr>
            <w:tcW w:w="1080" w:type="dxa"/>
            <w:vMerge w:val="restart"/>
            <w:tcBorders>
              <w:tl2br w:val="nil"/>
              <w:tr2bl w:val="nil"/>
            </w:tcBorders>
            <w:shd w:val="clear" w:color="auto" w:fill="auto"/>
            <w:vAlign w:val="center"/>
          </w:tcPr>
          <w:p w14:paraId="42BF6E4A">
            <w:pPr>
              <w:spacing w:line="240" w:lineRule="exact"/>
              <w:textAlignment w:val="center"/>
              <w:rPr>
                <w:rFonts w:hAnsi="宋体" w:cs="仿宋_GB2312"/>
                <w:sz w:val="22"/>
                <w:szCs w:val="22"/>
              </w:rPr>
            </w:pPr>
            <w:r>
              <w:rPr>
                <w:rFonts w:hint="eastAsia" w:hAnsi="宋体" w:cs="仿宋_GB2312"/>
                <w:kern w:val="0"/>
                <w:sz w:val="22"/>
                <w:szCs w:val="22"/>
                <w:lang w:bidi="ar"/>
              </w:rPr>
              <w:t>（二）实施基础教育扩优提质行动</w:t>
            </w:r>
          </w:p>
        </w:tc>
        <w:tc>
          <w:tcPr>
            <w:tcW w:w="1080" w:type="dxa"/>
            <w:tcBorders>
              <w:tl2br w:val="nil"/>
              <w:tr2bl w:val="nil"/>
            </w:tcBorders>
            <w:shd w:val="clear" w:color="auto" w:fill="auto"/>
            <w:vAlign w:val="center"/>
          </w:tcPr>
          <w:p w14:paraId="21158BFD">
            <w:pPr>
              <w:spacing w:line="240" w:lineRule="exact"/>
              <w:textAlignment w:val="center"/>
              <w:rPr>
                <w:rFonts w:hAnsi="宋体" w:cs="仿宋_GB2312"/>
                <w:sz w:val="22"/>
                <w:szCs w:val="22"/>
              </w:rPr>
            </w:pPr>
            <w:r>
              <w:rPr>
                <w:rFonts w:hint="eastAsia" w:hAnsi="宋体" w:cs="仿宋_GB2312"/>
                <w:kern w:val="0"/>
                <w:sz w:val="22"/>
                <w:szCs w:val="22"/>
                <w:lang w:bidi="ar"/>
              </w:rPr>
              <w:t>7.推进义务教育优质均衡发展</w:t>
            </w:r>
          </w:p>
        </w:tc>
        <w:tc>
          <w:tcPr>
            <w:tcW w:w="1101" w:type="dxa"/>
            <w:tcBorders>
              <w:tl2br w:val="nil"/>
              <w:tr2bl w:val="nil"/>
            </w:tcBorders>
            <w:shd w:val="clear" w:color="auto" w:fill="auto"/>
            <w:vAlign w:val="center"/>
          </w:tcPr>
          <w:p w14:paraId="26079BE9">
            <w:pPr>
              <w:spacing w:line="240" w:lineRule="exact"/>
              <w:textAlignment w:val="center"/>
              <w:rPr>
                <w:rFonts w:hAnsi="宋体" w:cs="仿宋_GB2312"/>
                <w:sz w:val="22"/>
                <w:szCs w:val="22"/>
              </w:rPr>
            </w:pPr>
            <w:r>
              <w:rPr>
                <w:rFonts w:hint="eastAsia" w:hAnsi="宋体" w:cs="仿宋_GB2312"/>
                <w:kern w:val="0"/>
                <w:sz w:val="22"/>
                <w:szCs w:val="22"/>
                <w:lang w:bidi="ar"/>
              </w:rPr>
              <w:t>区教委、区委编办、区人力社保局、区财政局、区市场监管局、各街乡镇</w:t>
            </w:r>
          </w:p>
        </w:tc>
        <w:tc>
          <w:tcPr>
            <w:tcW w:w="4127" w:type="dxa"/>
            <w:tcBorders>
              <w:tl2br w:val="nil"/>
              <w:tr2bl w:val="nil"/>
            </w:tcBorders>
            <w:shd w:val="clear" w:color="auto" w:fill="auto"/>
            <w:vAlign w:val="center"/>
          </w:tcPr>
          <w:p w14:paraId="324B7EA4">
            <w:pPr>
              <w:spacing w:line="240" w:lineRule="exact"/>
              <w:textAlignment w:val="center"/>
              <w:rPr>
                <w:rFonts w:hAnsi="宋体" w:cs="仿宋_GB2312"/>
                <w:sz w:val="22"/>
                <w:szCs w:val="22"/>
              </w:rPr>
            </w:pPr>
            <w:r>
              <w:rPr>
                <w:rStyle w:val="14"/>
                <w:rFonts w:hint="default" w:hAnsi="宋体"/>
                <w:color w:val="auto"/>
                <w:lang w:bidi="ar"/>
              </w:rPr>
              <w:t>完善义务教育优质均衡发展推进机制，出台《延庆区新优质学校成长发展规划》《延庆区义务教育质量提升行动计划》。深化义务教育课程教学改革，巩固“双减”改革成果，全面提升课堂教学水平，提高课间活动效果，提高课后服务质量，义务教育国家质量监测质量达到全国领先水平。</w:t>
            </w:r>
            <w:r>
              <w:rPr>
                <w:rFonts w:hint="eastAsia" w:hAnsi="宋体" w:cs="仿宋_GB2312"/>
                <w:kern w:val="0"/>
                <w:sz w:val="22"/>
                <w:szCs w:val="22"/>
                <w:lang w:bidi="ar"/>
              </w:rPr>
              <w:t>以二中集团为试点尝试推进集团直升招生改革；以一中纵向集团为试点，开展课创计划，尝试进行特色课程建设；指导学校完成课内课后一体化设计实施方案，学校形成一体化课程特色；举办延庆区首届“开放办学”研讨会，推广“延海”合作、城乡“手拉手”等项目的先进做法，通过市级绩效评估。</w:t>
            </w:r>
            <w:r>
              <w:rPr>
                <w:rStyle w:val="15"/>
                <w:rFonts w:hint="default" w:hAnsi="宋体"/>
                <w:color w:val="auto"/>
                <w:u w:val="none"/>
                <w:lang w:bidi="ar"/>
              </w:rPr>
              <w:t>高质量通过国家级义务教育优质均衡督导评估验收。</w:t>
            </w:r>
          </w:p>
        </w:tc>
        <w:tc>
          <w:tcPr>
            <w:tcW w:w="4127" w:type="dxa"/>
            <w:tcBorders>
              <w:tl2br w:val="nil"/>
              <w:tr2bl w:val="nil"/>
            </w:tcBorders>
            <w:shd w:val="clear" w:color="auto" w:fill="auto"/>
            <w:vAlign w:val="center"/>
          </w:tcPr>
          <w:p w14:paraId="45829D37">
            <w:pPr>
              <w:spacing w:line="240" w:lineRule="exact"/>
              <w:textAlignment w:val="center"/>
              <w:rPr>
                <w:rFonts w:hAnsi="宋体" w:cs="仿宋_GB2312"/>
                <w:sz w:val="22"/>
                <w:szCs w:val="22"/>
              </w:rPr>
            </w:pPr>
            <w:r>
              <w:rPr>
                <w:rStyle w:val="14"/>
                <w:rFonts w:hint="default" w:hAnsi="宋体"/>
                <w:color w:val="auto"/>
                <w:lang w:bidi="ar"/>
              </w:rPr>
              <w:t>完善义务教育优质均衡发展推进机制，落实《延庆区新优质学校成长发展规划》《延庆区义务教育质量提升行动计划》。深化义务教育课程教学改革，巩固“双减”改革成果，课程、课堂、课间、课后服务一体化设计，全面提升育人质量。义务教育国家质量监测质量达到生态涵养区领先水平。</w:t>
            </w:r>
            <w:r>
              <w:rPr>
                <w:rFonts w:hint="eastAsia" w:hAnsi="宋体" w:cs="仿宋_GB2312"/>
                <w:kern w:val="0"/>
                <w:sz w:val="22"/>
                <w:szCs w:val="22"/>
                <w:lang w:bidi="ar"/>
              </w:rPr>
              <w:t>探索组建一中、二中和八一实验学校纵向教育集团（每个集团包括高中、初中、小学和一贯制学校），稳步推进集团直升、课创计划，探索十二年一贯制培养。加强农村小规模学校发展共同体建设。举办延庆区第二届“开放办学”研讨会，形成学校特色。</w:t>
            </w:r>
            <w:r>
              <w:rPr>
                <w:rStyle w:val="15"/>
                <w:rFonts w:hint="default" w:hAnsi="宋体"/>
                <w:color w:val="auto"/>
                <w:u w:val="none"/>
                <w:lang w:bidi="ar"/>
              </w:rPr>
              <w:t>巩固国家级义务教育优质均衡发展区创建成果。</w:t>
            </w:r>
          </w:p>
        </w:tc>
        <w:tc>
          <w:tcPr>
            <w:tcW w:w="4128" w:type="dxa"/>
            <w:tcBorders>
              <w:tl2br w:val="nil"/>
              <w:tr2bl w:val="nil"/>
            </w:tcBorders>
            <w:shd w:val="clear" w:color="auto" w:fill="auto"/>
            <w:vAlign w:val="center"/>
          </w:tcPr>
          <w:p w14:paraId="4AFA96B5">
            <w:pPr>
              <w:spacing w:line="240" w:lineRule="exact"/>
              <w:textAlignment w:val="center"/>
              <w:rPr>
                <w:rFonts w:hAnsi="宋体" w:cs="仿宋_GB2312"/>
                <w:sz w:val="22"/>
                <w:szCs w:val="22"/>
              </w:rPr>
            </w:pPr>
            <w:r>
              <w:rPr>
                <w:rStyle w:val="14"/>
                <w:rFonts w:hint="default" w:hAnsi="宋体"/>
                <w:color w:val="auto"/>
                <w:lang w:bidi="ar"/>
              </w:rPr>
              <w:t>完善义务教育优质均衡发展推进机制，全面落实《延庆区新优质学校成长发展规划》《延庆区义务教育质量提升行动计划》。深化义务教育课程教学改革，梳理课程、课堂、课间、课后服务育人成果，办好小而精、小而美、有特色的小规模学校，形成一校一品的多彩课程、课间、课后服务体系。义务教育国家质量监测质量达到生态涵养区前列。</w:t>
            </w:r>
            <w:r>
              <w:rPr>
                <w:rFonts w:hint="eastAsia" w:hAnsi="宋体" w:cs="仿宋_GB2312"/>
                <w:kern w:val="0"/>
                <w:sz w:val="22"/>
                <w:szCs w:val="22"/>
                <w:lang w:bidi="ar"/>
              </w:rPr>
              <w:t>纵向集团覆盖率达到100%，组建教育发展共同体，适度整合“小散弱”乡村学校。举办延庆区第三届“开放办学”研讨会，形成区域经验。</w:t>
            </w:r>
            <w:r>
              <w:rPr>
                <w:rStyle w:val="15"/>
                <w:rFonts w:hint="default" w:hAnsi="宋体"/>
                <w:color w:val="auto"/>
                <w:u w:val="none"/>
                <w:lang w:bidi="ar"/>
              </w:rPr>
              <w:t>巩固国家级义务教育优质均衡发展区创建成果。</w:t>
            </w:r>
          </w:p>
        </w:tc>
      </w:tr>
      <w:tr w14:paraId="05A3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5" w:hRule="atLeast"/>
        </w:trPr>
        <w:tc>
          <w:tcPr>
            <w:tcW w:w="1080" w:type="dxa"/>
            <w:vMerge w:val="continue"/>
            <w:tcBorders>
              <w:tl2br w:val="nil"/>
              <w:tr2bl w:val="nil"/>
            </w:tcBorders>
            <w:shd w:val="clear" w:color="auto" w:fill="auto"/>
            <w:vAlign w:val="center"/>
          </w:tcPr>
          <w:p w14:paraId="1A82E404">
            <w:pPr>
              <w:spacing w:line="240" w:lineRule="exact"/>
              <w:textAlignment w:val="center"/>
              <w:rPr>
                <w:rFonts w:hAnsi="宋体" w:cs="仿宋_GB2312"/>
                <w:sz w:val="22"/>
                <w:szCs w:val="22"/>
              </w:rPr>
            </w:pPr>
          </w:p>
        </w:tc>
        <w:tc>
          <w:tcPr>
            <w:tcW w:w="1080" w:type="dxa"/>
            <w:tcBorders>
              <w:tl2br w:val="nil"/>
              <w:tr2bl w:val="nil"/>
            </w:tcBorders>
            <w:shd w:val="clear" w:color="auto" w:fill="auto"/>
            <w:vAlign w:val="center"/>
          </w:tcPr>
          <w:p w14:paraId="3B3BD3A6">
            <w:pPr>
              <w:spacing w:line="240" w:lineRule="exact"/>
              <w:textAlignment w:val="center"/>
              <w:rPr>
                <w:rFonts w:hAnsi="宋体" w:cs="仿宋_GB2312"/>
                <w:sz w:val="22"/>
                <w:szCs w:val="22"/>
              </w:rPr>
            </w:pPr>
            <w:r>
              <w:rPr>
                <w:rFonts w:hint="eastAsia" w:hAnsi="宋体" w:cs="仿宋_GB2312"/>
                <w:kern w:val="0"/>
                <w:sz w:val="22"/>
                <w:szCs w:val="22"/>
                <w:lang w:bidi="ar"/>
              </w:rPr>
              <w:t>8.推进高中教育优质特色发展</w:t>
            </w:r>
          </w:p>
        </w:tc>
        <w:tc>
          <w:tcPr>
            <w:tcW w:w="1101" w:type="dxa"/>
            <w:tcBorders>
              <w:tl2br w:val="nil"/>
              <w:tr2bl w:val="nil"/>
            </w:tcBorders>
            <w:shd w:val="clear" w:color="auto" w:fill="auto"/>
            <w:vAlign w:val="center"/>
          </w:tcPr>
          <w:p w14:paraId="7E1F98E7">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区委教育工委、区教委、区委编办、区人力社保局、区财政局</w:t>
            </w:r>
          </w:p>
        </w:tc>
        <w:tc>
          <w:tcPr>
            <w:tcW w:w="4127" w:type="dxa"/>
            <w:tcBorders>
              <w:tl2br w:val="nil"/>
              <w:tr2bl w:val="nil"/>
            </w:tcBorders>
            <w:shd w:val="clear" w:color="auto" w:fill="auto"/>
            <w:vAlign w:val="center"/>
          </w:tcPr>
          <w:p w14:paraId="273B2EEE">
            <w:pPr>
              <w:spacing w:line="240" w:lineRule="exact"/>
              <w:textAlignment w:val="center"/>
              <w:rPr>
                <w:rFonts w:hAnsi="宋体" w:cs="仿宋_GB2312"/>
                <w:sz w:val="22"/>
                <w:szCs w:val="22"/>
              </w:rPr>
            </w:pPr>
            <w:r>
              <w:rPr>
                <w:rFonts w:hint="eastAsia" w:hAnsi="宋体" w:cs="仿宋_GB2312"/>
                <w:kern w:val="0"/>
                <w:sz w:val="22"/>
                <w:szCs w:val="22"/>
                <w:lang w:bidi="ar"/>
              </w:rPr>
              <w:t>优化高中教育布局，坚持“一校一案”，推进育人方式改革，推动八一实验学校加入北京市高中数理特色协作体，建成1所合作办学学校。加强区域特色课程群建设，升级“1+3”人才培养实验，支持学校融入全市科技、数理、人文、艺体协作体，研究制定小初高纵向教育集团工作方案，探索十二年贯通培养办学模式和直升入学方式。开展普通高中教育集团课程创新实验，推进构建选修课程共享和跨校选课平台建设，加大与高校共建生源基地校力度，建立高中学校与高等学校协同育人机制。高考质量保持生态涵养区前列、向全市中等水平迈进。</w:t>
            </w:r>
          </w:p>
        </w:tc>
        <w:tc>
          <w:tcPr>
            <w:tcW w:w="4127" w:type="dxa"/>
            <w:tcBorders>
              <w:tl2br w:val="nil"/>
              <w:tr2bl w:val="nil"/>
            </w:tcBorders>
            <w:shd w:val="clear" w:color="auto" w:fill="auto"/>
            <w:vAlign w:val="center"/>
          </w:tcPr>
          <w:p w14:paraId="4999F0B8">
            <w:pPr>
              <w:spacing w:line="240" w:lineRule="exact"/>
              <w:textAlignment w:val="center"/>
              <w:rPr>
                <w:rFonts w:hAnsi="宋体" w:cs="仿宋_GB2312"/>
                <w:sz w:val="22"/>
                <w:szCs w:val="22"/>
              </w:rPr>
            </w:pPr>
            <w:r>
              <w:rPr>
                <w:rFonts w:hint="eastAsia" w:hAnsi="宋体" w:cs="仿宋_GB2312"/>
                <w:kern w:val="0"/>
                <w:sz w:val="22"/>
                <w:szCs w:val="22"/>
                <w:lang w:bidi="ar"/>
              </w:rPr>
              <w:t>持续优化高中教育布局，全区4所高中校全部加入北京市高中特色发展协作体，建成2所合作办学学校。加强区域特色课程群建设，升级“1+3”人才培养实验，支持学校融入全市科技、数理、人文、艺体协作体，正式成立区级小初高纵向培养教育集团，探索十二年贯通培养办学模式和直升入学方式。开展普通高中教育集团课程创新实验，推进构建选修课程共享和跨校选课平台建设，加大与高校共建生源基地校力度，建立高中学校与高等学校协同育人机制。高考质量保持生态涵养区前列、向全市中等水平迈进。</w:t>
            </w:r>
          </w:p>
        </w:tc>
        <w:tc>
          <w:tcPr>
            <w:tcW w:w="4128" w:type="dxa"/>
            <w:tcBorders>
              <w:tl2br w:val="nil"/>
              <w:tr2bl w:val="nil"/>
            </w:tcBorders>
            <w:shd w:val="clear" w:color="auto" w:fill="auto"/>
            <w:vAlign w:val="center"/>
          </w:tcPr>
          <w:p w14:paraId="643F5151">
            <w:pPr>
              <w:spacing w:line="240" w:lineRule="exact"/>
              <w:textAlignment w:val="center"/>
              <w:rPr>
                <w:rFonts w:hAnsi="宋体" w:cs="仿宋_GB2312"/>
                <w:sz w:val="22"/>
                <w:szCs w:val="22"/>
              </w:rPr>
            </w:pPr>
            <w:r>
              <w:rPr>
                <w:rFonts w:hint="eastAsia" w:hAnsi="宋体" w:cs="仿宋_GB2312"/>
                <w:kern w:val="0"/>
                <w:sz w:val="22"/>
                <w:szCs w:val="22"/>
                <w:lang w:bidi="ar"/>
              </w:rPr>
              <w:t>持续优化高中教育布局，全面实现全区高中特色办学新格局，达成一校一特色、一校一专长目标，建成3所合作办学学校。加强区域特色课程群建设，升级“1+3”人才培养实验，支持学校融入全市科技、数理、人文、艺体协作体，加强区级小初高纵向培养教育集团建设，实现小初高纵向集团内直升。开展普通高中教育集团课程创新实验，推进构建选修课程共享和跨校选课平台建设，加大与高校共建生源基地校力度，建立高中学校与高等学校协同育人机制。全区高考质量位于生态涵养区领先，达到全市中等水平。</w:t>
            </w:r>
          </w:p>
        </w:tc>
      </w:tr>
      <w:tr w14:paraId="4672F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trPr>
        <w:tc>
          <w:tcPr>
            <w:tcW w:w="1080" w:type="dxa"/>
            <w:vMerge w:val="restart"/>
            <w:tcBorders>
              <w:tl2br w:val="nil"/>
              <w:tr2bl w:val="nil"/>
            </w:tcBorders>
            <w:shd w:val="clear" w:color="auto" w:fill="auto"/>
            <w:vAlign w:val="center"/>
          </w:tcPr>
          <w:p w14:paraId="6FD05A7A">
            <w:pPr>
              <w:spacing w:line="240" w:lineRule="exact"/>
              <w:rPr>
                <w:rFonts w:hAnsi="宋体" w:cs="仿宋_GB2312"/>
                <w:sz w:val="22"/>
                <w:szCs w:val="22"/>
              </w:rPr>
            </w:pPr>
            <w:r>
              <w:rPr>
                <w:rFonts w:hint="eastAsia" w:hAnsi="宋体" w:cs="仿宋_GB2312"/>
                <w:kern w:val="0"/>
                <w:sz w:val="22"/>
                <w:szCs w:val="22"/>
                <w:lang w:bidi="ar"/>
              </w:rPr>
              <w:t>（二）实施基础教育扩优提质行动</w:t>
            </w:r>
          </w:p>
        </w:tc>
        <w:tc>
          <w:tcPr>
            <w:tcW w:w="1080" w:type="dxa"/>
            <w:tcBorders>
              <w:tl2br w:val="nil"/>
              <w:tr2bl w:val="nil"/>
            </w:tcBorders>
            <w:shd w:val="clear" w:color="auto" w:fill="auto"/>
            <w:vAlign w:val="center"/>
          </w:tcPr>
          <w:p w14:paraId="5A4F829A">
            <w:pPr>
              <w:spacing w:line="240" w:lineRule="exact"/>
              <w:textAlignment w:val="center"/>
              <w:rPr>
                <w:rFonts w:hAnsi="宋体" w:cs="仿宋_GB2312"/>
                <w:sz w:val="22"/>
                <w:szCs w:val="22"/>
              </w:rPr>
            </w:pPr>
            <w:r>
              <w:rPr>
                <w:rFonts w:hint="eastAsia" w:hAnsi="宋体" w:cs="仿宋_GB2312"/>
                <w:kern w:val="0"/>
                <w:sz w:val="22"/>
                <w:szCs w:val="22"/>
                <w:lang w:bidi="ar"/>
              </w:rPr>
              <w:t>9.强化特殊教育优质融合发展</w:t>
            </w:r>
          </w:p>
        </w:tc>
        <w:tc>
          <w:tcPr>
            <w:tcW w:w="1101" w:type="dxa"/>
            <w:tcBorders>
              <w:tl2br w:val="nil"/>
              <w:tr2bl w:val="nil"/>
            </w:tcBorders>
            <w:shd w:val="clear" w:color="auto" w:fill="auto"/>
            <w:vAlign w:val="center"/>
          </w:tcPr>
          <w:p w14:paraId="7AB2D6F3">
            <w:pPr>
              <w:spacing w:line="240" w:lineRule="exact"/>
              <w:textAlignment w:val="center"/>
              <w:rPr>
                <w:rFonts w:hAnsi="宋体" w:cs="仿宋_GB2312"/>
                <w:sz w:val="22"/>
                <w:szCs w:val="22"/>
              </w:rPr>
            </w:pPr>
            <w:r>
              <w:rPr>
                <w:rFonts w:hint="eastAsia" w:hAnsi="宋体" w:cs="仿宋_GB2312"/>
                <w:kern w:val="0"/>
                <w:sz w:val="22"/>
                <w:szCs w:val="22"/>
                <w:lang w:bidi="ar"/>
              </w:rPr>
              <w:t>区教委、区民政局、区残联、区委编办、区人力社保局、区财政局、各街乡镇</w:t>
            </w:r>
          </w:p>
        </w:tc>
        <w:tc>
          <w:tcPr>
            <w:tcW w:w="4127" w:type="dxa"/>
            <w:tcBorders>
              <w:tl2br w:val="nil"/>
              <w:tr2bl w:val="nil"/>
            </w:tcBorders>
            <w:shd w:val="clear" w:color="auto" w:fill="auto"/>
            <w:vAlign w:val="center"/>
          </w:tcPr>
          <w:p w14:paraId="4D069931">
            <w:pPr>
              <w:spacing w:line="240" w:lineRule="exact"/>
              <w:textAlignment w:val="center"/>
              <w:rPr>
                <w:rFonts w:hAnsi="宋体" w:cs="仿宋_GB2312"/>
                <w:sz w:val="22"/>
                <w:szCs w:val="22"/>
              </w:rPr>
            </w:pPr>
            <w:r>
              <w:rPr>
                <w:rStyle w:val="14"/>
                <w:rFonts w:hint="default" w:hAnsi="宋体"/>
                <w:color w:val="auto"/>
                <w:lang w:bidi="ar"/>
              </w:rPr>
              <w:t>健全十五年制特殊教育学校体制机制，推进课程改革，优化教学方式，满足十五年制不同学段学生的差异化需要。</w:t>
            </w:r>
            <w:r>
              <w:rPr>
                <w:rFonts w:hint="eastAsia" w:hAnsi="宋体" w:cs="仿宋_GB2312"/>
                <w:kern w:val="0"/>
                <w:sz w:val="22"/>
                <w:szCs w:val="22"/>
                <w:lang w:bidi="ar"/>
              </w:rPr>
              <w:t>优化资源布局，加快建设示范性学区融合教育资源中心、融合教育学校资源教室。</w:t>
            </w:r>
            <w:r>
              <w:rPr>
                <w:rStyle w:val="14"/>
                <w:rFonts w:hint="default" w:hAnsi="宋体"/>
                <w:color w:val="auto"/>
                <w:lang w:bidi="ar"/>
              </w:rPr>
              <w:t>提升融合教育质量，将注意缺陷多动障碍、情绪行为障碍等特殊学生纳入特殊教育服务范围，做到“应融尽融”。</w:t>
            </w:r>
          </w:p>
        </w:tc>
        <w:tc>
          <w:tcPr>
            <w:tcW w:w="4127" w:type="dxa"/>
            <w:tcBorders>
              <w:tl2br w:val="nil"/>
              <w:tr2bl w:val="nil"/>
            </w:tcBorders>
            <w:shd w:val="clear" w:color="auto" w:fill="auto"/>
            <w:vAlign w:val="center"/>
          </w:tcPr>
          <w:p w14:paraId="66F89501">
            <w:pPr>
              <w:spacing w:line="240" w:lineRule="exact"/>
              <w:textAlignment w:val="center"/>
              <w:rPr>
                <w:rFonts w:hAnsi="宋体" w:cs="仿宋_GB2312"/>
                <w:sz w:val="22"/>
                <w:szCs w:val="22"/>
              </w:rPr>
            </w:pPr>
            <w:r>
              <w:rPr>
                <w:rStyle w:val="14"/>
                <w:rFonts w:hint="default" w:hAnsi="宋体"/>
                <w:color w:val="auto"/>
                <w:lang w:bidi="ar"/>
              </w:rPr>
              <w:t>构建适合学前教育、义务教育、职业教育的课程体系，开展学习效果系统评价，开展普通学校特殊教育教师专业能力分级分类培训。</w:t>
            </w:r>
            <w:r>
              <w:rPr>
                <w:rFonts w:hint="eastAsia" w:hAnsi="宋体" w:cs="仿宋_GB2312"/>
                <w:kern w:val="0"/>
                <w:sz w:val="22"/>
                <w:szCs w:val="22"/>
                <w:lang w:bidi="ar"/>
              </w:rPr>
              <w:t>优化资源布局，加快建设示范性学区融合教育资源中心、融合教育学校资源教室。</w:t>
            </w:r>
            <w:r>
              <w:rPr>
                <w:rStyle w:val="14"/>
                <w:rFonts w:hint="default" w:hAnsi="宋体"/>
                <w:color w:val="auto"/>
                <w:lang w:bidi="ar"/>
              </w:rPr>
              <w:t>完善《延庆区残疾儿童少年融合教育工作管理办法》《延庆区送教上门实施方案》，提高融合教育质量。</w:t>
            </w:r>
          </w:p>
        </w:tc>
        <w:tc>
          <w:tcPr>
            <w:tcW w:w="4128" w:type="dxa"/>
            <w:tcBorders>
              <w:tl2br w:val="nil"/>
              <w:tr2bl w:val="nil"/>
            </w:tcBorders>
            <w:shd w:val="clear" w:color="auto" w:fill="auto"/>
            <w:vAlign w:val="center"/>
          </w:tcPr>
          <w:p w14:paraId="0A96E36B">
            <w:pPr>
              <w:spacing w:line="240" w:lineRule="exact"/>
              <w:textAlignment w:val="center"/>
              <w:rPr>
                <w:rFonts w:hAnsi="宋体" w:cs="仿宋_GB2312"/>
                <w:sz w:val="22"/>
                <w:szCs w:val="22"/>
              </w:rPr>
            </w:pPr>
            <w:r>
              <w:rPr>
                <w:rFonts w:hint="eastAsia" w:hAnsi="宋体" w:cs="仿宋_GB2312"/>
                <w:kern w:val="0"/>
                <w:sz w:val="22"/>
                <w:szCs w:val="22"/>
                <w:lang w:bidi="ar"/>
              </w:rPr>
              <w:t>完善十五年制特殊教育学校课程体系建设，精心设计适合特教学生适用的课程和课程群。学前教育和高中教育阶段接受融合教育的残疾儿童占比不低于50%，义务教育阶段接受融合教育的残疾儿童占比不低于60%。充分发挥融合教育资源中心和资源教室功能作用,促进区域特殊教育优质发展。</w:t>
            </w:r>
          </w:p>
        </w:tc>
      </w:tr>
      <w:tr w14:paraId="4346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6" w:hRule="atLeast"/>
        </w:trPr>
        <w:tc>
          <w:tcPr>
            <w:tcW w:w="1080" w:type="dxa"/>
            <w:vMerge w:val="continue"/>
            <w:tcBorders>
              <w:tl2br w:val="nil"/>
              <w:tr2bl w:val="nil"/>
            </w:tcBorders>
            <w:shd w:val="clear" w:color="auto" w:fill="auto"/>
            <w:vAlign w:val="center"/>
          </w:tcPr>
          <w:p w14:paraId="1432E814">
            <w:pPr>
              <w:spacing w:line="240" w:lineRule="exact"/>
              <w:textAlignment w:val="center"/>
              <w:rPr>
                <w:rFonts w:hAnsi="宋体" w:cs="仿宋_GB2312"/>
                <w:sz w:val="22"/>
                <w:szCs w:val="22"/>
              </w:rPr>
            </w:pPr>
          </w:p>
        </w:tc>
        <w:tc>
          <w:tcPr>
            <w:tcW w:w="1080" w:type="dxa"/>
            <w:tcBorders>
              <w:tl2br w:val="nil"/>
              <w:tr2bl w:val="nil"/>
            </w:tcBorders>
            <w:shd w:val="clear" w:color="auto" w:fill="auto"/>
            <w:vAlign w:val="center"/>
          </w:tcPr>
          <w:p w14:paraId="624B1741">
            <w:pPr>
              <w:spacing w:line="240" w:lineRule="exact"/>
              <w:textAlignment w:val="center"/>
              <w:rPr>
                <w:rFonts w:hAnsi="宋体" w:cs="仿宋_GB2312"/>
                <w:sz w:val="22"/>
                <w:szCs w:val="22"/>
              </w:rPr>
            </w:pPr>
            <w:r>
              <w:rPr>
                <w:rFonts w:hint="eastAsia" w:hAnsi="宋体" w:cs="仿宋_GB2312"/>
                <w:kern w:val="0"/>
                <w:sz w:val="22"/>
                <w:szCs w:val="22"/>
                <w:lang w:bidi="ar"/>
              </w:rPr>
              <w:t>10.推进职业教育优质创新发展</w:t>
            </w:r>
          </w:p>
        </w:tc>
        <w:tc>
          <w:tcPr>
            <w:tcW w:w="1101" w:type="dxa"/>
            <w:tcBorders>
              <w:tl2br w:val="nil"/>
              <w:tr2bl w:val="nil"/>
            </w:tcBorders>
            <w:shd w:val="clear" w:color="auto" w:fill="auto"/>
            <w:vAlign w:val="center"/>
          </w:tcPr>
          <w:p w14:paraId="7B4BD044">
            <w:pPr>
              <w:spacing w:line="240" w:lineRule="exact"/>
              <w:textAlignment w:val="center"/>
              <w:rPr>
                <w:rFonts w:hAnsi="宋体" w:cs="仿宋_GB2312"/>
                <w:sz w:val="22"/>
                <w:szCs w:val="22"/>
              </w:rPr>
            </w:pPr>
            <w:r>
              <w:rPr>
                <w:rFonts w:hint="eastAsia" w:hAnsi="宋体" w:cs="仿宋_GB2312"/>
                <w:kern w:val="0"/>
                <w:sz w:val="22"/>
                <w:szCs w:val="22"/>
                <w:lang w:bidi="ar"/>
              </w:rPr>
              <w:t>区教委、区农业农村局、区科信局（中关村延庆园管委会）、区人力社保局、区商务局、区文旅局、各街乡镇</w:t>
            </w:r>
          </w:p>
        </w:tc>
        <w:tc>
          <w:tcPr>
            <w:tcW w:w="4127" w:type="dxa"/>
            <w:tcBorders>
              <w:tl2br w:val="nil"/>
              <w:tr2bl w:val="nil"/>
            </w:tcBorders>
            <w:shd w:val="clear" w:color="auto" w:fill="auto"/>
            <w:vAlign w:val="center"/>
          </w:tcPr>
          <w:p w14:paraId="57F13B65">
            <w:pPr>
              <w:spacing w:line="240" w:lineRule="exact"/>
              <w:textAlignment w:val="center"/>
              <w:rPr>
                <w:rFonts w:hAnsi="宋体" w:cs="仿宋_GB2312"/>
                <w:sz w:val="22"/>
                <w:szCs w:val="22"/>
              </w:rPr>
            </w:pPr>
            <w:r>
              <w:rPr>
                <w:rFonts w:hint="eastAsia" w:hAnsi="宋体" w:cs="仿宋_GB2312"/>
                <w:kern w:val="0"/>
                <w:sz w:val="22"/>
                <w:szCs w:val="22"/>
                <w:lang w:bidi="ar"/>
              </w:rPr>
              <w:t>构建与区域发展相协调、与产业布局相衔接的职业教育体系，优化园林技术、冰雪体育、高星级酒店服务与管理三个专业的教育资源。深化产教融合与校企合作，与企业共建烹饪和无人机产教融合共同体、大师工作室2个，设立知名企业冠名班1个。在延庆建设学生实习实训基地10个。和高校共建“3+2”中高职衔接专业5个。推进职普融通，开展中小学生劳动职业体验课程培训不少于5000人次。完善职成教三级网络体系建设，开展职业成人培训不少于1000人次。</w:t>
            </w:r>
          </w:p>
        </w:tc>
        <w:tc>
          <w:tcPr>
            <w:tcW w:w="4127" w:type="dxa"/>
            <w:tcBorders>
              <w:tl2br w:val="nil"/>
              <w:tr2bl w:val="nil"/>
            </w:tcBorders>
            <w:shd w:val="clear" w:color="auto" w:fill="auto"/>
            <w:vAlign w:val="center"/>
          </w:tcPr>
          <w:p w14:paraId="5236DAA7">
            <w:pPr>
              <w:spacing w:line="240" w:lineRule="exact"/>
              <w:textAlignment w:val="center"/>
              <w:rPr>
                <w:rFonts w:hAnsi="宋体" w:cs="仿宋_GB2312"/>
                <w:sz w:val="22"/>
                <w:szCs w:val="22"/>
              </w:rPr>
            </w:pPr>
            <w:r>
              <w:rPr>
                <w:rFonts w:hint="eastAsia" w:hAnsi="宋体" w:cs="仿宋_GB2312"/>
                <w:kern w:val="0"/>
                <w:sz w:val="22"/>
                <w:szCs w:val="22"/>
                <w:lang w:bidi="ar"/>
              </w:rPr>
              <w:t>构建与区域发展相协调、与产业布局相衔接的职业教育体系，打造烹饪专业成为市级特色高水平专业，无人机和国际教育专业成为市级重点品牌专业。深化产教融合与校企合作，与企业共建产教融合共同体、大师工作室2个，设立知名企业冠名班2个。在延庆建设学生实习实训基地10个。推进职普融通，开展中小学生劳动职业体验课程培训不少于5500人次。完善职成教三级网络体系建设，开展职业成人培训不少于1300人次。</w:t>
            </w:r>
          </w:p>
        </w:tc>
        <w:tc>
          <w:tcPr>
            <w:tcW w:w="4128" w:type="dxa"/>
            <w:tcBorders>
              <w:tl2br w:val="nil"/>
              <w:tr2bl w:val="nil"/>
            </w:tcBorders>
            <w:shd w:val="clear" w:color="auto" w:fill="auto"/>
            <w:vAlign w:val="center"/>
          </w:tcPr>
          <w:p w14:paraId="3E856EF3">
            <w:pPr>
              <w:spacing w:line="240" w:lineRule="exact"/>
              <w:textAlignment w:val="center"/>
              <w:rPr>
                <w:rFonts w:hAnsi="宋体" w:cs="仿宋_GB2312"/>
                <w:sz w:val="22"/>
                <w:szCs w:val="22"/>
              </w:rPr>
            </w:pPr>
            <w:r>
              <w:rPr>
                <w:rFonts w:hint="eastAsia" w:hAnsi="宋体" w:cs="仿宋_GB2312"/>
                <w:kern w:val="0"/>
                <w:sz w:val="22"/>
                <w:szCs w:val="22"/>
                <w:lang w:bidi="ar"/>
              </w:rPr>
              <w:t>构建与区域发展相协调、与产业布局相衔接的职业教育体系，打造具有区域特色的职成教一体化办学模式。深化产教融合与校企合作，与企业共建产教融合共同体、大师工作室2个，设立知名企业冠名班3个。在延庆建设学生实习实训基地20个。推进职普融通，开展中小学生劳动职业体验课程培训不少于6000人次。完善职成教三级网络体系建设，开展职业成人培训不少于1600人次。</w:t>
            </w:r>
          </w:p>
        </w:tc>
      </w:tr>
      <w:tr w14:paraId="2A07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9" w:hRule="atLeast"/>
        </w:trPr>
        <w:tc>
          <w:tcPr>
            <w:tcW w:w="1080" w:type="dxa"/>
            <w:vMerge w:val="restart"/>
            <w:tcBorders>
              <w:tl2br w:val="nil"/>
              <w:tr2bl w:val="nil"/>
            </w:tcBorders>
            <w:shd w:val="clear" w:color="auto" w:fill="auto"/>
            <w:vAlign w:val="center"/>
          </w:tcPr>
          <w:p w14:paraId="13A8E741">
            <w:pPr>
              <w:spacing w:line="240" w:lineRule="exact"/>
              <w:textAlignment w:val="center"/>
              <w:rPr>
                <w:rFonts w:hAnsi="宋体" w:cs="仿宋_GB2312"/>
                <w:sz w:val="22"/>
                <w:szCs w:val="22"/>
              </w:rPr>
            </w:pPr>
            <w:r>
              <w:rPr>
                <w:rFonts w:hint="eastAsia" w:hAnsi="宋体" w:cs="仿宋_GB2312"/>
                <w:kern w:val="0"/>
                <w:sz w:val="22"/>
                <w:szCs w:val="22"/>
                <w:lang w:bidi="ar"/>
              </w:rPr>
              <w:t>（三）实施队伍建设铸魂强师行动</w:t>
            </w:r>
          </w:p>
        </w:tc>
        <w:tc>
          <w:tcPr>
            <w:tcW w:w="1080" w:type="dxa"/>
            <w:tcBorders>
              <w:tl2br w:val="nil"/>
              <w:tr2bl w:val="nil"/>
            </w:tcBorders>
            <w:shd w:val="clear" w:color="auto" w:fill="auto"/>
            <w:vAlign w:val="center"/>
          </w:tcPr>
          <w:p w14:paraId="5B157E13">
            <w:pPr>
              <w:spacing w:line="240" w:lineRule="exact"/>
              <w:textAlignment w:val="center"/>
              <w:rPr>
                <w:rFonts w:hAnsi="宋体" w:cs="仿宋_GB2312"/>
                <w:sz w:val="22"/>
                <w:szCs w:val="22"/>
              </w:rPr>
            </w:pPr>
            <w:r>
              <w:rPr>
                <w:rFonts w:hint="eastAsia" w:hAnsi="宋体" w:cs="仿宋_GB2312"/>
                <w:kern w:val="0"/>
                <w:sz w:val="22"/>
                <w:szCs w:val="22"/>
                <w:lang w:bidi="ar"/>
              </w:rPr>
              <w:t>11.弘扬践行教育家精神</w:t>
            </w:r>
          </w:p>
        </w:tc>
        <w:tc>
          <w:tcPr>
            <w:tcW w:w="1101" w:type="dxa"/>
            <w:tcBorders>
              <w:tl2br w:val="nil"/>
              <w:tr2bl w:val="nil"/>
            </w:tcBorders>
            <w:shd w:val="clear" w:color="auto" w:fill="auto"/>
            <w:vAlign w:val="center"/>
          </w:tcPr>
          <w:p w14:paraId="5B0AD492">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区委教育工委、区教委、区委宣传部、区人力社保局、区财政局、区融媒体中心</w:t>
            </w:r>
          </w:p>
        </w:tc>
        <w:tc>
          <w:tcPr>
            <w:tcW w:w="4127" w:type="dxa"/>
            <w:tcBorders>
              <w:tl2br w:val="nil"/>
              <w:tr2bl w:val="nil"/>
            </w:tcBorders>
            <w:shd w:val="clear" w:color="auto" w:fill="auto"/>
            <w:vAlign w:val="center"/>
          </w:tcPr>
          <w:p w14:paraId="47502E9E">
            <w:pPr>
              <w:spacing w:line="240" w:lineRule="exact"/>
              <w:textAlignment w:val="center"/>
              <w:rPr>
                <w:rFonts w:hAnsi="宋体" w:cs="仿宋_GB2312"/>
                <w:sz w:val="22"/>
                <w:szCs w:val="22"/>
              </w:rPr>
            </w:pPr>
            <w:r>
              <w:rPr>
                <w:rFonts w:hint="eastAsia" w:hAnsi="宋体" w:cs="仿宋_GB2312"/>
                <w:kern w:val="0"/>
                <w:sz w:val="22"/>
                <w:szCs w:val="22"/>
                <w:lang w:bidi="ar"/>
              </w:rPr>
              <w:t>将师德规范和教育家精神融入教师培训内容。将9月设立为“教师宣传月”，选树宣传“身边好老师”，讲好师德故事。对教师加强师德警示教育，严肃查处师德失范行为。</w:t>
            </w:r>
          </w:p>
        </w:tc>
        <w:tc>
          <w:tcPr>
            <w:tcW w:w="4127" w:type="dxa"/>
            <w:tcBorders>
              <w:tl2br w:val="nil"/>
              <w:tr2bl w:val="nil"/>
            </w:tcBorders>
            <w:shd w:val="clear" w:color="auto" w:fill="auto"/>
            <w:vAlign w:val="center"/>
          </w:tcPr>
          <w:p w14:paraId="5A08DEB8">
            <w:pPr>
              <w:spacing w:line="240" w:lineRule="exact"/>
              <w:textAlignment w:val="center"/>
              <w:rPr>
                <w:rFonts w:hAnsi="宋体" w:cs="仿宋_GB2312"/>
                <w:sz w:val="22"/>
                <w:szCs w:val="22"/>
              </w:rPr>
            </w:pPr>
            <w:r>
              <w:rPr>
                <w:rFonts w:hint="eastAsia" w:hAnsi="宋体" w:cs="仿宋_GB2312"/>
                <w:kern w:val="0"/>
                <w:sz w:val="22"/>
                <w:szCs w:val="22"/>
                <w:lang w:bidi="ar"/>
              </w:rPr>
              <w:t>建立师德规范和教育家精神融入教师培训长效工作机制。持续开展“教师宣传月”活动，健全师德典型选树宣传工作机制，丰富工作形式，讲好师德故事。严肃查处师德失范行为。</w:t>
            </w:r>
          </w:p>
        </w:tc>
        <w:tc>
          <w:tcPr>
            <w:tcW w:w="4128" w:type="dxa"/>
            <w:tcBorders>
              <w:tl2br w:val="nil"/>
              <w:tr2bl w:val="nil"/>
            </w:tcBorders>
            <w:shd w:val="clear" w:color="auto" w:fill="auto"/>
            <w:vAlign w:val="center"/>
          </w:tcPr>
          <w:p w14:paraId="00EC0B69">
            <w:pPr>
              <w:spacing w:line="240" w:lineRule="exact"/>
              <w:textAlignment w:val="center"/>
              <w:rPr>
                <w:rFonts w:hAnsi="宋体" w:cs="仿宋_GB2312"/>
                <w:sz w:val="22"/>
                <w:szCs w:val="22"/>
              </w:rPr>
            </w:pPr>
            <w:r>
              <w:rPr>
                <w:rFonts w:hint="eastAsia" w:hAnsi="宋体" w:cs="仿宋_GB2312"/>
                <w:kern w:val="0"/>
                <w:sz w:val="22"/>
                <w:szCs w:val="22"/>
                <w:lang w:bidi="ar"/>
              </w:rPr>
              <w:t>建立健全师德典型选树宣传与违反师德行为惩处常态工作机制，推动教育家精神融入教师培养培训全过程。</w:t>
            </w:r>
          </w:p>
        </w:tc>
      </w:tr>
      <w:tr w14:paraId="03FD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3" w:hRule="atLeast"/>
        </w:trPr>
        <w:tc>
          <w:tcPr>
            <w:tcW w:w="1080" w:type="dxa"/>
            <w:vMerge w:val="continue"/>
            <w:tcBorders>
              <w:tl2br w:val="nil"/>
              <w:tr2bl w:val="nil"/>
            </w:tcBorders>
            <w:shd w:val="clear" w:color="auto" w:fill="auto"/>
            <w:vAlign w:val="center"/>
          </w:tcPr>
          <w:p w14:paraId="2CEBCBAF">
            <w:pPr>
              <w:spacing w:line="240" w:lineRule="exact"/>
              <w:textAlignment w:val="center"/>
              <w:rPr>
                <w:rFonts w:hAnsi="宋体" w:cs="仿宋_GB2312"/>
                <w:sz w:val="22"/>
                <w:szCs w:val="22"/>
              </w:rPr>
            </w:pPr>
          </w:p>
        </w:tc>
        <w:tc>
          <w:tcPr>
            <w:tcW w:w="1080" w:type="dxa"/>
            <w:tcBorders>
              <w:tl2br w:val="nil"/>
              <w:tr2bl w:val="nil"/>
            </w:tcBorders>
            <w:shd w:val="clear" w:color="auto" w:fill="auto"/>
            <w:vAlign w:val="center"/>
          </w:tcPr>
          <w:p w14:paraId="3E926B8E">
            <w:pPr>
              <w:spacing w:line="240" w:lineRule="exact"/>
              <w:textAlignment w:val="center"/>
              <w:rPr>
                <w:rFonts w:hAnsi="宋体" w:cs="仿宋_GB2312"/>
                <w:sz w:val="22"/>
                <w:szCs w:val="22"/>
              </w:rPr>
            </w:pPr>
            <w:r>
              <w:rPr>
                <w:rFonts w:hint="eastAsia" w:hAnsi="宋体" w:cs="仿宋_GB2312"/>
                <w:kern w:val="0"/>
                <w:sz w:val="22"/>
                <w:szCs w:val="22"/>
                <w:lang w:bidi="ar"/>
              </w:rPr>
              <w:t>12.提高干部队伍领航能力</w:t>
            </w:r>
          </w:p>
        </w:tc>
        <w:tc>
          <w:tcPr>
            <w:tcW w:w="1101" w:type="dxa"/>
            <w:tcBorders>
              <w:tl2br w:val="nil"/>
              <w:tr2bl w:val="nil"/>
            </w:tcBorders>
            <w:shd w:val="clear" w:color="auto" w:fill="auto"/>
            <w:vAlign w:val="center"/>
          </w:tcPr>
          <w:p w14:paraId="33D0BD8B">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区委教育工委、区委组织部、区委编办、区教委、区人力社保局、区财政局</w:t>
            </w:r>
          </w:p>
        </w:tc>
        <w:tc>
          <w:tcPr>
            <w:tcW w:w="4127" w:type="dxa"/>
            <w:tcBorders>
              <w:tl2br w:val="nil"/>
              <w:tr2bl w:val="nil"/>
            </w:tcBorders>
            <w:shd w:val="clear" w:color="auto" w:fill="auto"/>
            <w:vAlign w:val="center"/>
          </w:tcPr>
          <w:p w14:paraId="079FC639">
            <w:pPr>
              <w:spacing w:line="240" w:lineRule="exact"/>
              <w:textAlignment w:val="center"/>
              <w:rPr>
                <w:rFonts w:hAnsi="宋体" w:cs="仿宋_GB2312"/>
                <w:sz w:val="22"/>
                <w:szCs w:val="22"/>
              </w:rPr>
            </w:pPr>
            <w:r>
              <w:rPr>
                <w:rStyle w:val="15"/>
                <w:rFonts w:hint="default" w:hAnsi="宋体"/>
                <w:color w:val="auto"/>
                <w:u w:val="none"/>
                <w:lang w:bidi="ar"/>
              </w:rPr>
              <w:t>出台《延庆区教育人才引进办法》，引进知名校长、特级教师、省市级学科带头人等领军型骨干教师1-3人，积极引进学科竞赛金牌教练等具有专长的特殊人才。</w:t>
            </w:r>
            <w:r>
              <w:rPr>
                <w:rStyle w:val="14"/>
                <w:rFonts w:hint="default" w:hAnsi="宋体"/>
                <w:color w:val="auto"/>
                <w:lang w:bidi="ar"/>
              </w:rPr>
              <w:t>出台《延庆区中小学书记（校长）管理办法》，选派优秀青年干部到名校挂职、出任执行校长、参与高端培训不少于2人。开展名校长、特级校长工作室，组织学校校长教育教学质量提升管理论坛不少于1期。开展第七期青年人才班培训，加大对年级组长、中层干部的选任和培养力度，完善中层干部竞聘上岗、副校级干部竞聘工作机制。优化</w:t>
            </w:r>
            <w:r>
              <w:rPr>
                <w:rStyle w:val="14"/>
                <w:rFonts w:hAnsi="宋体"/>
                <w:color w:val="auto"/>
                <w:lang w:bidi="ar"/>
              </w:rPr>
              <w:t>教育两委</w:t>
            </w:r>
            <w:r>
              <w:rPr>
                <w:rStyle w:val="14"/>
                <w:rFonts w:hint="default" w:hAnsi="宋体"/>
                <w:color w:val="auto"/>
                <w:lang w:bidi="ar"/>
              </w:rPr>
              <w:t>科室和事业单位设置，推进事业单位改革</w:t>
            </w:r>
            <w:r>
              <w:rPr>
                <w:rStyle w:val="15"/>
                <w:rFonts w:hint="default" w:hAnsi="宋体"/>
                <w:color w:val="auto"/>
                <w:u w:val="none"/>
                <w:lang w:bidi="ar"/>
              </w:rPr>
              <w:t>。</w:t>
            </w:r>
            <w:r>
              <w:rPr>
                <w:rStyle w:val="14"/>
                <w:rFonts w:hint="default" w:hAnsi="宋体"/>
                <w:color w:val="auto"/>
                <w:lang w:bidi="ar"/>
              </w:rPr>
              <w:t>校科级干部研究生以上学历（学位）提高至13.5%以上，平均年龄下降到49.5岁以下，培养后备校（园）长10人、卓越校（园）长2人、特级校（园）长1人。</w:t>
            </w:r>
          </w:p>
        </w:tc>
        <w:tc>
          <w:tcPr>
            <w:tcW w:w="4127" w:type="dxa"/>
            <w:tcBorders>
              <w:tl2br w:val="nil"/>
              <w:tr2bl w:val="nil"/>
            </w:tcBorders>
            <w:shd w:val="clear" w:color="auto" w:fill="auto"/>
            <w:vAlign w:val="center"/>
          </w:tcPr>
          <w:p w14:paraId="74E915DE">
            <w:pPr>
              <w:spacing w:line="240" w:lineRule="exact"/>
              <w:textAlignment w:val="center"/>
              <w:rPr>
                <w:rFonts w:hAnsi="宋体" w:cs="仿宋_GB2312"/>
                <w:sz w:val="22"/>
                <w:szCs w:val="22"/>
              </w:rPr>
            </w:pPr>
            <w:r>
              <w:rPr>
                <w:rStyle w:val="15"/>
                <w:rFonts w:hint="default" w:hAnsi="宋体"/>
                <w:color w:val="auto"/>
                <w:u w:val="none"/>
                <w:lang w:bidi="ar"/>
              </w:rPr>
              <w:t>引进知名校长、特级教师、省市级学科带头人等领军型骨干教师1-3人，积极引进学科竞赛金牌教练等具有专长的特殊人才。</w:t>
            </w:r>
            <w:r>
              <w:rPr>
                <w:rStyle w:val="14"/>
                <w:rFonts w:hint="default" w:hAnsi="宋体"/>
                <w:color w:val="auto"/>
                <w:lang w:bidi="ar"/>
              </w:rPr>
              <w:t>选派优秀青年干部到名校挂职、出任执行校长、参与高端培训不少于2人。开展名校长、特级校长工作室，组织学校校长教育教学质量提升管理论坛不少于1期。开展第八期青年人才班培训，建立青年人才储备库，开展中层干部竞聘上岗。优化教</w:t>
            </w:r>
            <w:r>
              <w:rPr>
                <w:rStyle w:val="14"/>
                <w:rFonts w:hAnsi="宋体"/>
                <w:color w:val="auto"/>
                <w:lang w:bidi="ar"/>
              </w:rPr>
              <w:t>教育两委</w:t>
            </w:r>
            <w:r>
              <w:rPr>
                <w:rStyle w:val="14"/>
                <w:rFonts w:hint="default" w:hAnsi="宋体"/>
                <w:color w:val="auto"/>
                <w:lang w:bidi="ar"/>
              </w:rPr>
              <w:t>科室和事业单位设置，推进事业单位改革，建立</w:t>
            </w:r>
            <w:r>
              <w:rPr>
                <w:rStyle w:val="14"/>
                <w:rFonts w:hAnsi="宋体"/>
                <w:color w:val="auto"/>
                <w:lang w:bidi="ar"/>
              </w:rPr>
              <w:t>健全</w:t>
            </w:r>
            <w:r>
              <w:rPr>
                <w:rStyle w:val="14"/>
                <w:rFonts w:hint="default" w:hAnsi="宋体"/>
                <w:color w:val="auto"/>
                <w:lang w:bidi="ar"/>
              </w:rPr>
              <w:t>区域内跨系统干部交流轮岗机制。校科级干部研究生以上学历（学位）提高至17.3%以上，平均年龄下降到49.2岁以下，培养后备校（园）长10人、卓越校（园）长2人、特级校（园）长1人。</w:t>
            </w:r>
          </w:p>
        </w:tc>
        <w:tc>
          <w:tcPr>
            <w:tcW w:w="4128" w:type="dxa"/>
            <w:tcBorders>
              <w:tl2br w:val="nil"/>
              <w:tr2bl w:val="nil"/>
            </w:tcBorders>
            <w:shd w:val="clear" w:color="auto" w:fill="auto"/>
            <w:vAlign w:val="center"/>
          </w:tcPr>
          <w:p w14:paraId="1FA2F521">
            <w:pPr>
              <w:spacing w:line="240" w:lineRule="exact"/>
              <w:textAlignment w:val="center"/>
              <w:rPr>
                <w:rFonts w:hAnsi="宋体" w:cs="仿宋_GB2312"/>
                <w:sz w:val="22"/>
                <w:szCs w:val="22"/>
              </w:rPr>
            </w:pPr>
            <w:r>
              <w:rPr>
                <w:rStyle w:val="15"/>
                <w:rFonts w:hint="default" w:hAnsi="宋体"/>
                <w:color w:val="auto"/>
                <w:u w:val="none"/>
                <w:lang w:bidi="ar"/>
              </w:rPr>
              <w:t>引进知名校长、特级教师、省市级学科带头人等领军型骨干教师1-3人，积极引进学科竞赛金牌教练等具有专长的特殊人才。</w:t>
            </w:r>
            <w:r>
              <w:rPr>
                <w:rStyle w:val="14"/>
                <w:rFonts w:hint="default" w:hAnsi="宋体"/>
                <w:color w:val="auto"/>
                <w:lang w:bidi="ar"/>
              </w:rPr>
              <w:t>选派优秀青年干部到名校挂职、出任执行校长、参与高端培训不少于2人。探索副校级干部竞聘试点。推进事业单位改革，建立</w:t>
            </w:r>
            <w:r>
              <w:rPr>
                <w:rStyle w:val="14"/>
                <w:rFonts w:hAnsi="宋体"/>
                <w:color w:val="auto"/>
                <w:lang w:bidi="ar"/>
              </w:rPr>
              <w:t>健全</w:t>
            </w:r>
            <w:r>
              <w:rPr>
                <w:rStyle w:val="14"/>
                <w:rFonts w:hint="default" w:hAnsi="宋体"/>
                <w:color w:val="auto"/>
                <w:lang w:bidi="ar"/>
              </w:rPr>
              <w:t>区域内跨系统干部交流轮岗机制。校科级干部研究生以上学历（学位）提高至23%以上，平均年龄下降到49岁以下，培养后备校（园）长10人、卓越校（园）长2人、特级校（园）长1人。</w:t>
            </w:r>
          </w:p>
        </w:tc>
      </w:tr>
      <w:tr w14:paraId="4ED8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trPr>
        <w:tc>
          <w:tcPr>
            <w:tcW w:w="1080" w:type="dxa"/>
            <w:vMerge w:val="restart"/>
            <w:tcBorders>
              <w:tl2br w:val="nil"/>
              <w:tr2bl w:val="nil"/>
            </w:tcBorders>
            <w:shd w:val="clear" w:color="auto" w:fill="auto"/>
            <w:vAlign w:val="center"/>
          </w:tcPr>
          <w:p w14:paraId="34CDDE65">
            <w:pPr>
              <w:spacing w:line="240" w:lineRule="exact"/>
              <w:textAlignment w:val="center"/>
              <w:rPr>
                <w:rFonts w:hAnsi="宋体" w:cs="仿宋_GB2312"/>
                <w:sz w:val="22"/>
                <w:szCs w:val="22"/>
              </w:rPr>
            </w:pPr>
            <w:r>
              <w:rPr>
                <w:rFonts w:hint="eastAsia" w:hAnsi="宋体" w:cs="仿宋_GB2312"/>
                <w:kern w:val="0"/>
                <w:sz w:val="22"/>
                <w:szCs w:val="22"/>
                <w:lang w:bidi="ar"/>
              </w:rPr>
              <w:t>（三）实施队伍建设铸魂强师行动</w:t>
            </w:r>
          </w:p>
        </w:tc>
        <w:tc>
          <w:tcPr>
            <w:tcW w:w="1080" w:type="dxa"/>
            <w:tcBorders>
              <w:tl2br w:val="nil"/>
              <w:tr2bl w:val="nil"/>
            </w:tcBorders>
            <w:shd w:val="clear" w:color="auto" w:fill="auto"/>
            <w:vAlign w:val="center"/>
          </w:tcPr>
          <w:p w14:paraId="52BBDD48">
            <w:pPr>
              <w:spacing w:line="240" w:lineRule="exact"/>
              <w:textAlignment w:val="center"/>
              <w:rPr>
                <w:rFonts w:hAnsi="宋体" w:cs="仿宋_GB2312"/>
                <w:sz w:val="22"/>
                <w:szCs w:val="22"/>
              </w:rPr>
            </w:pPr>
            <w:r>
              <w:rPr>
                <w:rFonts w:hint="eastAsia" w:hAnsi="宋体" w:cs="仿宋_GB2312"/>
                <w:kern w:val="0"/>
                <w:sz w:val="22"/>
                <w:szCs w:val="22"/>
                <w:lang w:bidi="ar"/>
              </w:rPr>
              <w:t>13.提升教师队伍育人水平</w:t>
            </w:r>
          </w:p>
        </w:tc>
        <w:tc>
          <w:tcPr>
            <w:tcW w:w="1101" w:type="dxa"/>
            <w:tcBorders>
              <w:tl2br w:val="nil"/>
              <w:tr2bl w:val="nil"/>
            </w:tcBorders>
            <w:shd w:val="clear" w:color="auto" w:fill="auto"/>
            <w:vAlign w:val="center"/>
          </w:tcPr>
          <w:p w14:paraId="3FC25A8B">
            <w:pPr>
              <w:spacing w:line="240" w:lineRule="exact"/>
              <w:textAlignment w:val="center"/>
              <w:rPr>
                <w:rFonts w:hAnsi="宋体" w:cs="仿宋_GB2312"/>
                <w:sz w:val="22"/>
                <w:szCs w:val="22"/>
              </w:rPr>
            </w:pPr>
            <w:r>
              <w:rPr>
                <w:rFonts w:hint="eastAsia" w:hAnsi="宋体" w:cs="仿宋_GB2312"/>
                <w:kern w:val="0"/>
                <w:sz w:val="22"/>
                <w:szCs w:val="22"/>
                <w:lang w:bidi="ar"/>
              </w:rPr>
              <w:t>区教委、区人力社保局、区委编办、区财政局</w:t>
            </w:r>
          </w:p>
        </w:tc>
        <w:tc>
          <w:tcPr>
            <w:tcW w:w="4127" w:type="dxa"/>
            <w:tcBorders>
              <w:tl2br w:val="nil"/>
              <w:tr2bl w:val="nil"/>
            </w:tcBorders>
            <w:shd w:val="clear" w:color="auto" w:fill="auto"/>
            <w:vAlign w:val="center"/>
          </w:tcPr>
          <w:p w14:paraId="28BD4900">
            <w:pPr>
              <w:spacing w:line="240" w:lineRule="exact"/>
              <w:textAlignment w:val="center"/>
              <w:rPr>
                <w:rFonts w:hAnsi="宋体" w:cs="仿宋_GB2312"/>
                <w:sz w:val="22"/>
                <w:szCs w:val="22"/>
              </w:rPr>
            </w:pPr>
            <w:r>
              <w:rPr>
                <w:rStyle w:val="14"/>
                <w:rFonts w:hint="default" w:hAnsi="宋体"/>
                <w:color w:val="auto"/>
                <w:lang w:bidi="ar"/>
              </w:rPr>
              <w:t>招聘非京生源数量逐年提高，启动教师学历提升计划，专任教师本科及以上学历占比提高至96.5%，研究生学历占比提高至9.2%。深化“区管校聘”管理改革，持续推进教师交流轮岗，探索实施“银龄计划”，根据需要适时启动“员额制”改革。实施教师“群雁齐飞”计划，健全分层分类培训体系，年度培训干部教师不少于8000人次。培养“园丁新秀”和</w:t>
            </w:r>
            <w:r>
              <w:rPr>
                <w:rFonts w:hint="eastAsia" w:hAnsi="宋体" w:cs="仿宋_GB2312"/>
                <w:kern w:val="0"/>
                <w:sz w:val="22"/>
                <w:szCs w:val="22"/>
                <w:lang w:bidi="ar"/>
              </w:rPr>
              <w:t>“百优班主任”各30人</w:t>
            </w:r>
            <w:r>
              <w:rPr>
                <w:rStyle w:val="14"/>
                <w:rFonts w:hint="default" w:hAnsi="宋体"/>
                <w:color w:val="auto"/>
                <w:lang w:bidi="ar"/>
              </w:rPr>
              <w:t>，培育储备优秀骨干教师100人。</w:t>
            </w:r>
            <w:r>
              <w:rPr>
                <w:rFonts w:hint="eastAsia" w:hAnsi="宋体" w:cs="仿宋_GB2312"/>
                <w:kern w:val="0"/>
                <w:sz w:val="22"/>
                <w:szCs w:val="22"/>
                <w:lang w:bidi="ar"/>
              </w:rPr>
              <w:t>完善教研员动态管理机制，创新“研培结合、以研促培”一体化培养和评价模式，常态化开展岗位大练兵和教师全员实训。</w:t>
            </w:r>
          </w:p>
        </w:tc>
        <w:tc>
          <w:tcPr>
            <w:tcW w:w="4127" w:type="dxa"/>
            <w:tcBorders>
              <w:tl2br w:val="nil"/>
              <w:tr2bl w:val="nil"/>
            </w:tcBorders>
            <w:shd w:val="clear" w:color="auto" w:fill="auto"/>
            <w:vAlign w:val="center"/>
          </w:tcPr>
          <w:p w14:paraId="7483620E">
            <w:pPr>
              <w:spacing w:line="240" w:lineRule="exact"/>
              <w:textAlignment w:val="center"/>
              <w:rPr>
                <w:rFonts w:hAnsi="宋体" w:cs="仿宋_GB2312"/>
                <w:sz w:val="22"/>
                <w:szCs w:val="22"/>
              </w:rPr>
            </w:pPr>
            <w:r>
              <w:rPr>
                <w:rStyle w:val="14"/>
                <w:rFonts w:hint="default" w:hAnsi="宋体"/>
                <w:color w:val="auto"/>
                <w:lang w:bidi="ar"/>
              </w:rPr>
              <w:t>招聘非京生源数量逐年提高，启动教师学历提升计划，专任教师本科及以上学历占比提高至96.7%，研究生学历占比提高至9.6%。深化“区管校聘”管理改革，持续推进教师交流轮岗，逐年提高小学阶段本科、中学阶段研究生学历教师所占比例。探索实施“银龄计划”。实施教师“群雁齐飞”计划，健全分层分类培训体系，年度培训干部教师不少于8000人次。培养“园丁新秀”和</w:t>
            </w:r>
            <w:r>
              <w:rPr>
                <w:rFonts w:hint="eastAsia" w:hAnsi="宋体" w:cs="仿宋_GB2312"/>
                <w:kern w:val="0"/>
                <w:sz w:val="22"/>
                <w:szCs w:val="22"/>
                <w:lang w:bidi="ar"/>
              </w:rPr>
              <w:t>“百优班主任”各30人</w:t>
            </w:r>
            <w:r>
              <w:rPr>
                <w:rStyle w:val="14"/>
                <w:rFonts w:hint="default" w:hAnsi="宋体"/>
                <w:color w:val="auto"/>
                <w:lang w:bidi="ar"/>
              </w:rPr>
              <w:t>，培育储备优秀骨干教师200人，培养市级以上骨干教师60人。</w:t>
            </w:r>
            <w:r>
              <w:rPr>
                <w:rFonts w:hint="eastAsia" w:hAnsi="宋体" w:cs="仿宋_GB2312"/>
                <w:kern w:val="0"/>
                <w:sz w:val="22"/>
                <w:szCs w:val="22"/>
                <w:lang w:bidi="ar"/>
              </w:rPr>
              <w:t>探索特级、正高级、市级骨干教师等到教研机构交流任职机制，推动教研员到基层一线练兵，常态化开展岗位大练兵和教师全员实训。</w:t>
            </w:r>
          </w:p>
        </w:tc>
        <w:tc>
          <w:tcPr>
            <w:tcW w:w="4128" w:type="dxa"/>
            <w:tcBorders>
              <w:tl2br w:val="nil"/>
              <w:tr2bl w:val="nil"/>
            </w:tcBorders>
            <w:shd w:val="clear" w:color="auto" w:fill="auto"/>
            <w:vAlign w:val="center"/>
          </w:tcPr>
          <w:p w14:paraId="5ABC7C87">
            <w:pPr>
              <w:spacing w:line="240" w:lineRule="exact"/>
              <w:textAlignment w:val="center"/>
              <w:rPr>
                <w:rFonts w:hAnsi="宋体" w:cs="仿宋_GB2312"/>
                <w:sz w:val="22"/>
                <w:szCs w:val="22"/>
              </w:rPr>
            </w:pPr>
            <w:r>
              <w:rPr>
                <w:rStyle w:val="14"/>
                <w:rFonts w:hint="default" w:hAnsi="宋体"/>
                <w:color w:val="auto"/>
                <w:lang w:bidi="ar"/>
              </w:rPr>
              <w:t>招聘非京生源数量逐年提高，启动教师学历提升计划，专任教师本科及以上学历占比提高至97%，研究生学历占比提高至10%。深化“区管校聘”管理改革，持续推进教师交流轮岗，探索实施“银龄计划”，根据需要启动“员额制”改革。实施教师“群雁齐飞”计划，健全分层分类培训体系，年度培训干部教师不少于8000人次。培养“园丁新秀”和</w:t>
            </w:r>
            <w:r>
              <w:rPr>
                <w:rFonts w:hint="eastAsia" w:hAnsi="宋体" w:cs="仿宋_GB2312"/>
                <w:kern w:val="0"/>
                <w:sz w:val="22"/>
                <w:szCs w:val="22"/>
                <w:lang w:bidi="ar"/>
              </w:rPr>
              <w:t>“百优班主任”各40人</w:t>
            </w:r>
            <w:r>
              <w:rPr>
                <w:rStyle w:val="14"/>
                <w:rFonts w:hint="default" w:hAnsi="宋体"/>
                <w:color w:val="auto"/>
                <w:lang w:bidi="ar"/>
              </w:rPr>
              <w:t>，培育储备优秀骨干教师200人</w:t>
            </w:r>
            <w:r>
              <w:rPr>
                <w:rFonts w:hint="eastAsia" w:hAnsi="宋体" w:cs="仿宋_GB2312"/>
                <w:kern w:val="0"/>
                <w:sz w:val="22"/>
                <w:szCs w:val="22"/>
                <w:lang w:bidi="ar"/>
              </w:rPr>
              <w:t>。教研员到基层一线练兵三年实现全覆盖，构建“一横两纵”大教研格局，打造“全域教研”品牌。</w:t>
            </w:r>
          </w:p>
        </w:tc>
      </w:tr>
      <w:tr w14:paraId="3CF9D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2" w:hRule="atLeast"/>
        </w:trPr>
        <w:tc>
          <w:tcPr>
            <w:tcW w:w="1080" w:type="dxa"/>
            <w:vMerge w:val="continue"/>
            <w:tcBorders>
              <w:tl2br w:val="nil"/>
              <w:tr2bl w:val="nil"/>
            </w:tcBorders>
            <w:shd w:val="clear" w:color="auto" w:fill="auto"/>
            <w:vAlign w:val="center"/>
          </w:tcPr>
          <w:p w14:paraId="191F9381">
            <w:pPr>
              <w:spacing w:line="240" w:lineRule="exact"/>
              <w:rPr>
                <w:rFonts w:hAnsi="宋体" w:cs="仿宋_GB2312"/>
                <w:sz w:val="22"/>
                <w:szCs w:val="22"/>
              </w:rPr>
            </w:pPr>
          </w:p>
        </w:tc>
        <w:tc>
          <w:tcPr>
            <w:tcW w:w="1080" w:type="dxa"/>
            <w:tcBorders>
              <w:tl2br w:val="nil"/>
              <w:tr2bl w:val="nil"/>
            </w:tcBorders>
            <w:shd w:val="clear" w:color="auto" w:fill="auto"/>
            <w:vAlign w:val="center"/>
          </w:tcPr>
          <w:p w14:paraId="6AC8AB95">
            <w:pPr>
              <w:spacing w:line="240" w:lineRule="exact"/>
              <w:textAlignment w:val="center"/>
              <w:rPr>
                <w:rFonts w:hAnsi="宋体" w:cs="仿宋_GB2312"/>
                <w:sz w:val="22"/>
                <w:szCs w:val="22"/>
              </w:rPr>
            </w:pPr>
            <w:r>
              <w:rPr>
                <w:rFonts w:hint="eastAsia" w:hAnsi="宋体" w:cs="仿宋_GB2312"/>
                <w:kern w:val="0"/>
                <w:sz w:val="22"/>
                <w:szCs w:val="22"/>
                <w:lang w:bidi="ar"/>
              </w:rPr>
              <w:t>14.健全保障激励机制</w:t>
            </w:r>
          </w:p>
        </w:tc>
        <w:tc>
          <w:tcPr>
            <w:tcW w:w="1101" w:type="dxa"/>
            <w:tcBorders>
              <w:tl2br w:val="nil"/>
              <w:tr2bl w:val="nil"/>
            </w:tcBorders>
            <w:shd w:val="clear" w:color="auto" w:fill="auto"/>
            <w:vAlign w:val="center"/>
          </w:tcPr>
          <w:p w14:paraId="6B17C2C1">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区委教育工委、区教委、区人力社保局、区财政局、区卫健委、区工商联、区总工会</w:t>
            </w:r>
          </w:p>
        </w:tc>
        <w:tc>
          <w:tcPr>
            <w:tcW w:w="4127" w:type="dxa"/>
            <w:tcBorders>
              <w:tl2br w:val="nil"/>
              <w:tr2bl w:val="nil"/>
            </w:tcBorders>
            <w:shd w:val="clear" w:color="auto" w:fill="auto"/>
            <w:vAlign w:val="center"/>
          </w:tcPr>
          <w:p w14:paraId="419FF022">
            <w:pPr>
              <w:spacing w:line="240" w:lineRule="exact"/>
              <w:textAlignment w:val="center"/>
              <w:rPr>
                <w:rFonts w:hAnsi="宋体" w:cs="仿宋_GB2312"/>
                <w:sz w:val="22"/>
                <w:szCs w:val="22"/>
              </w:rPr>
            </w:pPr>
            <w:r>
              <w:rPr>
                <w:rStyle w:val="14"/>
                <w:rFonts w:hint="default" w:hAnsi="宋体"/>
                <w:color w:val="auto"/>
                <w:lang w:bidi="ar"/>
              </w:rPr>
              <w:t>完善学校书记校长职级动态调整机制，完成书记校长职级动态调整1轮。研究制定党政正职干部任期责任制工作方案，严格年度考核和任期考核，</w:t>
            </w:r>
            <w:r>
              <w:rPr>
                <w:rFonts w:hint="eastAsia" w:hAnsi="宋体" w:cs="仿宋_GB2312"/>
                <w:sz w:val="22"/>
                <w:szCs w:val="22"/>
              </w:rPr>
              <w:t>推动干部能上能下</w:t>
            </w:r>
            <w:r>
              <w:rPr>
                <w:rStyle w:val="14"/>
                <w:rFonts w:hint="default" w:hAnsi="宋体"/>
                <w:color w:val="auto"/>
                <w:lang w:bidi="ar"/>
              </w:rPr>
              <w:t>。</w:t>
            </w:r>
            <w:r>
              <w:rPr>
                <w:rFonts w:hint="eastAsia" w:hAnsi="宋体" w:cs="仿宋_GB2312"/>
                <w:kern w:val="0"/>
                <w:sz w:val="22"/>
                <w:szCs w:val="22"/>
                <w:lang w:bidi="ar"/>
              </w:rPr>
              <w:t>推进教师考核评价改革，突出教育教学实绩导向。严格落实教师减负专项行动，监督各层面有效减轻教师非教育教学任务负担。</w:t>
            </w:r>
          </w:p>
        </w:tc>
        <w:tc>
          <w:tcPr>
            <w:tcW w:w="4127" w:type="dxa"/>
            <w:tcBorders>
              <w:tl2br w:val="nil"/>
              <w:tr2bl w:val="nil"/>
            </w:tcBorders>
            <w:shd w:val="clear" w:color="auto" w:fill="auto"/>
            <w:vAlign w:val="center"/>
          </w:tcPr>
          <w:p w14:paraId="2248A31E">
            <w:pPr>
              <w:spacing w:line="240" w:lineRule="exact"/>
              <w:textAlignment w:val="center"/>
              <w:rPr>
                <w:rFonts w:hAnsi="宋体" w:cs="仿宋_GB2312"/>
                <w:sz w:val="22"/>
                <w:szCs w:val="22"/>
              </w:rPr>
            </w:pPr>
            <w:r>
              <w:rPr>
                <w:rStyle w:val="14"/>
                <w:rFonts w:hint="default" w:hAnsi="宋体"/>
                <w:color w:val="auto"/>
                <w:lang w:bidi="ar"/>
              </w:rPr>
              <w:t>完善学校书记校长职级动态调整机制，完成书记校长职级动态调整1轮。落实党政正职干部任期责任制，严格年度考核和任期考核，</w:t>
            </w:r>
            <w:r>
              <w:rPr>
                <w:rFonts w:hint="eastAsia" w:hAnsi="宋体" w:cs="仿宋_GB2312"/>
                <w:sz w:val="22"/>
                <w:szCs w:val="22"/>
              </w:rPr>
              <w:t>推动干部能上能下</w:t>
            </w:r>
            <w:r>
              <w:rPr>
                <w:rStyle w:val="14"/>
                <w:rFonts w:hint="default" w:hAnsi="宋体"/>
                <w:color w:val="auto"/>
                <w:lang w:bidi="ar"/>
              </w:rPr>
              <w:t>。</w:t>
            </w:r>
            <w:r>
              <w:rPr>
                <w:rFonts w:hint="eastAsia" w:hAnsi="宋体" w:cs="仿宋_GB2312"/>
                <w:kern w:val="0"/>
                <w:sz w:val="22"/>
                <w:szCs w:val="22"/>
                <w:lang w:bidi="ar"/>
              </w:rPr>
              <w:t>完善骨干教师评选、职称评聘、奖励评优工作机制，突出教育教学实绩导向，开展新一轮骨干教师评选推荐工作。</w:t>
            </w:r>
          </w:p>
        </w:tc>
        <w:tc>
          <w:tcPr>
            <w:tcW w:w="4128" w:type="dxa"/>
            <w:tcBorders>
              <w:tl2br w:val="nil"/>
              <w:tr2bl w:val="nil"/>
            </w:tcBorders>
            <w:shd w:val="clear" w:color="auto" w:fill="auto"/>
            <w:vAlign w:val="center"/>
          </w:tcPr>
          <w:p w14:paraId="1D860BAD">
            <w:pPr>
              <w:spacing w:line="240" w:lineRule="exact"/>
              <w:textAlignment w:val="center"/>
              <w:rPr>
                <w:rFonts w:hAnsi="宋体" w:cs="仿宋_GB2312"/>
                <w:sz w:val="22"/>
                <w:szCs w:val="22"/>
              </w:rPr>
            </w:pPr>
            <w:r>
              <w:rPr>
                <w:rStyle w:val="14"/>
                <w:rFonts w:hint="default" w:hAnsi="宋体"/>
                <w:color w:val="auto"/>
                <w:lang w:bidi="ar"/>
              </w:rPr>
              <w:t>完成学校书记校长职级动态调整1轮。实施任期责任制，严格年度考核和任期考核，</w:t>
            </w:r>
            <w:r>
              <w:rPr>
                <w:rFonts w:hint="eastAsia" w:hAnsi="宋体" w:cs="仿宋_GB2312"/>
                <w:sz w:val="22"/>
                <w:szCs w:val="22"/>
              </w:rPr>
              <w:t>推动干部能上能下</w:t>
            </w:r>
            <w:r>
              <w:rPr>
                <w:rStyle w:val="14"/>
                <w:rFonts w:hint="default" w:hAnsi="宋体"/>
                <w:color w:val="auto"/>
                <w:lang w:bidi="ar"/>
              </w:rPr>
              <w:t>。</w:t>
            </w:r>
            <w:r>
              <w:rPr>
                <w:rFonts w:hint="eastAsia" w:hAnsi="宋体" w:cs="仿宋_GB2312"/>
                <w:kern w:val="0"/>
                <w:sz w:val="22"/>
                <w:szCs w:val="22"/>
                <w:lang w:bidi="ar"/>
              </w:rPr>
              <w:t>健全教师考核评价、教师减负长效工作机制，激发教师队伍内驱力，引导教师安心从教、潜心育人。</w:t>
            </w:r>
          </w:p>
        </w:tc>
      </w:tr>
      <w:tr w14:paraId="578E2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trPr>
        <w:tc>
          <w:tcPr>
            <w:tcW w:w="1080" w:type="dxa"/>
            <w:vMerge w:val="restart"/>
            <w:tcBorders>
              <w:tl2br w:val="nil"/>
              <w:tr2bl w:val="nil"/>
            </w:tcBorders>
            <w:shd w:val="clear" w:color="auto" w:fill="auto"/>
            <w:vAlign w:val="center"/>
          </w:tcPr>
          <w:p w14:paraId="239850A6">
            <w:pPr>
              <w:spacing w:line="240" w:lineRule="exact"/>
              <w:textAlignment w:val="center"/>
              <w:rPr>
                <w:rFonts w:hAnsi="宋体" w:cs="仿宋_GB2312"/>
                <w:sz w:val="22"/>
                <w:szCs w:val="22"/>
              </w:rPr>
            </w:pPr>
            <w:r>
              <w:rPr>
                <w:rFonts w:hint="eastAsia" w:hAnsi="宋体" w:cs="仿宋_GB2312"/>
                <w:kern w:val="0"/>
                <w:sz w:val="22"/>
                <w:szCs w:val="22"/>
                <w:lang w:bidi="ar"/>
              </w:rPr>
              <w:t>（四）实施新质校园扩容提升行动</w:t>
            </w:r>
          </w:p>
        </w:tc>
        <w:tc>
          <w:tcPr>
            <w:tcW w:w="1080" w:type="dxa"/>
            <w:tcBorders>
              <w:tl2br w:val="nil"/>
              <w:tr2bl w:val="nil"/>
            </w:tcBorders>
            <w:shd w:val="clear" w:color="auto" w:fill="auto"/>
            <w:vAlign w:val="center"/>
          </w:tcPr>
          <w:p w14:paraId="4F22EEE0">
            <w:pPr>
              <w:spacing w:line="240" w:lineRule="exact"/>
              <w:textAlignment w:val="center"/>
              <w:rPr>
                <w:rFonts w:hAnsi="宋体" w:cs="仿宋_GB2312"/>
                <w:sz w:val="22"/>
                <w:szCs w:val="22"/>
              </w:rPr>
            </w:pPr>
            <w:r>
              <w:rPr>
                <w:rFonts w:hint="eastAsia" w:hAnsi="宋体" w:cs="仿宋_GB2312"/>
                <w:kern w:val="0"/>
                <w:sz w:val="22"/>
                <w:szCs w:val="22"/>
                <w:lang w:bidi="ar"/>
              </w:rPr>
              <w:t>15.优化教育资源规划布局</w:t>
            </w:r>
          </w:p>
        </w:tc>
        <w:tc>
          <w:tcPr>
            <w:tcW w:w="1101" w:type="dxa"/>
            <w:tcBorders>
              <w:tl2br w:val="nil"/>
              <w:tr2bl w:val="nil"/>
            </w:tcBorders>
            <w:shd w:val="clear" w:color="auto" w:fill="auto"/>
            <w:vAlign w:val="center"/>
          </w:tcPr>
          <w:p w14:paraId="6ADC91A1">
            <w:pPr>
              <w:spacing w:line="240" w:lineRule="exact"/>
              <w:textAlignment w:val="center"/>
              <w:rPr>
                <w:rFonts w:hAnsi="宋体" w:cs="仿宋_GB2312"/>
                <w:sz w:val="22"/>
                <w:szCs w:val="22"/>
              </w:rPr>
            </w:pPr>
            <w:r>
              <w:rPr>
                <w:rFonts w:hint="eastAsia" w:hAnsi="宋体" w:cs="仿宋_GB2312"/>
                <w:kern w:val="0"/>
                <w:sz w:val="22"/>
                <w:szCs w:val="22"/>
                <w:lang w:bidi="ar"/>
              </w:rPr>
              <w:t>区教委、</w:t>
            </w:r>
            <w:r>
              <w:rPr>
                <w:rFonts w:hint="eastAsia" w:hAnsi="宋体" w:cs="仿宋_GB2312"/>
                <w:kern w:val="0"/>
                <w:sz w:val="22"/>
                <w:szCs w:val="22"/>
                <w:lang w:eastAsia="zh-CN" w:bidi="ar"/>
              </w:rPr>
              <w:t>市规划自然资源委</w:t>
            </w:r>
            <w:r>
              <w:rPr>
                <w:rFonts w:hint="eastAsia" w:hAnsi="宋体" w:cs="仿宋_GB2312"/>
                <w:kern w:val="0"/>
                <w:sz w:val="22"/>
                <w:szCs w:val="22"/>
                <w:lang w:bidi="ar"/>
              </w:rPr>
              <w:t>延庆分局、区发展改革委、区住建委、区财政局、各街乡镇</w:t>
            </w:r>
          </w:p>
        </w:tc>
        <w:tc>
          <w:tcPr>
            <w:tcW w:w="4127" w:type="dxa"/>
            <w:tcBorders>
              <w:tl2br w:val="nil"/>
              <w:tr2bl w:val="nil"/>
            </w:tcBorders>
            <w:shd w:val="clear" w:color="auto" w:fill="auto"/>
            <w:vAlign w:val="center"/>
          </w:tcPr>
          <w:p w14:paraId="28890240">
            <w:pPr>
              <w:spacing w:line="240" w:lineRule="exact"/>
              <w:textAlignment w:val="center"/>
              <w:rPr>
                <w:rFonts w:hAnsi="宋体" w:cs="仿宋_GB2312"/>
                <w:sz w:val="22"/>
                <w:szCs w:val="22"/>
              </w:rPr>
            </w:pPr>
            <w:r>
              <w:rPr>
                <w:rFonts w:hint="eastAsia" w:hAnsi="宋体" w:cs="仿宋_GB2312"/>
                <w:kern w:val="0"/>
                <w:sz w:val="22"/>
                <w:szCs w:val="22"/>
                <w:lang w:bidi="ar"/>
              </w:rPr>
              <w:t>实施中小学建设专项行动，落实《北京市延庆区基础教育设施专项规划（2021年-2035年）》，完成第一幼儿园分园、第三小学改扩建和世园小学新建项目，新增学位1500个左右。北京市八一实验学校（小学部）取得项目建议书（代可行性研究报告）批复，城南“市区优质学校”完成项目选址、初步方案设计、项目建议书编制工作。积极引进高端民办教育机构，稳妥整合“小散弱”乡村学校。</w:t>
            </w:r>
          </w:p>
        </w:tc>
        <w:tc>
          <w:tcPr>
            <w:tcW w:w="4127" w:type="dxa"/>
            <w:tcBorders>
              <w:tl2br w:val="nil"/>
              <w:tr2bl w:val="nil"/>
            </w:tcBorders>
            <w:shd w:val="clear" w:color="auto" w:fill="auto"/>
            <w:vAlign w:val="center"/>
          </w:tcPr>
          <w:p w14:paraId="452DFADC">
            <w:pPr>
              <w:spacing w:line="240" w:lineRule="exact"/>
              <w:textAlignment w:val="center"/>
              <w:rPr>
                <w:lang w:bidi="ar"/>
              </w:rPr>
            </w:pPr>
            <w:r>
              <w:rPr>
                <w:rFonts w:hint="eastAsia" w:hAnsi="宋体" w:cs="仿宋_GB2312"/>
                <w:kern w:val="0"/>
                <w:sz w:val="22"/>
                <w:szCs w:val="22"/>
                <w:lang w:bidi="ar"/>
              </w:rPr>
              <w:t>继续实施中小学建设专项行动，落实《北京市延庆区基础教育设施专项规划（2021年-2035年）》，北京市八一实验学校（小学部）取得初步设计概算批复，城南“市区优质学校”取得项目建议书（代可行性研究报告）批复。积极引进高端民办教育机构，稳妥整合“小散弱”乡村学校。</w:t>
            </w:r>
          </w:p>
        </w:tc>
        <w:tc>
          <w:tcPr>
            <w:tcW w:w="4128" w:type="dxa"/>
            <w:tcBorders>
              <w:tl2br w:val="nil"/>
              <w:tr2bl w:val="nil"/>
            </w:tcBorders>
            <w:shd w:val="clear" w:color="auto" w:fill="auto"/>
            <w:vAlign w:val="center"/>
          </w:tcPr>
          <w:p w14:paraId="4F37CD8F">
            <w:pPr>
              <w:spacing w:line="240" w:lineRule="exact"/>
              <w:textAlignment w:val="center"/>
              <w:rPr>
                <w:rFonts w:hAnsi="宋体" w:cs="仿宋_GB2312"/>
                <w:sz w:val="22"/>
                <w:szCs w:val="22"/>
              </w:rPr>
            </w:pPr>
            <w:r>
              <w:rPr>
                <w:rFonts w:hint="eastAsia" w:hAnsi="宋体" w:cs="仿宋_GB2312"/>
                <w:kern w:val="0"/>
                <w:sz w:val="22"/>
                <w:szCs w:val="22"/>
                <w:lang w:bidi="ar"/>
              </w:rPr>
              <w:t>继续实施中小学建设专项行动，落实《北京市延庆区基础教育设施专项规划（2021年-2035年）》，北京市八一实验学校（小学部）实现开工建设，城南“市区优质学校”取得初步设计概算批复。积极引进高端民办教育机构，稳妥整合“小散弱”乡村学校。</w:t>
            </w:r>
          </w:p>
        </w:tc>
      </w:tr>
      <w:tr w14:paraId="7B790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2" w:hRule="atLeast"/>
        </w:trPr>
        <w:tc>
          <w:tcPr>
            <w:tcW w:w="1080" w:type="dxa"/>
            <w:vMerge w:val="continue"/>
            <w:tcBorders>
              <w:tl2br w:val="nil"/>
              <w:tr2bl w:val="nil"/>
            </w:tcBorders>
            <w:shd w:val="clear" w:color="auto" w:fill="auto"/>
            <w:vAlign w:val="center"/>
          </w:tcPr>
          <w:p w14:paraId="56A0AD91">
            <w:pPr>
              <w:spacing w:line="240" w:lineRule="exact"/>
              <w:rPr>
                <w:rFonts w:hAnsi="宋体" w:cs="仿宋_GB2312"/>
                <w:sz w:val="22"/>
                <w:szCs w:val="22"/>
              </w:rPr>
            </w:pPr>
          </w:p>
        </w:tc>
        <w:tc>
          <w:tcPr>
            <w:tcW w:w="1080" w:type="dxa"/>
            <w:tcBorders>
              <w:tl2br w:val="nil"/>
              <w:tr2bl w:val="nil"/>
            </w:tcBorders>
            <w:shd w:val="clear" w:color="auto" w:fill="auto"/>
            <w:vAlign w:val="center"/>
          </w:tcPr>
          <w:p w14:paraId="5E92C35E">
            <w:pPr>
              <w:spacing w:line="240" w:lineRule="exact"/>
              <w:textAlignment w:val="center"/>
              <w:rPr>
                <w:rFonts w:hAnsi="宋体" w:cs="仿宋_GB2312"/>
                <w:sz w:val="22"/>
                <w:szCs w:val="22"/>
              </w:rPr>
            </w:pPr>
            <w:r>
              <w:rPr>
                <w:rFonts w:hint="eastAsia" w:hAnsi="宋体" w:cs="仿宋_GB2312"/>
                <w:kern w:val="0"/>
                <w:sz w:val="22"/>
                <w:szCs w:val="22"/>
                <w:lang w:bidi="ar"/>
              </w:rPr>
              <w:t>16.探索“人工智能+教育”新场景</w:t>
            </w:r>
          </w:p>
        </w:tc>
        <w:tc>
          <w:tcPr>
            <w:tcW w:w="1101" w:type="dxa"/>
            <w:tcBorders>
              <w:tl2br w:val="nil"/>
              <w:tr2bl w:val="nil"/>
            </w:tcBorders>
            <w:shd w:val="clear" w:color="auto" w:fill="auto"/>
            <w:vAlign w:val="center"/>
          </w:tcPr>
          <w:p w14:paraId="5C774E5F">
            <w:pPr>
              <w:spacing w:line="240" w:lineRule="exact"/>
              <w:textAlignment w:val="center"/>
              <w:rPr>
                <w:rFonts w:hAnsi="宋体" w:cs="仿宋_GB2312"/>
                <w:sz w:val="22"/>
                <w:szCs w:val="22"/>
              </w:rPr>
            </w:pPr>
            <w:r>
              <w:rPr>
                <w:rFonts w:hint="eastAsia" w:hAnsi="宋体" w:cs="仿宋_GB2312"/>
                <w:kern w:val="0"/>
                <w:sz w:val="22"/>
                <w:szCs w:val="22"/>
                <w:lang w:bidi="ar"/>
              </w:rPr>
              <w:t>区科信局、区政务和数据局、区教委、区委网信办、区发展改革委、区财政局</w:t>
            </w:r>
          </w:p>
        </w:tc>
        <w:tc>
          <w:tcPr>
            <w:tcW w:w="4127" w:type="dxa"/>
            <w:tcBorders>
              <w:tl2br w:val="nil"/>
              <w:tr2bl w:val="nil"/>
            </w:tcBorders>
            <w:shd w:val="clear" w:color="auto" w:fill="auto"/>
            <w:vAlign w:val="center"/>
          </w:tcPr>
          <w:p w14:paraId="3F44E115">
            <w:pPr>
              <w:spacing w:line="240" w:lineRule="exact"/>
              <w:textAlignment w:val="center"/>
              <w:rPr>
                <w:rFonts w:hAnsi="宋体" w:cs="仿宋_GB2312"/>
                <w:sz w:val="22"/>
                <w:szCs w:val="22"/>
              </w:rPr>
            </w:pPr>
            <w:r>
              <w:rPr>
                <w:rFonts w:hint="eastAsia" w:hAnsi="宋体" w:cs="仿宋_GB2312"/>
                <w:kern w:val="0"/>
                <w:sz w:val="22"/>
                <w:szCs w:val="22"/>
                <w:lang w:bidi="ar"/>
              </w:rPr>
              <w:t>制定《延庆区教育信息化三年行动计划》，建设教育教学、应急指挥、考试巡查、安全技防等应用平台和创新融合课堂场景，开展人工智能赋能教育教学能力培训。开展AI评教评学试点，构建线上线下混合式教学系统，推进“同上一门课”活动。完成第二批和第三批区级中小学校智慧校园达标认定工作。继续推进“同上一门课”试点工作，结合实际需要建设第二批“双师教室”。</w:t>
            </w:r>
          </w:p>
        </w:tc>
        <w:tc>
          <w:tcPr>
            <w:tcW w:w="4127" w:type="dxa"/>
            <w:tcBorders>
              <w:tl2br w:val="nil"/>
              <w:tr2bl w:val="nil"/>
            </w:tcBorders>
            <w:shd w:val="clear" w:color="auto" w:fill="auto"/>
            <w:vAlign w:val="center"/>
          </w:tcPr>
          <w:p w14:paraId="53664514">
            <w:pPr>
              <w:spacing w:line="240" w:lineRule="exact"/>
              <w:textAlignment w:val="center"/>
              <w:rPr>
                <w:rFonts w:hAnsi="宋体" w:cs="仿宋_GB2312"/>
                <w:sz w:val="22"/>
                <w:szCs w:val="22"/>
              </w:rPr>
            </w:pPr>
            <w:r>
              <w:rPr>
                <w:rFonts w:hint="eastAsia" w:hAnsi="宋体" w:cs="仿宋_GB2312"/>
                <w:kern w:val="0"/>
                <w:sz w:val="22"/>
                <w:szCs w:val="22"/>
                <w:lang w:bidi="ar"/>
              </w:rPr>
              <w:t>深入推进人工智能市级数字教育课题研究，促进“人工智能+教育”成果转化。实现“同上一门课”改革区域全覆盖，扩大优质教育资源覆盖面，完成第三批“双师教室”建设。继续开展区级中小学校智慧校园达标认定工作，区内中小学智慧校园达标率不低于85%。开展网络安全试点校建设第三阶段工作，41所中小学校全部通过区级验收。</w:t>
            </w:r>
          </w:p>
        </w:tc>
        <w:tc>
          <w:tcPr>
            <w:tcW w:w="4128" w:type="dxa"/>
            <w:tcBorders>
              <w:tl2br w:val="nil"/>
              <w:tr2bl w:val="nil"/>
            </w:tcBorders>
            <w:shd w:val="clear" w:color="auto" w:fill="auto"/>
            <w:vAlign w:val="center"/>
          </w:tcPr>
          <w:p w14:paraId="77EB7F31">
            <w:pPr>
              <w:spacing w:line="240" w:lineRule="exact"/>
              <w:textAlignment w:val="center"/>
              <w:rPr>
                <w:rFonts w:hAnsi="宋体" w:cs="仿宋_GB2312"/>
                <w:sz w:val="22"/>
                <w:szCs w:val="22"/>
              </w:rPr>
            </w:pPr>
            <w:r>
              <w:rPr>
                <w:rFonts w:hint="eastAsia" w:hAnsi="宋体" w:cs="仿宋_GB2312"/>
                <w:kern w:val="0"/>
                <w:sz w:val="22"/>
                <w:szCs w:val="22"/>
                <w:lang w:bidi="ar"/>
              </w:rPr>
              <w:t>持续开展人工智能赋能教育教学能力培训和AI评教评学，完善线上线下混合式教学系统，总结“同上一门课”经验，通过人工智能技术赋能双师互动教室，在课堂教学行为分析、教学诊断中发挥作用。继续推进中小学校智慧校园达标认定工作，区内中小学智慧校园达标率不低于90%。</w:t>
            </w:r>
          </w:p>
        </w:tc>
      </w:tr>
      <w:tr w14:paraId="0E44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5" w:hRule="atLeast"/>
        </w:trPr>
        <w:tc>
          <w:tcPr>
            <w:tcW w:w="1080" w:type="dxa"/>
            <w:tcBorders>
              <w:tl2br w:val="nil"/>
              <w:tr2bl w:val="nil"/>
            </w:tcBorders>
            <w:shd w:val="clear" w:color="auto" w:fill="auto"/>
            <w:vAlign w:val="center"/>
          </w:tcPr>
          <w:p w14:paraId="2D94DD58">
            <w:pPr>
              <w:spacing w:line="240" w:lineRule="exact"/>
              <w:textAlignment w:val="center"/>
              <w:rPr>
                <w:rFonts w:hAnsi="宋体" w:cs="仿宋_GB2312"/>
                <w:sz w:val="22"/>
                <w:szCs w:val="22"/>
              </w:rPr>
            </w:pPr>
            <w:r>
              <w:rPr>
                <w:rFonts w:hint="eastAsia" w:hAnsi="宋体" w:cs="仿宋_GB2312"/>
                <w:kern w:val="0"/>
                <w:sz w:val="22"/>
                <w:szCs w:val="22"/>
                <w:lang w:bidi="ar"/>
              </w:rPr>
              <w:t>（四）实施新质校园扩容提升行动</w:t>
            </w:r>
          </w:p>
        </w:tc>
        <w:tc>
          <w:tcPr>
            <w:tcW w:w="1080" w:type="dxa"/>
            <w:tcBorders>
              <w:tl2br w:val="nil"/>
              <w:tr2bl w:val="nil"/>
            </w:tcBorders>
            <w:shd w:val="clear" w:color="auto" w:fill="auto"/>
            <w:vAlign w:val="center"/>
          </w:tcPr>
          <w:p w14:paraId="09FF50C0">
            <w:pPr>
              <w:spacing w:line="240" w:lineRule="exact"/>
              <w:textAlignment w:val="center"/>
              <w:rPr>
                <w:rFonts w:hAnsi="宋体" w:cs="仿宋_GB2312"/>
                <w:sz w:val="22"/>
                <w:szCs w:val="22"/>
              </w:rPr>
            </w:pPr>
            <w:r>
              <w:rPr>
                <w:rFonts w:hint="eastAsia" w:hAnsi="宋体" w:cs="仿宋_GB2312"/>
                <w:kern w:val="0"/>
                <w:sz w:val="22"/>
                <w:szCs w:val="22"/>
                <w:lang w:bidi="ar"/>
              </w:rPr>
              <w:t>17.营造安全稳定教育发展环境</w:t>
            </w:r>
          </w:p>
        </w:tc>
        <w:tc>
          <w:tcPr>
            <w:tcW w:w="1101" w:type="dxa"/>
            <w:tcBorders>
              <w:tl2br w:val="nil"/>
              <w:tr2bl w:val="nil"/>
            </w:tcBorders>
            <w:shd w:val="clear" w:color="auto" w:fill="auto"/>
            <w:vAlign w:val="center"/>
          </w:tcPr>
          <w:p w14:paraId="259C06C5">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区委教育工委、区教委、区委政法委、区法院、区检察院、延庆公安分局、区司法局、区市场监管局、区财政局、区卫健委、消防救援局、区城管委、区交通局、延庆公路分局、各街乡镇</w:t>
            </w:r>
          </w:p>
        </w:tc>
        <w:tc>
          <w:tcPr>
            <w:tcW w:w="4127" w:type="dxa"/>
            <w:tcBorders>
              <w:tl2br w:val="nil"/>
              <w:tr2bl w:val="nil"/>
            </w:tcBorders>
            <w:shd w:val="clear" w:color="auto" w:fill="auto"/>
            <w:vAlign w:val="center"/>
          </w:tcPr>
          <w:p w14:paraId="5D427C77">
            <w:pPr>
              <w:spacing w:line="240" w:lineRule="exact"/>
              <w:textAlignment w:val="center"/>
              <w:rPr>
                <w:rFonts w:hAnsi="宋体" w:cs="仿宋_GB2312"/>
                <w:sz w:val="22"/>
                <w:szCs w:val="22"/>
              </w:rPr>
            </w:pPr>
            <w:r>
              <w:rPr>
                <w:rFonts w:hint="eastAsia" w:hAnsi="宋体" w:cs="仿宋_GB2312"/>
                <w:kern w:val="0"/>
                <w:sz w:val="22"/>
                <w:szCs w:val="22"/>
                <w:lang w:bidi="ar"/>
              </w:rPr>
              <w:t>严格落实《北京市中小学幼儿园安全管理规定（试行）》，统筹相关部门落实学校安全管理责任。持续做好校园及周边治安和交通综合治理。健全各类突发事件应急预案和应急演练机制，加强日常安全风险隐患排查，每月至少开展1次校园欺凌和暴力隐患排查，在开学初、放假前、重要时间节点开展1次全覆盖安全教育及督导检查。持续推动安全生产治本攻坚三年行动落实见效。巩固校园餐集中整治成果，持续推进“互联网+明厨亮灶”项目。法治副校长每年入校开展法治宣传教育和实践活动不少于4次，“平安校园先议办公室”帮助学校妥善、慎重、专业化解涉校园纠纷。持续提升中小学、幼儿园“人防、物防、技防”建设水平。</w:t>
            </w:r>
          </w:p>
        </w:tc>
        <w:tc>
          <w:tcPr>
            <w:tcW w:w="4127" w:type="dxa"/>
            <w:tcBorders>
              <w:tl2br w:val="nil"/>
              <w:tr2bl w:val="nil"/>
            </w:tcBorders>
            <w:shd w:val="clear" w:color="auto" w:fill="auto"/>
            <w:vAlign w:val="center"/>
          </w:tcPr>
          <w:p w14:paraId="1809F08B">
            <w:pPr>
              <w:spacing w:line="240" w:lineRule="exact"/>
              <w:textAlignment w:val="center"/>
              <w:rPr>
                <w:rFonts w:hAnsi="宋体" w:cs="仿宋_GB2312"/>
                <w:sz w:val="22"/>
                <w:szCs w:val="22"/>
              </w:rPr>
            </w:pPr>
            <w:r>
              <w:rPr>
                <w:rFonts w:hint="eastAsia" w:hAnsi="宋体" w:cs="仿宋_GB2312"/>
                <w:kern w:val="0"/>
                <w:sz w:val="22"/>
                <w:szCs w:val="22"/>
                <w:lang w:bidi="ar"/>
              </w:rPr>
              <w:t>落实《北京市中小学幼儿园安全管理规定（试行）》，统筹相关部门落实学校安全管理责任。持续做好校园及周边治安和交通综合治理。加强日常安全风险隐患排查，每月至少开展1次校园欺凌和暴力隐患排查，在开学初、放假前、重要时间节点开展1次全覆盖安全教育及督导检查。完成安全生产治本攻坚三年行动各项任务。加强校内外供餐管理，提升学生在校就餐服务水平。法治副校长每年入校开展法治宣传教育和实践活动不少于4次，“平安校园先议办公室”帮助学校化解涉校园纠纷。全区所有中小学、幼儿园基本达到北京市更高水平平安校园建设标准。</w:t>
            </w:r>
          </w:p>
        </w:tc>
        <w:tc>
          <w:tcPr>
            <w:tcW w:w="4128" w:type="dxa"/>
            <w:tcBorders>
              <w:tl2br w:val="nil"/>
              <w:tr2bl w:val="nil"/>
            </w:tcBorders>
            <w:shd w:val="clear" w:color="auto" w:fill="auto"/>
            <w:vAlign w:val="center"/>
          </w:tcPr>
          <w:p w14:paraId="79950054">
            <w:pPr>
              <w:spacing w:line="240" w:lineRule="exact"/>
              <w:textAlignment w:val="center"/>
              <w:rPr>
                <w:rFonts w:hAnsi="宋体" w:cs="仿宋_GB2312"/>
                <w:sz w:val="22"/>
                <w:szCs w:val="22"/>
              </w:rPr>
            </w:pPr>
            <w:r>
              <w:rPr>
                <w:rFonts w:hint="eastAsia" w:hAnsi="宋体" w:cs="仿宋_GB2312"/>
                <w:kern w:val="0"/>
                <w:sz w:val="22"/>
                <w:szCs w:val="22"/>
                <w:lang w:bidi="ar"/>
              </w:rPr>
              <w:t>落实《北京市中小学幼儿园安全管理规定（试行）》，统筹相关部门落实学校安全管理责任。巩固校园及周边治安和交通综合治理成果。加强日常安全风险隐患排查，每月至少开展1次校园欺凌和暴力隐患排查，在开学初、放假前、重要时间节点开展1次全覆盖安全教育及督导检查。持续加强校园餐常态化管理，提升学生在校就餐满意度。法治副校长每年入校开展法治宣传教育和实践活动不少于4次，“平安校园先议办公室”帮助学校化解涉校园纠纷。学校大安全工作格局基本形成，100%的中小学、幼儿园达到北京市更高水平平安校园建设标准。</w:t>
            </w:r>
          </w:p>
        </w:tc>
      </w:tr>
      <w:tr w14:paraId="3AA4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trPr>
        <w:tc>
          <w:tcPr>
            <w:tcW w:w="1080" w:type="dxa"/>
            <w:tcBorders>
              <w:tl2br w:val="nil"/>
              <w:tr2bl w:val="nil"/>
            </w:tcBorders>
            <w:shd w:val="clear" w:color="auto" w:fill="auto"/>
            <w:vAlign w:val="center"/>
          </w:tcPr>
          <w:p w14:paraId="6B6B45DC">
            <w:pPr>
              <w:spacing w:line="240" w:lineRule="exact"/>
              <w:textAlignment w:val="center"/>
              <w:rPr>
                <w:rFonts w:hAnsi="宋体" w:cs="仿宋_GB2312"/>
                <w:sz w:val="22"/>
                <w:szCs w:val="22"/>
              </w:rPr>
            </w:pPr>
            <w:r>
              <w:rPr>
                <w:rFonts w:hint="eastAsia" w:hAnsi="宋体" w:cs="仿宋_GB2312"/>
                <w:kern w:val="0"/>
                <w:sz w:val="22"/>
                <w:szCs w:val="22"/>
                <w:lang w:bidi="ar"/>
              </w:rPr>
              <w:t>（五）实施办学治校协同发展行动</w:t>
            </w:r>
          </w:p>
        </w:tc>
        <w:tc>
          <w:tcPr>
            <w:tcW w:w="1080" w:type="dxa"/>
            <w:tcBorders>
              <w:tl2br w:val="nil"/>
              <w:tr2bl w:val="nil"/>
            </w:tcBorders>
            <w:shd w:val="clear" w:color="auto" w:fill="auto"/>
            <w:vAlign w:val="center"/>
          </w:tcPr>
          <w:p w14:paraId="677CFB9B">
            <w:pPr>
              <w:spacing w:line="240" w:lineRule="exact"/>
              <w:textAlignment w:val="center"/>
              <w:rPr>
                <w:rFonts w:hAnsi="宋体" w:cs="仿宋_GB2312"/>
                <w:sz w:val="22"/>
                <w:szCs w:val="22"/>
              </w:rPr>
            </w:pPr>
            <w:r>
              <w:rPr>
                <w:rFonts w:hint="eastAsia" w:hAnsi="宋体" w:cs="仿宋_GB2312"/>
                <w:kern w:val="0"/>
                <w:sz w:val="22"/>
                <w:szCs w:val="22"/>
                <w:lang w:bidi="ar"/>
              </w:rPr>
              <w:t>18.加强社会参与治理</w:t>
            </w:r>
          </w:p>
        </w:tc>
        <w:tc>
          <w:tcPr>
            <w:tcW w:w="1101" w:type="dxa"/>
            <w:tcBorders>
              <w:tl2br w:val="nil"/>
              <w:tr2bl w:val="nil"/>
            </w:tcBorders>
            <w:shd w:val="clear" w:color="auto" w:fill="auto"/>
            <w:vAlign w:val="center"/>
          </w:tcPr>
          <w:p w14:paraId="5457EC8B">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区委教育工委、区教委、区委统战部、区民政局、区国资委、区工商联、各街乡镇</w:t>
            </w:r>
          </w:p>
        </w:tc>
        <w:tc>
          <w:tcPr>
            <w:tcW w:w="4127" w:type="dxa"/>
            <w:tcBorders>
              <w:tl2br w:val="nil"/>
              <w:tr2bl w:val="nil"/>
            </w:tcBorders>
            <w:shd w:val="clear" w:color="auto" w:fill="auto"/>
            <w:vAlign w:val="center"/>
          </w:tcPr>
          <w:p w14:paraId="2A55681E">
            <w:pPr>
              <w:spacing w:line="240" w:lineRule="exact"/>
              <w:textAlignment w:val="center"/>
              <w:rPr>
                <w:rFonts w:hAnsi="宋体" w:cs="仿宋_GB2312"/>
                <w:sz w:val="22"/>
                <w:szCs w:val="22"/>
              </w:rPr>
            </w:pPr>
            <w:r>
              <w:rPr>
                <w:rStyle w:val="14"/>
                <w:rFonts w:hint="default" w:hAnsi="宋体"/>
                <w:color w:val="auto"/>
                <w:lang w:bidi="ar"/>
              </w:rPr>
              <w:t>成立延庆区教育发展理事会，召开会议不少于1次。建立教育发展基金项目，鼓励各类社会主体捐资参与区域教育发展建设。</w:t>
            </w:r>
            <w:r>
              <w:rPr>
                <w:rFonts w:hint="eastAsia" w:hAnsi="宋体" w:cs="仿宋_GB2312"/>
                <w:kern w:val="0"/>
                <w:sz w:val="22"/>
                <w:szCs w:val="22"/>
                <w:lang w:bidi="ar"/>
              </w:rPr>
              <w:t>加大与学校、教科研机构以及教育教学名家合作力度，提升教育教学水平。加强与科研单位、科技创新企业和高校合作，成立北京市青少年创新学院延庆分院。</w:t>
            </w:r>
          </w:p>
        </w:tc>
        <w:tc>
          <w:tcPr>
            <w:tcW w:w="4127" w:type="dxa"/>
            <w:tcBorders>
              <w:tl2br w:val="nil"/>
              <w:tr2bl w:val="nil"/>
            </w:tcBorders>
            <w:shd w:val="clear" w:color="auto" w:fill="auto"/>
            <w:vAlign w:val="center"/>
          </w:tcPr>
          <w:p w14:paraId="11FEB770">
            <w:pPr>
              <w:spacing w:line="240" w:lineRule="exact"/>
              <w:textAlignment w:val="center"/>
              <w:rPr>
                <w:rFonts w:hAnsi="宋体" w:cs="仿宋_GB2312"/>
                <w:sz w:val="22"/>
                <w:szCs w:val="22"/>
              </w:rPr>
            </w:pPr>
            <w:r>
              <w:rPr>
                <w:rStyle w:val="14"/>
                <w:rFonts w:hint="default" w:hAnsi="宋体"/>
                <w:color w:val="auto"/>
                <w:lang w:bidi="ar"/>
              </w:rPr>
              <w:t>召开延庆区教育发展理事会不少于1次，研究解决教育发展问题。发挥教育发展基金项目作用。</w:t>
            </w:r>
            <w:r>
              <w:rPr>
                <w:rFonts w:hint="eastAsia" w:hAnsi="宋体" w:cs="仿宋_GB2312"/>
                <w:kern w:val="0"/>
                <w:sz w:val="22"/>
                <w:szCs w:val="22"/>
                <w:lang w:bidi="ar"/>
              </w:rPr>
              <w:t>持续加大与学校、教科研机构以及教育教学名家合作力度，不断提升教育教学水平。推进高中学校与高校的合作，尝试开发部分学科的大学先修课程，提高学生的综合素养。</w:t>
            </w:r>
          </w:p>
        </w:tc>
        <w:tc>
          <w:tcPr>
            <w:tcW w:w="4128" w:type="dxa"/>
            <w:tcBorders>
              <w:tl2br w:val="nil"/>
              <w:tr2bl w:val="nil"/>
            </w:tcBorders>
            <w:shd w:val="clear" w:color="auto" w:fill="auto"/>
            <w:vAlign w:val="center"/>
          </w:tcPr>
          <w:p w14:paraId="252048F7">
            <w:pPr>
              <w:spacing w:line="240" w:lineRule="exact"/>
              <w:textAlignment w:val="center"/>
              <w:rPr>
                <w:rFonts w:hAnsi="宋体" w:cs="仿宋_GB2312"/>
                <w:sz w:val="22"/>
                <w:szCs w:val="22"/>
              </w:rPr>
            </w:pPr>
            <w:r>
              <w:rPr>
                <w:rStyle w:val="14"/>
                <w:rFonts w:hint="default" w:hAnsi="宋体"/>
                <w:color w:val="auto"/>
                <w:lang w:bidi="ar"/>
              </w:rPr>
              <w:t>召开延庆区教育发展理事会不少于1次，研究解决教育发展问题。发挥教育发展基金项目作用。</w:t>
            </w:r>
            <w:r>
              <w:rPr>
                <w:rFonts w:hint="eastAsia" w:hAnsi="宋体" w:cs="仿宋_GB2312"/>
                <w:kern w:val="0"/>
                <w:sz w:val="22"/>
                <w:szCs w:val="22"/>
                <w:lang w:bidi="ar"/>
              </w:rPr>
              <w:t>持续加大与学校、教科研机构以及教育教学名家合作力度，全面提升教育教学水平。组织走进高校实验室活动，提高学生的实验水平和综合实践能力。</w:t>
            </w:r>
          </w:p>
        </w:tc>
      </w:tr>
      <w:tr w14:paraId="1E778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6" w:hRule="atLeast"/>
        </w:trPr>
        <w:tc>
          <w:tcPr>
            <w:tcW w:w="1080" w:type="dxa"/>
            <w:vMerge w:val="restart"/>
            <w:tcBorders>
              <w:tl2br w:val="nil"/>
              <w:tr2bl w:val="nil"/>
            </w:tcBorders>
            <w:shd w:val="clear" w:color="auto" w:fill="auto"/>
            <w:vAlign w:val="center"/>
          </w:tcPr>
          <w:p w14:paraId="660E2528">
            <w:pPr>
              <w:spacing w:line="240" w:lineRule="exact"/>
              <w:textAlignment w:val="center"/>
              <w:rPr>
                <w:rFonts w:hAnsi="宋体" w:cs="仿宋_GB2312"/>
                <w:sz w:val="22"/>
                <w:szCs w:val="22"/>
              </w:rPr>
            </w:pPr>
            <w:r>
              <w:rPr>
                <w:rFonts w:hint="eastAsia" w:hAnsi="宋体" w:cs="仿宋_GB2312"/>
                <w:kern w:val="0"/>
                <w:sz w:val="22"/>
                <w:szCs w:val="22"/>
                <w:lang w:bidi="ar"/>
              </w:rPr>
              <w:t>（五）实施办学治校协同发展行动</w:t>
            </w:r>
          </w:p>
        </w:tc>
        <w:tc>
          <w:tcPr>
            <w:tcW w:w="1080" w:type="dxa"/>
            <w:tcBorders>
              <w:tl2br w:val="nil"/>
              <w:tr2bl w:val="nil"/>
            </w:tcBorders>
            <w:shd w:val="clear" w:color="auto" w:fill="auto"/>
            <w:vAlign w:val="center"/>
          </w:tcPr>
          <w:p w14:paraId="2507B8BC">
            <w:pPr>
              <w:spacing w:line="240" w:lineRule="exact"/>
              <w:textAlignment w:val="center"/>
              <w:rPr>
                <w:rFonts w:hAnsi="宋体" w:cs="仿宋_GB2312"/>
                <w:sz w:val="22"/>
                <w:szCs w:val="22"/>
              </w:rPr>
            </w:pPr>
            <w:r>
              <w:rPr>
                <w:rFonts w:hint="eastAsia" w:hAnsi="宋体" w:cs="仿宋_GB2312"/>
                <w:kern w:val="0"/>
                <w:sz w:val="22"/>
                <w:szCs w:val="22"/>
                <w:lang w:bidi="ar"/>
              </w:rPr>
              <w:t>19.构建协同育人“教联体”</w:t>
            </w:r>
          </w:p>
        </w:tc>
        <w:tc>
          <w:tcPr>
            <w:tcW w:w="1101" w:type="dxa"/>
            <w:tcBorders>
              <w:tl2br w:val="nil"/>
              <w:tr2bl w:val="nil"/>
            </w:tcBorders>
            <w:shd w:val="clear" w:color="auto" w:fill="auto"/>
            <w:vAlign w:val="center"/>
          </w:tcPr>
          <w:p w14:paraId="1ABA44B1">
            <w:pPr>
              <w:spacing w:line="240" w:lineRule="exact"/>
              <w:textAlignment w:val="center"/>
              <w:rPr>
                <w:rFonts w:hAnsi="宋体" w:cs="仿宋_GB2312"/>
                <w:sz w:val="22"/>
                <w:szCs w:val="22"/>
              </w:rPr>
            </w:pPr>
            <w:r>
              <w:rPr>
                <w:rFonts w:hint="eastAsia" w:hAnsi="宋体" w:cs="仿宋_GB2312"/>
                <w:kern w:val="0"/>
                <w:sz w:val="22"/>
                <w:szCs w:val="22"/>
                <w:lang w:bidi="ar"/>
              </w:rPr>
              <w:t>区委教育工委、区教委、区委政法委、区法院、区检察院、延庆公安分局、区司法局、区民政局、区妇联、各街乡镇</w:t>
            </w:r>
          </w:p>
        </w:tc>
        <w:tc>
          <w:tcPr>
            <w:tcW w:w="4127" w:type="dxa"/>
            <w:tcBorders>
              <w:tl2br w:val="nil"/>
              <w:tr2bl w:val="nil"/>
            </w:tcBorders>
            <w:shd w:val="clear" w:color="auto" w:fill="auto"/>
            <w:vAlign w:val="center"/>
          </w:tcPr>
          <w:p w14:paraId="2721FC98">
            <w:pPr>
              <w:spacing w:line="240" w:lineRule="exact"/>
              <w:textAlignment w:val="center"/>
              <w:rPr>
                <w:rFonts w:hAnsi="宋体" w:cs="仿宋_GB2312"/>
                <w:sz w:val="22"/>
                <w:szCs w:val="22"/>
              </w:rPr>
            </w:pPr>
            <w:r>
              <w:rPr>
                <w:rFonts w:hint="eastAsia" w:hAnsi="宋体" w:cs="仿宋_GB2312"/>
                <w:kern w:val="0"/>
                <w:sz w:val="22"/>
                <w:szCs w:val="22"/>
                <w:lang w:bidi="ar"/>
              </w:rPr>
              <w:t>30%中小学建立学校“教联体”，建立区域教育发展定期沟通协商机制，每学年召开协商联席会2次。组织开展“全程超前伴随式”区级家庭教育指导培训30次。加强家庭教育指导师培训，指导学校和家庭教育指导师梳理课程资源和案例撰写，探索设立家校协调员。</w:t>
            </w:r>
          </w:p>
        </w:tc>
        <w:tc>
          <w:tcPr>
            <w:tcW w:w="4127" w:type="dxa"/>
            <w:tcBorders>
              <w:tl2br w:val="nil"/>
              <w:tr2bl w:val="nil"/>
            </w:tcBorders>
            <w:shd w:val="clear" w:color="auto" w:fill="auto"/>
            <w:vAlign w:val="center"/>
          </w:tcPr>
          <w:p w14:paraId="4775AD0F">
            <w:pPr>
              <w:spacing w:line="240" w:lineRule="exact"/>
              <w:textAlignment w:val="center"/>
              <w:rPr>
                <w:rFonts w:hAnsi="宋体" w:cs="仿宋_GB2312"/>
                <w:sz w:val="22"/>
                <w:szCs w:val="22"/>
              </w:rPr>
            </w:pPr>
            <w:r>
              <w:rPr>
                <w:rFonts w:hint="eastAsia" w:hAnsi="宋体" w:cs="仿宋_GB2312"/>
                <w:kern w:val="0"/>
                <w:sz w:val="22"/>
                <w:szCs w:val="22"/>
                <w:lang w:bidi="ar"/>
              </w:rPr>
              <w:t>65%中小学建立学校“教联体”，充分利用区域发展共同体，初步形成区域协同育人新格局。每学年召开协商联席会2次。组织开展“全程超前伴随式”区级家庭教育指导培训30次。加强家庭教育指导师培训，初步完成优秀案例征集编纂工作，推广家校协调员机制。</w:t>
            </w:r>
          </w:p>
        </w:tc>
        <w:tc>
          <w:tcPr>
            <w:tcW w:w="4128" w:type="dxa"/>
            <w:tcBorders>
              <w:tl2br w:val="nil"/>
              <w:tr2bl w:val="nil"/>
            </w:tcBorders>
            <w:shd w:val="clear" w:color="auto" w:fill="auto"/>
            <w:vAlign w:val="center"/>
          </w:tcPr>
          <w:p w14:paraId="5C9B5D4C">
            <w:pPr>
              <w:spacing w:line="240" w:lineRule="exact"/>
              <w:textAlignment w:val="center"/>
              <w:rPr>
                <w:rFonts w:hAnsi="宋体" w:cs="仿宋_GB2312"/>
                <w:sz w:val="22"/>
                <w:szCs w:val="22"/>
              </w:rPr>
            </w:pPr>
            <w:r>
              <w:rPr>
                <w:rFonts w:hint="eastAsia" w:hAnsi="宋体" w:cs="仿宋_GB2312"/>
                <w:kern w:val="0"/>
                <w:sz w:val="22"/>
                <w:szCs w:val="22"/>
                <w:lang w:bidi="ar"/>
              </w:rPr>
              <w:t>100%中小学建立学校“教联体”，形成家校社政良性互动、同频共振的协同育人格局。每学年召开协商联席会2次，组织开展“全程超前伴随式”区级家庭教育指导培训30次。加强家庭教育指导师培训，凝练协同育人品牌经验，按照市教委安排，适时申报协同育人实验区。</w:t>
            </w:r>
          </w:p>
        </w:tc>
      </w:tr>
      <w:tr w14:paraId="72C66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5" w:hRule="atLeast"/>
        </w:trPr>
        <w:tc>
          <w:tcPr>
            <w:tcW w:w="1080" w:type="dxa"/>
            <w:vMerge w:val="continue"/>
            <w:tcBorders>
              <w:tl2br w:val="nil"/>
              <w:tr2bl w:val="nil"/>
            </w:tcBorders>
            <w:shd w:val="clear" w:color="auto" w:fill="auto"/>
            <w:vAlign w:val="center"/>
          </w:tcPr>
          <w:p w14:paraId="4EC747DB">
            <w:pPr>
              <w:spacing w:line="240" w:lineRule="exact"/>
              <w:rPr>
                <w:rFonts w:hAnsi="宋体" w:cs="仿宋_GB2312"/>
                <w:sz w:val="22"/>
                <w:szCs w:val="22"/>
              </w:rPr>
            </w:pPr>
          </w:p>
        </w:tc>
        <w:tc>
          <w:tcPr>
            <w:tcW w:w="1080" w:type="dxa"/>
            <w:tcBorders>
              <w:tl2br w:val="nil"/>
              <w:tr2bl w:val="nil"/>
            </w:tcBorders>
            <w:shd w:val="clear" w:color="auto" w:fill="auto"/>
            <w:vAlign w:val="center"/>
          </w:tcPr>
          <w:p w14:paraId="62ADD31D">
            <w:pPr>
              <w:spacing w:line="240" w:lineRule="exact"/>
              <w:textAlignment w:val="center"/>
              <w:rPr>
                <w:rFonts w:hAnsi="宋体" w:cs="仿宋_GB2312"/>
                <w:sz w:val="22"/>
                <w:szCs w:val="22"/>
              </w:rPr>
            </w:pPr>
            <w:r>
              <w:rPr>
                <w:rFonts w:hint="eastAsia" w:hAnsi="宋体" w:cs="仿宋_GB2312"/>
                <w:kern w:val="0"/>
                <w:sz w:val="22"/>
                <w:szCs w:val="22"/>
                <w:lang w:bidi="ar"/>
              </w:rPr>
              <w:t>20.完善教育督导机制</w:t>
            </w:r>
          </w:p>
        </w:tc>
        <w:tc>
          <w:tcPr>
            <w:tcW w:w="1101" w:type="dxa"/>
            <w:tcBorders>
              <w:tl2br w:val="nil"/>
              <w:tr2bl w:val="nil"/>
            </w:tcBorders>
            <w:shd w:val="clear" w:color="auto" w:fill="auto"/>
            <w:noWrap/>
            <w:vAlign w:val="center"/>
          </w:tcPr>
          <w:p w14:paraId="158BC24B">
            <w:pPr>
              <w:spacing w:line="240" w:lineRule="exact"/>
              <w:textAlignment w:val="center"/>
              <w:rPr>
                <w:rFonts w:hAnsi="宋体" w:cs="仿宋_GB2312"/>
                <w:sz w:val="22"/>
                <w:szCs w:val="22"/>
              </w:rPr>
            </w:pPr>
            <w:r>
              <w:rPr>
                <w:rFonts w:hint="eastAsia" w:hAnsi="宋体" w:cs="仿宋_GB2312"/>
                <w:kern w:val="0"/>
                <w:sz w:val="22"/>
                <w:szCs w:val="22"/>
                <w:lang w:bidi="ar"/>
              </w:rPr>
              <w:t>区教委、区政府教育督导室</w:t>
            </w:r>
          </w:p>
        </w:tc>
        <w:tc>
          <w:tcPr>
            <w:tcW w:w="4127" w:type="dxa"/>
            <w:tcBorders>
              <w:tl2br w:val="nil"/>
              <w:tr2bl w:val="nil"/>
            </w:tcBorders>
            <w:shd w:val="clear" w:color="auto" w:fill="auto"/>
            <w:vAlign w:val="center"/>
          </w:tcPr>
          <w:p w14:paraId="57BC9340">
            <w:pPr>
              <w:spacing w:line="240" w:lineRule="exact"/>
              <w:textAlignment w:val="center"/>
              <w:rPr>
                <w:rFonts w:hAnsi="宋体" w:cs="仿宋_GB2312"/>
                <w:sz w:val="22"/>
                <w:szCs w:val="22"/>
              </w:rPr>
            </w:pPr>
            <w:r>
              <w:rPr>
                <w:rFonts w:hint="eastAsia" w:hAnsi="宋体" w:cs="仿宋_GB2312"/>
                <w:kern w:val="0"/>
                <w:sz w:val="22"/>
                <w:szCs w:val="22"/>
                <w:lang w:bidi="ar"/>
              </w:rPr>
              <w:t>强化政府教育督导职能，深入实施责任督学挂牌督导。修订幼儿园办园质量督导评估方案，启动第二轮幼儿园办园质量督导评估工作。研制以发展素质教育为导向、指向重点改革任务落实、涵盖德智体美劳全要素的“1+N”学校督导方案。修订我区学校内部督导工作方案，强化学校内部督导工作。</w:t>
            </w:r>
          </w:p>
        </w:tc>
        <w:tc>
          <w:tcPr>
            <w:tcW w:w="4127" w:type="dxa"/>
            <w:tcBorders>
              <w:tl2br w:val="nil"/>
              <w:tr2bl w:val="nil"/>
            </w:tcBorders>
            <w:shd w:val="clear" w:color="auto" w:fill="auto"/>
            <w:vAlign w:val="center"/>
          </w:tcPr>
          <w:p w14:paraId="3ED517A6">
            <w:pPr>
              <w:spacing w:line="240" w:lineRule="exact"/>
              <w:textAlignment w:val="center"/>
              <w:rPr>
                <w:rFonts w:hAnsi="宋体" w:cs="仿宋_GB2312"/>
                <w:sz w:val="22"/>
                <w:szCs w:val="22"/>
              </w:rPr>
            </w:pPr>
            <w:r>
              <w:rPr>
                <w:rFonts w:hint="eastAsia" w:hAnsi="宋体" w:cs="仿宋_GB2312"/>
                <w:kern w:val="0"/>
                <w:sz w:val="22"/>
                <w:szCs w:val="22"/>
                <w:lang w:bidi="ar"/>
              </w:rPr>
              <w:t>完成幼儿园办园质量年度工作任务。研制引入第三方评估工作方案，探索第三方机构进行评估的机制。推进学校内部督导工作，研制集团内部督导的评估指标。</w:t>
            </w:r>
          </w:p>
        </w:tc>
        <w:tc>
          <w:tcPr>
            <w:tcW w:w="4128" w:type="dxa"/>
            <w:tcBorders>
              <w:tl2br w:val="nil"/>
              <w:tr2bl w:val="nil"/>
            </w:tcBorders>
            <w:shd w:val="clear" w:color="auto" w:fill="auto"/>
            <w:vAlign w:val="center"/>
          </w:tcPr>
          <w:p w14:paraId="18B2868E">
            <w:pPr>
              <w:spacing w:line="240" w:lineRule="exact"/>
              <w:textAlignment w:val="center"/>
              <w:rPr>
                <w:rFonts w:hAnsi="宋体" w:cs="仿宋_GB2312"/>
                <w:sz w:val="22"/>
                <w:szCs w:val="22"/>
              </w:rPr>
            </w:pPr>
            <w:r>
              <w:rPr>
                <w:rFonts w:hint="eastAsia" w:hAnsi="宋体" w:cs="仿宋_GB2312"/>
                <w:kern w:val="0"/>
                <w:sz w:val="22"/>
                <w:szCs w:val="22"/>
                <w:lang w:bidi="ar"/>
              </w:rPr>
              <w:t>完成第二轮幼儿园办园质量督导评估工作，形成评估工作总结。完善“1+N”学校督导工作，形成长效机制。完善学校内部督导、集团内部督导机制，初步形成我区的工作模式。</w:t>
            </w:r>
          </w:p>
        </w:tc>
      </w:tr>
    </w:tbl>
    <w:p w14:paraId="00B589B1">
      <w:pPr>
        <w:pStyle w:val="3"/>
        <w:spacing w:after="0" w:line="240" w:lineRule="exact"/>
      </w:pPr>
    </w:p>
    <w:sectPr>
      <w:pgSz w:w="16838" w:h="11906" w:orient="landscape"/>
      <w:pgMar w:top="567" w:right="567" w:bottom="567" w:left="567" w:header="0" w:footer="567" w:gutter="0"/>
      <w:pgNumType w:fmt="numberInDash"/>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52F5">
    <w:pPr>
      <w:pStyle w:val="5"/>
      <w:jc w:val="both"/>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5165090</wp:posOffset>
              </wp:positionH>
              <wp:positionV relativeFrom="paragraph">
                <wp:posOffset>178435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0480C">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7pt;margin-top:14.05pt;height:144pt;width:144pt;mso-position-horizontal-relative:margin;mso-wrap-style:none;z-index:251659264;mso-width-relative:page;mso-height-relative:page;" filled="f" stroked="f" coordsize="21600,21600" o:gfxdata="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3UZUdcAAAAL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14:paraId="6950480C">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7A74">
    <w:pPr>
      <w:pStyle w:val="5"/>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-86360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40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6.8pt;height:144pt;width:144pt;mso-position-horizontal-relative:margin;mso-wrap-style:none;z-index:251660288;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K9j2DAsAgAAV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XwLEO1gAAAAgBAAAPAAAAAAAAAAEAIAAAACIAAABkcnMvZG93bnJldi54bWxQSwECFAAU&#10;AAAACACHTuJAr2PYMCwCAABVBAAADgAAAAAAAAABACAAAAAlAQAAZHJzL2Uyb0RvYy54bWxQSwUG&#10;AAAAAAYABgBZAQAAwwUAAAAA&#10;">
              <v:fill on="f" focussize="0,0"/>
              <v:stroke on="f" weight="0.5pt"/>
              <v:imagedata o:title=""/>
              <o:lock v:ext="edit" aspectratio="f"/>
              <v:textbox inset="0mm,0mm,0mm,0mm" style="mso-fit-shape-to-text:t;">
                <w:txbxContent>
                  <w:p w14:paraId="6463A40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9C659A"/>
    <w:rsid w:val="00001330"/>
    <w:rsid w:val="0000236A"/>
    <w:rsid w:val="0000311F"/>
    <w:rsid w:val="000034A8"/>
    <w:rsid w:val="0000477F"/>
    <w:rsid w:val="00005891"/>
    <w:rsid w:val="000103E4"/>
    <w:rsid w:val="00011848"/>
    <w:rsid w:val="00012542"/>
    <w:rsid w:val="00015110"/>
    <w:rsid w:val="00016EA5"/>
    <w:rsid w:val="00017ECB"/>
    <w:rsid w:val="0002008A"/>
    <w:rsid w:val="00020720"/>
    <w:rsid w:val="0002135B"/>
    <w:rsid w:val="00023DA7"/>
    <w:rsid w:val="000241EF"/>
    <w:rsid w:val="00026B85"/>
    <w:rsid w:val="0003044D"/>
    <w:rsid w:val="00031D37"/>
    <w:rsid w:val="0003284A"/>
    <w:rsid w:val="00033E0F"/>
    <w:rsid w:val="00035BD4"/>
    <w:rsid w:val="0003697E"/>
    <w:rsid w:val="00036F82"/>
    <w:rsid w:val="0004156D"/>
    <w:rsid w:val="00041A06"/>
    <w:rsid w:val="000431B2"/>
    <w:rsid w:val="00051385"/>
    <w:rsid w:val="00051E8D"/>
    <w:rsid w:val="00056661"/>
    <w:rsid w:val="00056D21"/>
    <w:rsid w:val="00057689"/>
    <w:rsid w:val="00057AE7"/>
    <w:rsid w:val="00057C48"/>
    <w:rsid w:val="000602D2"/>
    <w:rsid w:val="000626D5"/>
    <w:rsid w:val="000640D6"/>
    <w:rsid w:val="0006511E"/>
    <w:rsid w:val="00065337"/>
    <w:rsid w:val="00065B3B"/>
    <w:rsid w:val="00066DDB"/>
    <w:rsid w:val="0006771B"/>
    <w:rsid w:val="00067B1E"/>
    <w:rsid w:val="00071F66"/>
    <w:rsid w:val="00073039"/>
    <w:rsid w:val="00074F66"/>
    <w:rsid w:val="000770D3"/>
    <w:rsid w:val="000774A5"/>
    <w:rsid w:val="00077538"/>
    <w:rsid w:val="00080886"/>
    <w:rsid w:val="00083BBC"/>
    <w:rsid w:val="00086111"/>
    <w:rsid w:val="000862F0"/>
    <w:rsid w:val="0008671F"/>
    <w:rsid w:val="000905F2"/>
    <w:rsid w:val="000927FB"/>
    <w:rsid w:val="000961CF"/>
    <w:rsid w:val="00097908"/>
    <w:rsid w:val="000A0DF5"/>
    <w:rsid w:val="000A29CB"/>
    <w:rsid w:val="000A33DA"/>
    <w:rsid w:val="000A48AE"/>
    <w:rsid w:val="000A5EFC"/>
    <w:rsid w:val="000A620D"/>
    <w:rsid w:val="000A6D4A"/>
    <w:rsid w:val="000B126D"/>
    <w:rsid w:val="000B4A30"/>
    <w:rsid w:val="000B6022"/>
    <w:rsid w:val="000C0E05"/>
    <w:rsid w:val="000C126A"/>
    <w:rsid w:val="000C526C"/>
    <w:rsid w:val="000D2653"/>
    <w:rsid w:val="000D28E3"/>
    <w:rsid w:val="000D3AF9"/>
    <w:rsid w:val="000D40B3"/>
    <w:rsid w:val="000D4B2C"/>
    <w:rsid w:val="000D5872"/>
    <w:rsid w:val="000D77C5"/>
    <w:rsid w:val="000D77DA"/>
    <w:rsid w:val="000E0299"/>
    <w:rsid w:val="000E07C5"/>
    <w:rsid w:val="000E1AA0"/>
    <w:rsid w:val="000E2CF9"/>
    <w:rsid w:val="000E4C21"/>
    <w:rsid w:val="000E5925"/>
    <w:rsid w:val="000E5B48"/>
    <w:rsid w:val="000E62FF"/>
    <w:rsid w:val="000F0679"/>
    <w:rsid w:val="000F119F"/>
    <w:rsid w:val="000F1B45"/>
    <w:rsid w:val="000F3276"/>
    <w:rsid w:val="000F46B1"/>
    <w:rsid w:val="000F49D1"/>
    <w:rsid w:val="000F782E"/>
    <w:rsid w:val="001000BC"/>
    <w:rsid w:val="00100C0B"/>
    <w:rsid w:val="00104399"/>
    <w:rsid w:val="0010653B"/>
    <w:rsid w:val="00106602"/>
    <w:rsid w:val="00106A94"/>
    <w:rsid w:val="00110DE2"/>
    <w:rsid w:val="00111BA3"/>
    <w:rsid w:val="00111D2A"/>
    <w:rsid w:val="00111FB4"/>
    <w:rsid w:val="00112E6C"/>
    <w:rsid w:val="00112F09"/>
    <w:rsid w:val="00113EB4"/>
    <w:rsid w:val="00115EA1"/>
    <w:rsid w:val="00116B7E"/>
    <w:rsid w:val="001171FF"/>
    <w:rsid w:val="00120693"/>
    <w:rsid w:val="001206F0"/>
    <w:rsid w:val="00121AB4"/>
    <w:rsid w:val="0012291A"/>
    <w:rsid w:val="00124CD7"/>
    <w:rsid w:val="00124EC7"/>
    <w:rsid w:val="00126064"/>
    <w:rsid w:val="001331FB"/>
    <w:rsid w:val="00136AB8"/>
    <w:rsid w:val="00136BF4"/>
    <w:rsid w:val="00142FD7"/>
    <w:rsid w:val="001473A6"/>
    <w:rsid w:val="00147FFD"/>
    <w:rsid w:val="00150E33"/>
    <w:rsid w:val="00152535"/>
    <w:rsid w:val="00153C51"/>
    <w:rsid w:val="0015663F"/>
    <w:rsid w:val="00167302"/>
    <w:rsid w:val="00167409"/>
    <w:rsid w:val="001678F7"/>
    <w:rsid w:val="00170D17"/>
    <w:rsid w:val="001712BC"/>
    <w:rsid w:val="001722A8"/>
    <w:rsid w:val="001728DF"/>
    <w:rsid w:val="001729E2"/>
    <w:rsid w:val="0017318D"/>
    <w:rsid w:val="00174FB2"/>
    <w:rsid w:val="00176449"/>
    <w:rsid w:val="0017699B"/>
    <w:rsid w:val="001769D9"/>
    <w:rsid w:val="00177C56"/>
    <w:rsid w:val="001802B6"/>
    <w:rsid w:val="00182AE9"/>
    <w:rsid w:val="00182BDB"/>
    <w:rsid w:val="00183A9C"/>
    <w:rsid w:val="00184179"/>
    <w:rsid w:val="00185139"/>
    <w:rsid w:val="0018536A"/>
    <w:rsid w:val="00185552"/>
    <w:rsid w:val="00186307"/>
    <w:rsid w:val="00187FAD"/>
    <w:rsid w:val="0019363C"/>
    <w:rsid w:val="00194424"/>
    <w:rsid w:val="00197F6B"/>
    <w:rsid w:val="001A01BC"/>
    <w:rsid w:val="001A087E"/>
    <w:rsid w:val="001A225B"/>
    <w:rsid w:val="001A3555"/>
    <w:rsid w:val="001A5473"/>
    <w:rsid w:val="001A5A08"/>
    <w:rsid w:val="001B79C7"/>
    <w:rsid w:val="001C05E8"/>
    <w:rsid w:val="001C3F52"/>
    <w:rsid w:val="001C4DCC"/>
    <w:rsid w:val="001C502A"/>
    <w:rsid w:val="001C61B7"/>
    <w:rsid w:val="001C6AE3"/>
    <w:rsid w:val="001D06C2"/>
    <w:rsid w:val="001D0F33"/>
    <w:rsid w:val="001D4B53"/>
    <w:rsid w:val="001D4FB5"/>
    <w:rsid w:val="001D516D"/>
    <w:rsid w:val="001D5F27"/>
    <w:rsid w:val="001D6EF7"/>
    <w:rsid w:val="001D7A6A"/>
    <w:rsid w:val="001E284F"/>
    <w:rsid w:val="001E2ADC"/>
    <w:rsid w:val="001E4080"/>
    <w:rsid w:val="001E43BF"/>
    <w:rsid w:val="001E69C7"/>
    <w:rsid w:val="001E6CAB"/>
    <w:rsid w:val="001F1927"/>
    <w:rsid w:val="001F2037"/>
    <w:rsid w:val="001F3807"/>
    <w:rsid w:val="002003A2"/>
    <w:rsid w:val="0020132D"/>
    <w:rsid w:val="002030C3"/>
    <w:rsid w:val="002032FA"/>
    <w:rsid w:val="0020543B"/>
    <w:rsid w:val="00206395"/>
    <w:rsid w:val="00206C29"/>
    <w:rsid w:val="002104E1"/>
    <w:rsid w:val="00210FAF"/>
    <w:rsid w:val="002132CA"/>
    <w:rsid w:val="002144A6"/>
    <w:rsid w:val="002170F1"/>
    <w:rsid w:val="00217239"/>
    <w:rsid w:val="00217964"/>
    <w:rsid w:val="002208D0"/>
    <w:rsid w:val="00223FFF"/>
    <w:rsid w:val="002244C7"/>
    <w:rsid w:val="00226EF2"/>
    <w:rsid w:val="00230B37"/>
    <w:rsid w:val="00231994"/>
    <w:rsid w:val="00235143"/>
    <w:rsid w:val="00235644"/>
    <w:rsid w:val="002362B4"/>
    <w:rsid w:val="0024205F"/>
    <w:rsid w:val="00242719"/>
    <w:rsid w:val="00244F87"/>
    <w:rsid w:val="00245D96"/>
    <w:rsid w:val="002476BC"/>
    <w:rsid w:val="00247FC3"/>
    <w:rsid w:val="00250196"/>
    <w:rsid w:val="00250677"/>
    <w:rsid w:val="00250E69"/>
    <w:rsid w:val="002518D7"/>
    <w:rsid w:val="00253347"/>
    <w:rsid w:val="0025736A"/>
    <w:rsid w:val="00262FEE"/>
    <w:rsid w:val="00263E99"/>
    <w:rsid w:val="00267EBD"/>
    <w:rsid w:val="00270505"/>
    <w:rsid w:val="0027122D"/>
    <w:rsid w:val="00271EAE"/>
    <w:rsid w:val="0027358E"/>
    <w:rsid w:val="0027366A"/>
    <w:rsid w:val="00275081"/>
    <w:rsid w:val="0027623F"/>
    <w:rsid w:val="00280F6D"/>
    <w:rsid w:val="00281F0A"/>
    <w:rsid w:val="002831B5"/>
    <w:rsid w:val="00287C09"/>
    <w:rsid w:val="00287ECB"/>
    <w:rsid w:val="00291F05"/>
    <w:rsid w:val="002932F4"/>
    <w:rsid w:val="00296352"/>
    <w:rsid w:val="002A024D"/>
    <w:rsid w:val="002A0A44"/>
    <w:rsid w:val="002A1FBB"/>
    <w:rsid w:val="002A5FA1"/>
    <w:rsid w:val="002A6343"/>
    <w:rsid w:val="002A6A7A"/>
    <w:rsid w:val="002A6F01"/>
    <w:rsid w:val="002A75B9"/>
    <w:rsid w:val="002B2CD4"/>
    <w:rsid w:val="002B3C2D"/>
    <w:rsid w:val="002B470D"/>
    <w:rsid w:val="002B692C"/>
    <w:rsid w:val="002C1BBD"/>
    <w:rsid w:val="002C2B0E"/>
    <w:rsid w:val="002C39C4"/>
    <w:rsid w:val="002C43D1"/>
    <w:rsid w:val="002C7266"/>
    <w:rsid w:val="002C7658"/>
    <w:rsid w:val="002C7EB7"/>
    <w:rsid w:val="002D0A41"/>
    <w:rsid w:val="002D0C6D"/>
    <w:rsid w:val="002D10F4"/>
    <w:rsid w:val="002D12D8"/>
    <w:rsid w:val="002D232B"/>
    <w:rsid w:val="002D4FC7"/>
    <w:rsid w:val="002D5F15"/>
    <w:rsid w:val="002D612C"/>
    <w:rsid w:val="002D788B"/>
    <w:rsid w:val="002D7ED7"/>
    <w:rsid w:val="002E1D16"/>
    <w:rsid w:val="002E2F2C"/>
    <w:rsid w:val="002E3A86"/>
    <w:rsid w:val="002E3D3F"/>
    <w:rsid w:val="002E4CA9"/>
    <w:rsid w:val="002E5BC0"/>
    <w:rsid w:val="002E732C"/>
    <w:rsid w:val="002F1EDE"/>
    <w:rsid w:val="002F38C8"/>
    <w:rsid w:val="002F4814"/>
    <w:rsid w:val="002F6179"/>
    <w:rsid w:val="002F7526"/>
    <w:rsid w:val="002F77CE"/>
    <w:rsid w:val="003015BC"/>
    <w:rsid w:val="00302017"/>
    <w:rsid w:val="00304FCC"/>
    <w:rsid w:val="0030501B"/>
    <w:rsid w:val="00306E51"/>
    <w:rsid w:val="00310CC6"/>
    <w:rsid w:val="0031167D"/>
    <w:rsid w:val="003138AB"/>
    <w:rsid w:val="00314033"/>
    <w:rsid w:val="00316DBA"/>
    <w:rsid w:val="00317F36"/>
    <w:rsid w:val="003211A2"/>
    <w:rsid w:val="00322B35"/>
    <w:rsid w:val="00324621"/>
    <w:rsid w:val="0032628A"/>
    <w:rsid w:val="00326A10"/>
    <w:rsid w:val="00326B1B"/>
    <w:rsid w:val="00327A1F"/>
    <w:rsid w:val="00330987"/>
    <w:rsid w:val="00333711"/>
    <w:rsid w:val="00334E90"/>
    <w:rsid w:val="00337D99"/>
    <w:rsid w:val="00340B93"/>
    <w:rsid w:val="003433E6"/>
    <w:rsid w:val="00344403"/>
    <w:rsid w:val="00346378"/>
    <w:rsid w:val="00346E1F"/>
    <w:rsid w:val="00347565"/>
    <w:rsid w:val="0034789E"/>
    <w:rsid w:val="0035002C"/>
    <w:rsid w:val="003504C5"/>
    <w:rsid w:val="00350B35"/>
    <w:rsid w:val="00351344"/>
    <w:rsid w:val="00351CCF"/>
    <w:rsid w:val="00352AED"/>
    <w:rsid w:val="003566AA"/>
    <w:rsid w:val="00357647"/>
    <w:rsid w:val="003604A5"/>
    <w:rsid w:val="003612F6"/>
    <w:rsid w:val="00363329"/>
    <w:rsid w:val="00363B63"/>
    <w:rsid w:val="00363C5F"/>
    <w:rsid w:val="00364A9D"/>
    <w:rsid w:val="003657A8"/>
    <w:rsid w:val="003658F2"/>
    <w:rsid w:val="00366DD6"/>
    <w:rsid w:val="00370AB2"/>
    <w:rsid w:val="00371BB7"/>
    <w:rsid w:val="00372E35"/>
    <w:rsid w:val="003735FF"/>
    <w:rsid w:val="00374B97"/>
    <w:rsid w:val="003750EB"/>
    <w:rsid w:val="00381144"/>
    <w:rsid w:val="00386560"/>
    <w:rsid w:val="00387697"/>
    <w:rsid w:val="00390DBE"/>
    <w:rsid w:val="003919DD"/>
    <w:rsid w:val="00392A07"/>
    <w:rsid w:val="00393461"/>
    <w:rsid w:val="00397147"/>
    <w:rsid w:val="003A2471"/>
    <w:rsid w:val="003A58F7"/>
    <w:rsid w:val="003A76E3"/>
    <w:rsid w:val="003B2FA3"/>
    <w:rsid w:val="003B34C1"/>
    <w:rsid w:val="003B3783"/>
    <w:rsid w:val="003B3F64"/>
    <w:rsid w:val="003C00C3"/>
    <w:rsid w:val="003C0A14"/>
    <w:rsid w:val="003C4C7C"/>
    <w:rsid w:val="003C7146"/>
    <w:rsid w:val="003C78FA"/>
    <w:rsid w:val="003C7FED"/>
    <w:rsid w:val="003D0DB9"/>
    <w:rsid w:val="003D1302"/>
    <w:rsid w:val="003D2A27"/>
    <w:rsid w:val="003D3404"/>
    <w:rsid w:val="003D613F"/>
    <w:rsid w:val="003D7D9E"/>
    <w:rsid w:val="003E02F0"/>
    <w:rsid w:val="003E34AE"/>
    <w:rsid w:val="003E3BD3"/>
    <w:rsid w:val="003E65C6"/>
    <w:rsid w:val="003E6641"/>
    <w:rsid w:val="003E6EEE"/>
    <w:rsid w:val="003F06F7"/>
    <w:rsid w:val="003F227C"/>
    <w:rsid w:val="003F3770"/>
    <w:rsid w:val="003F582C"/>
    <w:rsid w:val="003F644C"/>
    <w:rsid w:val="003F6E40"/>
    <w:rsid w:val="004021FF"/>
    <w:rsid w:val="004023E5"/>
    <w:rsid w:val="00406378"/>
    <w:rsid w:val="00406B9A"/>
    <w:rsid w:val="00407973"/>
    <w:rsid w:val="00412FC6"/>
    <w:rsid w:val="00413809"/>
    <w:rsid w:val="004153FE"/>
    <w:rsid w:val="004155D9"/>
    <w:rsid w:val="00415D78"/>
    <w:rsid w:val="00416BC0"/>
    <w:rsid w:val="004172C9"/>
    <w:rsid w:val="00421C26"/>
    <w:rsid w:val="004251F9"/>
    <w:rsid w:val="00425EEC"/>
    <w:rsid w:val="0042705D"/>
    <w:rsid w:val="00433450"/>
    <w:rsid w:val="004339C7"/>
    <w:rsid w:val="00436D9C"/>
    <w:rsid w:val="00440CDB"/>
    <w:rsid w:val="004422B8"/>
    <w:rsid w:val="00443156"/>
    <w:rsid w:val="00445579"/>
    <w:rsid w:val="00445814"/>
    <w:rsid w:val="00447BC9"/>
    <w:rsid w:val="00451A6C"/>
    <w:rsid w:val="00451F93"/>
    <w:rsid w:val="0045573E"/>
    <w:rsid w:val="004609D7"/>
    <w:rsid w:val="00460AB8"/>
    <w:rsid w:val="00460F02"/>
    <w:rsid w:val="00460F4E"/>
    <w:rsid w:val="00460F52"/>
    <w:rsid w:val="00461661"/>
    <w:rsid w:val="00462178"/>
    <w:rsid w:val="0046253C"/>
    <w:rsid w:val="00462FA3"/>
    <w:rsid w:val="00464D02"/>
    <w:rsid w:val="004656F0"/>
    <w:rsid w:val="00467DD2"/>
    <w:rsid w:val="004715C4"/>
    <w:rsid w:val="004765D7"/>
    <w:rsid w:val="004766EE"/>
    <w:rsid w:val="00476D00"/>
    <w:rsid w:val="00477EEC"/>
    <w:rsid w:val="0048049C"/>
    <w:rsid w:val="00491DE8"/>
    <w:rsid w:val="004922E1"/>
    <w:rsid w:val="00492C33"/>
    <w:rsid w:val="0049327D"/>
    <w:rsid w:val="00493D99"/>
    <w:rsid w:val="00495C48"/>
    <w:rsid w:val="004A0587"/>
    <w:rsid w:val="004A3BE6"/>
    <w:rsid w:val="004A4164"/>
    <w:rsid w:val="004A67E6"/>
    <w:rsid w:val="004B17E3"/>
    <w:rsid w:val="004B386A"/>
    <w:rsid w:val="004B46B6"/>
    <w:rsid w:val="004B49C3"/>
    <w:rsid w:val="004B6C34"/>
    <w:rsid w:val="004C16E7"/>
    <w:rsid w:val="004C1FCD"/>
    <w:rsid w:val="004C4897"/>
    <w:rsid w:val="004C5195"/>
    <w:rsid w:val="004C59D7"/>
    <w:rsid w:val="004C6A9D"/>
    <w:rsid w:val="004C792E"/>
    <w:rsid w:val="004D0A7C"/>
    <w:rsid w:val="004D0D70"/>
    <w:rsid w:val="004D22DE"/>
    <w:rsid w:val="004D261F"/>
    <w:rsid w:val="004D2B82"/>
    <w:rsid w:val="004D2FF7"/>
    <w:rsid w:val="004D401F"/>
    <w:rsid w:val="004D4DB7"/>
    <w:rsid w:val="004E3472"/>
    <w:rsid w:val="004E7603"/>
    <w:rsid w:val="004F0104"/>
    <w:rsid w:val="004F0202"/>
    <w:rsid w:val="004F02A4"/>
    <w:rsid w:val="004F2CE8"/>
    <w:rsid w:val="004F3C12"/>
    <w:rsid w:val="004F7DFC"/>
    <w:rsid w:val="0050013A"/>
    <w:rsid w:val="00500D3E"/>
    <w:rsid w:val="00504CF6"/>
    <w:rsid w:val="0050597B"/>
    <w:rsid w:val="005063F7"/>
    <w:rsid w:val="0050646A"/>
    <w:rsid w:val="00506E93"/>
    <w:rsid w:val="00507B54"/>
    <w:rsid w:val="00510350"/>
    <w:rsid w:val="00512D2B"/>
    <w:rsid w:val="00513E00"/>
    <w:rsid w:val="00514E66"/>
    <w:rsid w:val="00516BCA"/>
    <w:rsid w:val="00517C78"/>
    <w:rsid w:val="005209AA"/>
    <w:rsid w:val="0052135D"/>
    <w:rsid w:val="00522195"/>
    <w:rsid w:val="00523580"/>
    <w:rsid w:val="00524AE7"/>
    <w:rsid w:val="00525C4C"/>
    <w:rsid w:val="0053081B"/>
    <w:rsid w:val="00531A8E"/>
    <w:rsid w:val="005323DC"/>
    <w:rsid w:val="00532F80"/>
    <w:rsid w:val="00541484"/>
    <w:rsid w:val="00543949"/>
    <w:rsid w:val="00546705"/>
    <w:rsid w:val="00546AE7"/>
    <w:rsid w:val="00547BDE"/>
    <w:rsid w:val="00547D0B"/>
    <w:rsid w:val="00551190"/>
    <w:rsid w:val="00551910"/>
    <w:rsid w:val="00553E6E"/>
    <w:rsid w:val="00554759"/>
    <w:rsid w:val="00555362"/>
    <w:rsid w:val="005613AA"/>
    <w:rsid w:val="00561A58"/>
    <w:rsid w:val="0056260A"/>
    <w:rsid w:val="005628E6"/>
    <w:rsid w:val="005634C4"/>
    <w:rsid w:val="005649E6"/>
    <w:rsid w:val="00564BF8"/>
    <w:rsid w:val="00566483"/>
    <w:rsid w:val="00566E58"/>
    <w:rsid w:val="00566FB4"/>
    <w:rsid w:val="00567937"/>
    <w:rsid w:val="005706B8"/>
    <w:rsid w:val="005736ED"/>
    <w:rsid w:val="00575C43"/>
    <w:rsid w:val="00581ED8"/>
    <w:rsid w:val="005831A8"/>
    <w:rsid w:val="005846EC"/>
    <w:rsid w:val="00584E31"/>
    <w:rsid w:val="0058522C"/>
    <w:rsid w:val="00585497"/>
    <w:rsid w:val="00585634"/>
    <w:rsid w:val="00585FAA"/>
    <w:rsid w:val="00586B59"/>
    <w:rsid w:val="00590415"/>
    <w:rsid w:val="00591BF4"/>
    <w:rsid w:val="005955CF"/>
    <w:rsid w:val="00595A09"/>
    <w:rsid w:val="00595D2A"/>
    <w:rsid w:val="005A0737"/>
    <w:rsid w:val="005A0DAA"/>
    <w:rsid w:val="005A1332"/>
    <w:rsid w:val="005A1761"/>
    <w:rsid w:val="005A1CA0"/>
    <w:rsid w:val="005A2434"/>
    <w:rsid w:val="005A4B80"/>
    <w:rsid w:val="005B02AA"/>
    <w:rsid w:val="005B2452"/>
    <w:rsid w:val="005B39DD"/>
    <w:rsid w:val="005B3F79"/>
    <w:rsid w:val="005B4921"/>
    <w:rsid w:val="005B4F0B"/>
    <w:rsid w:val="005B6139"/>
    <w:rsid w:val="005B6732"/>
    <w:rsid w:val="005B7A51"/>
    <w:rsid w:val="005B7B18"/>
    <w:rsid w:val="005C1318"/>
    <w:rsid w:val="005C1E56"/>
    <w:rsid w:val="005C45AE"/>
    <w:rsid w:val="005C73C6"/>
    <w:rsid w:val="005C7A9F"/>
    <w:rsid w:val="005D1992"/>
    <w:rsid w:val="005D2035"/>
    <w:rsid w:val="005D37A6"/>
    <w:rsid w:val="005D38E8"/>
    <w:rsid w:val="005D4809"/>
    <w:rsid w:val="005D579A"/>
    <w:rsid w:val="005D76DA"/>
    <w:rsid w:val="005D7C6E"/>
    <w:rsid w:val="005E0287"/>
    <w:rsid w:val="005E0EEE"/>
    <w:rsid w:val="005E347F"/>
    <w:rsid w:val="005E4843"/>
    <w:rsid w:val="005E55FA"/>
    <w:rsid w:val="005F4DD6"/>
    <w:rsid w:val="005F5BD9"/>
    <w:rsid w:val="005F6A0F"/>
    <w:rsid w:val="00600386"/>
    <w:rsid w:val="006007E0"/>
    <w:rsid w:val="00602982"/>
    <w:rsid w:val="00604471"/>
    <w:rsid w:val="006136BC"/>
    <w:rsid w:val="00617101"/>
    <w:rsid w:val="006203A7"/>
    <w:rsid w:val="0062119B"/>
    <w:rsid w:val="0062316C"/>
    <w:rsid w:val="0062687C"/>
    <w:rsid w:val="00630931"/>
    <w:rsid w:val="00631068"/>
    <w:rsid w:val="0063250D"/>
    <w:rsid w:val="00632AFC"/>
    <w:rsid w:val="0063333B"/>
    <w:rsid w:val="006339F1"/>
    <w:rsid w:val="00635E76"/>
    <w:rsid w:val="00641A8B"/>
    <w:rsid w:val="00642EDF"/>
    <w:rsid w:val="00642F07"/>
    <w:rsid w:val="00643DC4"/>
    <w:rsid w:val="00644CA5"/>
    <w:rsid w:val="00645F1B"/>
    <w:rsid w:val="006505A1"/>
    <w:rsid w:val="00650B97"/>
    <w:rsid w:val="00651A14"/>
    <w:rsid w:val="00651F36"/>
    <w:rsid w:val="00653619"/>
    <w:rsid w:val="006536C8"/>
    <w:rsid w:val="006543AA"/>
    <w:rsid w:val="00654794"/>
    <w:rsid w:val="006548A2"/>
    <w:rsid w:val="00655584"/>
    <w:rsid w:val="006560D8"/>
    <w:rsid w:val="0066249D"/>
    <w:rsid w:val="00664D85"/>
    <w:rsid w:val="00667CF6"/>
    <w:rsid w:val="00667F9A"/>
    <w:rsid w:val="00670225"/>
    <w:rsid w:val="0067103F"/>
    <w:rsid w:val="00671A4F"/>
    <w:rsid w:val="006725DA"/>
    <w:rsid w:val="00672673"/>
    <w:rsid w:val="006728C0"/>
    <w:rsid w:val="00672EC1"/>
    <w:rsid w:val="00673874"/>
    <w:rsid w:val="00677C5B"/>
    <w:rsid w:val="00680C54"/>
    <w:rsid w:val="006827FC"/>
    <w:rsid w:val="00683A10"/>
    <w:rsid w:val="00684821"/>
    <w:rsid w:val="006849B1"/>
    <w:rsid w:val="006858AF"/>
    <w:rsid w:val="0068593E"/>
    <w:rsid w:val="006863BE"/>
    <w:rsid w:val="00687667"/>
    <w:rsid w:val="00693CE7"/>
    <w:rsid w:val="00693F4C"/>
    <w:rsid w:val="006965A1"/>
    <w:rsid w:val="00696E49"/>
    <w:rsid w:val="006A1840"/>
    <w:rsid w:val="006A275C"/>
    <w:rsid w:val="006A31ED"/>
    <w:rsid w:val="006A472F"/>
    <w:rsid w:val="006A7D82"/>
    <w:rsid w:val="006B001D"/>
    <w:rsid w:val="006B3DCB"/>
    <w:rsid w:val="006B4DAA"/>
    <w:rsid w:val="006B5A43"/>
    <w:rsid w:val="006C3969"/>
    <w:rsid w:val="006C4004"/>
    <w:rsid w:val="006C4193"/>
    <w:rsid w:val="006C4781"/>
    <w:rsid w:val="006D1B28"/>
    <w:rsid w:val="006D30A6"/>
    <w:rsid w:val="006D4F04"/>
    <w:rsid w:val="006D56AD"/>
    <w:rsid w:val="006D63AE"/>
    <w:rsid w:val="006E3B7A"/>
    <w:rsid w:val="006E3C8F"/>
    <w:rsid w:val="006E40EB"/>
    <w:rsid w:val="006E4138"/>
    <w:rsid w:val="006E5A09"/>
    <w:rsid w:val="006E654E"/>
    <w:rsid w:val="006E79FC"/>
    <w:rsid w:val="006F062D"/>
    <w:rsid w:val="006F1F9D"/>
    <w:rsid w:val="006F29DE"/>
    <w:rsid w:val="006F5C8D"/>
    <w:rsid w:val="006F7678"/>
    <w:rsid w:val="007002FB"/>
    <w:rsid w:val="00701836"/>
    <w:rsid w:val="007023C9"/>
    <w:rsid w:val="007043FF"/>
    <w:rsid w:val="0070536E"/>
    <w:rsid w:val="00705830"/>
    <w:rsid w:val="00711DD1"/>
    <w:rsid w:val="00716E3E"/>
    <w:rsid w:val="00720BED"/>
    <w:rsid w:val="00722BE6"/>
    <w:rsid w:val="007230F9"/>
    <w:rsid w:val="00723A28"/>
    <w:rsid w:val="00726A82"/>
    <w:rsid w:val="00731F25"/>
    <w:rsid w:val="00732DDF"/>
    <w:rsid w:val="0073321E"/>
    <w:rsid w:val="007335A0"/>
    <w:rsid w:val="00734A49"/>
    <w:rsid w:val="00735458"/>
    <w:rsid w:val="007379D5"/>
    <w:rsid w:val="00737E58"/>
    <w:rsid w:val="007424AA"/>
    <w:rsid w:val="00743B1C"/>
    <w:rsid w:val="007449D0"/>
    <w:rsid w:val="00750B06"/>
    <w:rsid w:val="007517E6"/>
    <w:rsid w:val="00751BE0"/>
    <w:rsid w:val="00751D4C"/>
    <w:rsid w:val="007520A1"/>
    <w:rsid w:val="00752393"/>
    <w:rsid w:val="00753966"/>
    <w:rsid w:val="00754C86"/>
    <w:rsid w:val="00754DA9"/>
    <w:rsid w:val="00762312"/>
    <w:rsid w:val="007625FC"/>
    <w:rsid w:val="0076383B"/>
    <w:rsid w:val="00765A9B"/>
    <w:rsid w:val="00766733"/>
    <w:rsid w:val="00766875"/>
    <w:rsid w:val="007676A9"/>
    <w:rsid w:val="007702A6"/>
    <w:rsid w:val="007712BA"/>
    <w:rsid w:val="00771916"/>
    <w:rsid w:val="007719F4"/>
    <w:rsid w:val="00772EAF"/>
    <w:rsid w:val="007738C1"/>
    <w:rsid w:val="00774A8E"/>
    <w:rsid w:val="00775EF1"/>
    <w:rsid w:val="007760D6"/>
    <w:rsid w:val="00780553"/>
    <w:rsid w:val="00782269"/>
    <w:rsid w:val="0078330B"/>
    <w:rsid w:val="00784217"/>
    <w:rsid w:val="00785944"/>
    <w:rsid w:val="0078685F"/>
    <w:rsid w:val="007871A3"/>
    <w:rsid w:val="00787ECB"/>
    <w:rsid w:val="00787F67"/>
    <w:rsid w:val="00793843"/>
    <w:rsid w:val="00793BB9"/>
    <w:rsid w:val="0079431E"/>
    <w:rsid w:val="00794F09"/>
    <w:rsid w:val="007953BA"/>
    <w:rsid w:val="007962C6"/>
    <w:rsid w:val="0079689F"/>
    <w:rsid w:val="007968A3"/>
    <w:rsid w:val="007976B6"/>
    <w:rsid w:val="007A075E"/>
    <w:rsid w:val="007A2391"/>
    <w:rsid w:val="007A2A3F"/>
    <w:rsid w:val="007A2D97"/>
    <w:rsid w:val="007A3E31"/>
    <w:rsid w:val="007A43B5"/>
    <w:rsid w:val="007A4713"/>
    <w:rsid w:val="007A5267"/>
    <w:rsid w:val="007A6CAD"/>
    <w:rsid w:val="007B122F"/>
    <w:rsid w:val="007B1C2A"/>
    <w:rsid w:val="007B1CAD"/>
    <w:rsid w:val="007B53A6"/>
    <w:rsid w:val="007B6CA7"/>
    <w:rsid w:val="007C0357"/>
    <w:rsid w:val="007C1E0A"/>
    <w:rsid w:val="007C356B"/>
    <w:rsid w:val="007D0358"/>
    <w:rsid w:val="007D1698"/>
    <w:rsid w:val="007D34C0"/>
    <w:rsid w:val="007D4666"/>
    <w:rsid w:val="007D4A6C"/>
    <w:rsid w:val="007D6219"/>
    <w:rsid w:val="007D6AFF"/>
    <w:rsid w:val="007E04E3"/>
    <w:rsid w:val="007E0CE4"/>
    <w:rsid w:val="007E231D"/>
    <w:rsid w:val="007E2DAB"/>
    <w:rsid w:val="007E2E96"/>
    <w:rsid w:val="007E30F5"/>
    <w:rsid w:val="007E367D"/>
    <w:rsid w:val="007E4A0E"/>
    <w:rsid w:val="007F2007"/>
    <w:rsid w:val="007F200E"/>
    <w:rsid w:val="007F3919"/>
    <w:rsid w:val="007F47B0"/>
    <w:rsid w:val="0080091A"/>
    <w:rsid w:val="008024F2"/>
    <w:rsid w:val="008074AE"/>
    <w:rsid w:val="00810908"/>
    <w:rsid w:val="0081143C"/>
    <w:rsid w:val="0081206D"/>
    <w:rsid w:val="0081615D"/>
    <w:rsid w:val="0082044F"/>
    <w:rsid w:val="00820AD8"/>
    <w:rsid w:val="0082198D"/>
    <w:rsid w:val="00822DDF"/>
    <w:rsid w:val="0083000F"/>
    <w:rsid w:val="00832FF1"/>
    <w:rsid w:val="00833EA6"/>
    <w:rsid w:val="008352BC"/>
    <w:rsid w:val="00836050"/>
    <w:rsid w:val="00836642"/>
    <w:rsid w:val="008377AF"/>
    <w:rsid w:val="00840ACD"/>
    <w:rsid w:val="00841176"/>
    <w:rsid w:val="00841D5A"/>
    <w:rsid w:val="00842FA5"/>
    <w:rsid w:val="00843BBA"/>
    <w:rsid w:val="00845D03"/>
    <w:rsid w:val="00847F03"/>
    <w:rsid w:val="00852E05"/>
    <w:rsid w:val="00854831"/>
    <w:rsid w:val="00861028"/>
    <w:rsid w:val="00861A85"/>
    <w:rsid w:val="008622C3"/>
    <w:rsid w:val="008629A0"/>
    <w:rsid w:val="0087143A"/>
    <w:rsid w:val="008718FE"/>
    <w:rsid w:val="00872EC2"/>
    <w:rsid w:val="00875B1C"/>
    <w:rsid w:val="00877909"/>
    <w:rsid w:val="00880857"/>
    <w:rsid w:val="00881FFB"/>
    <w:rsid w:val="008821BA"/>
    <w:rsid w:val="00882308"/>
    <w:rsid w:val="00882989"/>
    <w:rsid w:val="00882C88"/>
    <w:rsid w:val="00882DB6"/>
    <w:rsid w:val="00886BC7"/>
    <w:rsid w:val="008903A8"/>
    <w:rsid w:val="00891846"/>
    <w:rsid w:val="00892773"/>
    <w:rsid w:val="00892AD6"/>
    <w:rsid w:val="00894E4C"/>
    <w:rsid w:val="008A1883"/>
    <w:rsid w:val="008A1D53"/>
    <w:rsid w:val="008A1F04"/>
    <w:rsid w:val="008A2965"/>
    <w:rsid w:val="008A44E4"/>
    <w:rsid w:val="008A5556"/>
    <w:rsid w:val="008A58F5"/>
    <w:rsid w:val="008A7894"/>
    <w:rsid w:val="008B023F"/>
    <w:rsid w:val="008B27A5"/>
    <w:rsid w:val="008B2B60"/>
    <w:rsid w:val="008B36F2"/>
    <w:rsid w:val="008B37F5"/>
    <w:rsid w:val="008B59DD"/>
    <w:rsid w:val="008C097B"/>
    <w:rsid w:val="008C29FA"/>
    <w:rsid w:val="008C2D0B"/>
    <w:rsid w:val="008C35AE"/>
    <w:rsid w:val="008C5CFB"/>
    <w:rsid w:val="008C72D2"/>
    <w:rsid w:val="008C77BC"/>
    <w:rsid w:val="008D1070"/>
    <w:rsid w:val="008D564A"/>
    <w:rsid w:val="008D691A"/>
    <w:rsid w:val="008E14F6"/>
    <w:rsid w:val="008E1532"/>
    <w:rsid w:val="008E23E5"/>
    <w:rsid w:val="008E2B2C"/>
    <w:rsid w:val="008E5197"/>
    <w:rsid w:val="008E5A6C"/>
    <w:rsid w:val="008E5E80"/>
    <w:rsid w:val="008E5F73"/>
    <w:rsid w:val="008F0456"/>
    <w:rsid w:val="008F3488"/>
    <w:rsid w:val="008F45D1"/>
    <w:rsid w:val="008F50A8"/>
    <w:rsid w:val="009037DE"/>
    <w:rsid w:val="00904142"/>
    <w:rsid w:val="0090421A"/>
    <w:rsid w:val="00907D77"/>
    <w:rsid w:val="00907ED9"/>
    <w:rsid w:val="009126E0"/>
    <w:rsid w:val="00914CAA"/>
    <w:rsid w:val="00915BB2"/>
    <w:rsid w:val="00915CB2"/>
    <w:rsid w:val="00921532"/>
    <w:rsid w:val="009215CB"/>
    <w:rsid w:val="00921D82"/>
    <w:rsid w:val="00923D4D"/>
    <w:rsid w:val="00925006"/>
    <w:rsid w:val="00931C09"/>
    <w:rsid w:val="0093429B"/>
    <w:rsid w:val="0093439B"/>
    <w:rsid w:val="00945A03"/>
    <w:rsid w:val="00946761"/>
    <w:rsid w:val="00947051"/>
    <w:rsid w:val="009517C3"/>
    <w:rsid w:val="009527D7"/>
    <w:rsid w:val="00957217"/>
    <w:rsid w:val="0096170A"/>
    <w:rsid w:val="00966103"/>
    <w:rsid w:val="009661BA"/>
    <w:rsid w:val="00970330"/>
    <w:rsid w:val="009706EA"/>
    <w:rsid w:val="00973141"/>
    <w:rsid w:val="0097475A"/>
    <w:rsid w:val="009812A6"/>
    <w:rsid w:val="00982C91"/>
    <w:rsid w:val="00984002"/>
    <w:rsid w:val="00985725"/>
    <w:rsid w:val="00986601"/>
    <w:rsid w:val="0099247C"/>
    <w:rsid w:val="00992480"/>
    <w:rsid w:val="0099376B"/>
    <w:rsid w:val="009951E5"/>
    <w:rsid w:val="0099572B"/>
    <w:rsid w:val="00996581"/>
    <w:rsid w:val="0099698B"/>
    <w:rsid w:val="00996BDB"/>
    <w:rsid w:val="0099724A"/>
    <w:rsid w:val="009A1C3A"/>
    <w:rsid w:val="009A2F76"/>
    <w:rsid w:val="009A49BB"/>
    <w:rsid w:val="009A4EB1"/>
    <w:rsid w:val="009A7C6A"/>
    <w:rsid w:val="009A7F5E"/>
    <w:rsid w:val="009B0D2C"/>
    <w:rsid w:val="009B102E"/>
    <w:rsid w:val="009B1B4C"/>
    <w:rsid w:val="009B436F"/>
    <w:rsid w:val="009B5624"/>
    <w:rsid w:val="009B5853"/>
    <w:rsid w:val="009B5DFB"/>
    <w:rsid w:val="009B714E"/>
    <w:rsid w:val="009C1A3E"/>
    <w:rsid w:val="009C2793"/>
    <w:rsid w:val="009C3398"/>
    <w:rsid w:val="009C3C74"/>
    <w:rsid w:val="009C4606"/>
    <w:rsid w:val="009C659A"/>
    <w:rsid w:val="009C6CE5"/>
    <w:rsid w:val="009C7B2C"/>
    <w:rsid w:val="009D22B8"/>
    <w:rsid w:val="009D42FA"/>
    <w:rsid w:val="009D45B4"/>
    <w:rsid w:val="009D4F00"/>
    <w:rsid w:val="009D54D6"/>
    <w:rsid w:val="009D7503"/>
    <w:rsid w:val="009D7A03"/>
    <w:rsid w:val="009D7E91"/>
    <w:rsid w:val="009E1507"/>
    <w:rsid w:val="009E23E4"/>
    <w:rsid w:val="009E6692"/>
    <w:rsid w:val="009E70AA"/>
    <w:rsid w:val="009F0C5A"/>
    <w:rsid w:val="009F3F50"/>
    <w:rsid w:val="009F416A"/>
    <w:rsid w:val="009F4698"/>
    <w:rsid w:val="009F48A8"/>
    <w:rsid w:val="009F5F6D"/>
    <w:rsid w:val="009F7183"/>
    <w:rsid w:val="00A0005F"/>
    <w:rsid w:val="00A02C90"/>
    <w:rsid w:val="00A115AB"/>
    <w:rsid w:val="00A13598"/>
    <w:rsid w:val="00A14F9E"/>
    <w:rsid w:val="00A1527B"/>
    <w:rsid w:val="00A158CA"/>
    <w:rsid w:val="00A17A22"/>
    <w:rsid w:val="00A219D8"/>
    <w:rsid w:val="00A23AD4"/>
    <w:rsid w:val="00A271B8"/>
    <w:rsid w:val="00A327D7"/>
    <w:rsid w:val="00A329C7"/>
    <w:rsid w:val="00A33167"/>
    <w:rsid w:val="00A33D72"/>
    <w:rsid w:val="00A34654"/>
    <w:rsid w:val="00A34EB7"/>
    <w:rsid w:val="00A3775D"/>
    <w:rsid w:val="00A40AEC"/>
    <w:rsid w:val="00A41203"/>
    <w:rsid w:val="00A42155"/>
    <w:rsid w:val="00A43205"/>
    <w:rsid w:val="00A44DFF"/>
    <w:rsid w:val="00A44F38"/>
    <w:rsid w:val="00A534E4"/>
    <w:rsid w:val="00A55C90"/>
    <w:rsid w:val="00A56314"/>
    <w:rsid w:val="00A60045"/>
    <w:rsid w:val="00A60E8E"/>
    <w:rsid w:val="00A61B93"/>
    <w:rsid w:val="00A629C0"/>
    <w:rsid w:val="00A65152"/>
    <w:rsid w:val="00A651F8"/>
    <w:rsid w:val="00A70847"/>
    <w:rsid w:val="00A71094"/>
    <w:rsid w:val="00A72F29"/>
    <w:rsid w:val="00A76E92"/>
    <w:rsid w:val="00A77DCE"/>
    <w:rsid w:val="00A81D19"/>
    <w:rsid w:val="00A846CC"/>
    <w:rsid w:val="00A84AAB"/>
    <w:rsid w:val="00A874C0"/>
    <w:rsid w:val="00A96CCF"/>
    <w:rsid w:val="00A96CED"/>
    <w:rsid w:val="00A96E87"/>
    <w:rsid w:val="00A97761"/>
    <w:rsid w:val="00A97C9F"/>
    <w:rsid w:val="00AA0059"/>
    <w:rsid w:val="00AA0629"/>
    <w:rsid w:val="00AA0EB4"/>
    <w:rsid w:val="00AA4E33"/>
    <w:rsid w:val="00AA5675"/>
    <w:rsid w:val="00AA5878"/>
    <w:rsid w:val="00AA59C2"/>
    <w:rsid w:val="00AA5B8D"/>
    <w:rsid w:val="00AA5FC1"/>
    <w:rsid w:val="00AA620F"/>
    <w:rsid w:val="00AB032F"/>
    <w:rsid w:val="00AB057C"/>
    <w:rsid w:val="00AB171A"/>
    <w:rsid w:val="00AB1AF2"/>
    <w:rsid w:val="00AB2A4D"/>
    <w:rsid w:val="00AB5CF4"/>
    <w:rsid w:val="00AC344A"/>
    <w:rsid w:val="00AC4482"/>
    <w:rsid w:val="00AC57BF"/>
    <w:rsid w:val="00AC64AB"/>
    <w:rsid w:val="00AC6D37"/>
    <w:rsid w:val="00AD429B"/>
    <w:rsid w:val="00AD64BC"/>
    <w:rsid w:val="00AD6919"/>
    <w:rsid w:val="00AE3B7E"/>
    <w:rsid w:val="00AE4419"/>
    <w:rsid w:val="00AE4F3C"/>
    <w:rsid w:val="00AE6A35"/>
    <w:rsid w:val="00AE6CBF"/>
    <w:rsid w:val="00AF0AA4"/>
    <w:rsid w:val="00AF1301"/>
    <w:rsid w:val="00AF1C18"/>
    <w:rsid w:val="00AF2ABA"/>
    <w:rsid w:val="00AF376D"/>
    <w:rsid w:val="00AF3CBD"/>
    <w:rsid w:val="00AF440F"/>
    <w:rsid w:val="00AF44C0"/>
    <w:rsid w:val="00AF6995"/>
    <w:rsid w:val="00AF7435"/>
    <w:rsid w:val="00B006CA"/>
    <w:rsid w:val="00B016DC"/>
    <w:rsid w:val="00B03C94"/>
    <w:rsid w:val="00B0609B"/>
    <w:rsid w:val="00B06ADB"/>
    <w:rsid w:val="00B1100E"/>
    <w:rsid w:val="00B1164B"/>
    <w:rsid w:val="00B1337E"/>
    <w:rsid w:val="00B14E23"/>
    <w:rsid w:val="00B1504C"/>
    <w:rsid w:val="00B173C0"/>
    <w:rsid w:val="00B17890"/>
    <w:rsid w:val="00B17EDA"/>
    <w:rsid w:val="00B2137E"/>
    <w:rsid w:val="00B21700"/>
    <w:rsid w:val="00B21928"/>
    <w:rsid w:val="00B22C80"/>
    <w:rsid w:val="00B24334"/>
    <w:rsid w:val="00B25AF8"/>
    <w:rsid w:val="00B25B91"/>
    <w:rsid w:val="00B305D0"/>
    <w:rsid w:val="00B30722"/>
    <w:rsid w:val="00B3195B"/>
    <w:rsid w:val="00B325C7"/>
    <w:rsid w:val="00B343FF"/>
    <w:rsid w:val="00B36117"/>
    <w:rsid w:val="00B41151"/>
    <w:rsid w:val="00B41306"/>
    <w:rsid w:val="00B42312"/>
    <w:rsid w:val="00B42DC2"/>
    <w:rsid w:val="00B43F97"/>
    <w:rsid w:val="00B45334"/>
    <w:rsid w:val="00B45655"/>
    <w:rsid w:val="00B45B7E"/>
    <w:rsid w:val="00B45C86"/>
    <w:rsid w:val="00B4732F"/>
    <w:rsid w:val="00B50D98"/>
    <w:rsid w:val="00B5111C"/>
    <w:rsid w:val="00B53343"/>
    <w:rsid w:val="00B546A0"/>
    <w:rsid w:val="00B54F8B"/>
    <w:rsid w:val="00B57F0E"/>
    <w:rsid w:val="00B65E61"/>
    <w:rsid w:val="00B669A9"/>
    <w:rsid w:val="00B67AF5"/>
    <w:rsid w:val="00B67FA3"/>
    <w:rsid w:val="00B7410C"/>
    <w:rsid w:val="00B7486C"/>
    <w:rsid w:val="00B80D0A"/>
    <w:rsid w:val="00B84419"/>
    <w:rsid w:val="00B848B7"/>
    <w:rsid w:val="00B875CF"/>
    <w:rsid w:val="00B90187"/>
    <w:rsid w:val="00B90391"/>
    <w:rsid w:val="00B9309E"/>
    <w:rsid w:val="00B9334B"/>
    <w:rsid w:val="00B94925"/>
    <w:rsid w:val="00B9747E"/>
    <w:rsid w:val="00B97F69"/>
    <w:rsid w:val="00BA0665"/>
    <w:rsid w:val="00BA0BB3"/>
    <w:rsid w:val="00BA1286"/>
    <w:rsid w:val="00BA2754"/>
    <w:rsid w:val="00BA2B2A"/>
    <w:rsid w:val="00BA2C00"/>
    <w:rsid w:val="00BA2C1C"/>
    <w:rsid w:val="00BA437B"/>
    <w:rsid w:val="00BA47CD"/>
    <w:rsid w:val="00BA4C7E"/>
    <w:rsid w:val="00BA5839"/>
    <w:rsid w:val="00BA6A48"/>
    <w:rsid w:val="00BB1758"/>
    <w:rsid w:val="00BB27AA"/>
    <w:rsid w:val="00BB2DA9"/>
    <w:rsid w:val="00BB660E"/>
    <w:rsid w:val="00BB6F01"/>
    <w:rsid w:val="00BB7442"/>
    <w:rsid w:val="00BC06F6"/>
    <w:rsid w:val="00BC457C"/>
    <w:rsid w:val="00BC48A8"/>
    <w:rsid w:val="00BC4B7B"/>
    <w:rsid w:val="00BC792E"/>
    <w:rsid w:val="00BD18B1"/>
    <w:rsid w:val="00BD2897"/>
    <w:rsid w:val="00BD2B78"/>
    <w:rsid w:val="00BD31D5"/>
    <w:rsid w:val="00BD3A0E"/>
    <w:rsid w:val="00BD3ADE"/>
    <w:rsid w:val="00BD3EDB"/>
    <w:rsid w:val="00BE3406"/>
    <w:rsid w:val="00BE504E"/>
    <w:rsid w:val="00BE5C02"/>
    <w:rsid w:val="00BE6A6B"/>
    <w:rsid w:val="00BE75E1"/>
    <w:rsid w:val="00BF057B"/>
    <w:rsid w:val="00BF12EF"/>
    <w:rsid w:val="00BF5F7F"/>
    <w:rsid w:val="00BF6C34"/>
    <w:rsid w:val="00BF795A"/>
    <w:rsid w:val="00C0026B"/>
    <w:rsid w:val="00C0041A"/>
    <w:rsid w:val="00C00B70"/>
    <w:rsid w:val="00C01BCC"/>
    <w:rsid w:val="00C031D3"/>
    <w:rsid w:val="00C04AB2"/>
    <w:rsid w:val="00C059DD"/>
    <w:rsid w:val="00C05CED"/>
    <w:rsid w:val="00C07749"/>
    <w:rsid w:val="00C1109A"/>
    <w:rsid w:val="00C123DC"/>
    <w:rsid w:val="00C149B4"/>
    <w:rsid w:val="00C156F6"/>
    <w:rsid w:val="00C15EEF"/>
    <w:rsid w:val="00C1604B"/>
    <w:rsid w:val="00C170C0"/>
    <w:rsid w:val="00C205AB"/>
    <w:rsid w:val="00C21280"/>
    <w:rsid w:val="00C213D3"/>
    <w:rsid w:val="00C22F39"/>
    <w:rsid w:val="00C24EE1"/>
    <w:rsid w:val="00C257A1"/>
    <w:rsid w:val="00C265D8"/>
    <w:rsid w:val="00C26C49"/>
    <w:rsid w:val="00C27CE8"/>
    <w:rsid w:val="00C30CF9"/>
    <w:rsid w:val="00C3272A"/>
    <w:rsid w:val="00C32AC8"/>
    <w:rsid w:val="00C34288"/>
    <w:rsid w:val="00C35B18"/>
    <w:rsid w:val="00C36876"/>
    <w:rsid w:val="00C3795E"/>
    <w:rsid w:val="00C37A39"/>
    <w:rsid w:val="00C41E99"/>
    <w:rsid w:val="00C44868"/>
    <w:rsid w:val="00C45FEE"/>
    <w:rsid w:val="00C5253B"/>
    <w:rsid w:val="00C52777"/>
    <w:rsid w:val="00C53DB5"/>
    <w:rsid w:val="00C54800"/>
    <w:rsid w:val="00C57371"/>
    <w:rsid w:val="00C60336"/>
    <w:rsid w:val="00C605E4"/>
    <w:rsid w:val="00C63FDD"/>
    <w:rsid w:val="00C642BD"/>
    <w:rsid w:val="00C666CE"/>
    <w:rsid w:val="00C66A78"/>
    <w:rsid w:val="00C67975"/>
    <w:rsid w:val="00C705D3"/>
    <w:rsid w:val="00C70619"/>
    <w:rsid w:val="00C73781"/>
    <w:rsid w:val="00C75AE5"/>
    <w:rsid w:val="00C80564"/>
    <w:rsid w:val="00C84315"/>
    <w:rsid w:val="00C85C61"/>
    <w:rsid w:val="00C8661F"/>
    <w:rsid w:val="00C8705D"/>
    <w:rsid w:val="00C9050B"/>
    <w:rsid w:val="00C91E75"/>
    <w:rsid w:val="00C968F4"/>
    <w:rsid w:val="00C97B6B"/>
    <w:rsid w:val="00C97EBC"/>
    <w:rsid w:val="00CA124D"/>
    <w:rsid w:val="00CA4E6B"/>
    <w:rsid w:val="00CA5837"/>
    <w:rsid w:val="00CA58F6"/>
    <w:rsid w:val="00CA6099"/>
    <w:rsid w:val="00CA6846"/>
    <w:rsid w:val="00CA7BC2"/>
    <w:rsid w:val="00CB068A"/>
    <w:rsid w:val="00CB0A74"/>
    <w:rsid w:val="00CB0BB0"/>
    <w:rsid w:val="00CB5E2D"/>
    <w:rsid w:val="00CB5F6B"/>
    <w:rsid w:val="00CB61BB"/>
    <w:rsid w:val="00CC29E2"/>
    <w:rsid w:val="00CC4377"/>
    <w:rsid w:val="00CC469C"/>
    <w:rsid w:val="00CC68F9"/>
    <w:rsid w:val="00CC76D9"/>
    <w:rsid w:val="00CD2235"/>
    <w:rsid w:val="00CD28E7"/>
    <w:rsid w:val="00CD331C"/>
    <w:rsid w:val="00CD425F"/>
    <w:rsid w:val="00CD6A2E"/>
    <w:rsid w:val="00CD7241"/>
    <w:rsid w:val="00CD7DF0"/>
    <w:rsid w:val="00CE1988"/>
    <w:rsid w:val="00CE3563"/>
    <w:rsid w:val="00CE3F13"/>
    <w:rsid w:val="00CE52FD"/>
    <w:rsid w:val="00CE5E68"/>
    <w:rsid w:val="00CF1BEC"/>
    <w:rsid w:val="00CF1F37"/>
    <w:rsid w:val="00CF45E8"/>
    <w:rsid w:val="00CF5BA6"/>
    <w:rsid w:val="00CF6CAB"/>
    <w:rsid w:val="00CF74AA"/>
    <w:rsid w:val="00D0119E"/>
    <w:rsid w:val="00D03739"/>
    <w:rsid w:val="00D03751"/>
    <w:rsid w:val="00D03E4A"/>
    <w:rsid w:val="00D04A54"/>
    <w:rsid w:val="00D05F4B"/>
    <w:rsid w:val="00D06032"/>
    <w:rsid w:val="00D068D8"/>
    <w:rsid w:val="00D116E0"/>
    <w:rsid w:val="00D12222"/>
    <w:rsid w:val="00D152D7"/>
    <w:rsid w:val="00D16AF3"/>
    <w:rsid w:val="00D21821"/>
    <w:rsid w:val="00D2185E"/>
    <w:rsid w:val="00D21B53"/>
    <w:rsid w:val="00D21E2B"/>
    <w:rsid w:val="00D23248"/>
    <w:rsid w:val="00D24EE4"/>
    <w:rsid w:val="00D2658D"/>
    <w:rsid w:val="00D26A1E"/>
    <w:rsid w:val="00D26DEF"/>
    <w:rsid w:val="00D27D63"/>
    <w:rsid w:val="00D27D95"/>
    <w:rsid w:val="00D300C0"/>
    <w:rsid w:val="00D30129"/>
    <w:rsid w:val="00D30E64"/>
    <w:rsid w:val="00D32784"/>
    <w:rsid w:val="00D36442"/>
    <w:rsid w:val="00D3673D"/>
    <w:rsid w:val="00D40EDD"/>
    <w:rsid w:val="00D4579C"/>
    <w:rsid w:val="00D477B6"/>
    <w:rsid w:val="00D506E7"/>
    <w:rsid w:val="00D50848"/>
    <w:rsid w:val="00D51502"/>
    <w:rsid w:val="00D53510"/>
    <w:rsid w:val="00D5468E"/>
    <w:rsid w:val="00D56518"/>
    <w:rsid w:val="00D60170"/>
    <w:rsid w:val="00D60D6B"/>
    <w:rsid w:val="00D60EFB"/>
    <w:rsid w:val="00D61711"/>
    <w:rsid w:val="00D6271F"/>
    <w:rsid w:val="00D64BAC"/>
    <w:rsid w:val="00D656D8"/>
    <w:rsid w:val="00D6733F"/>
    <w:rsid w:val="00D676E5"/>
    <w:rsid w:val="00D7023B"/>
    <w:rsid w:val="00D72C5E"/>
    <w:rsid w:val="00D72CB4"/>
    <w:rsid w:val="00D7382C"/>
    <w:rsid w:val="00D7394F"/>
    <w:rsid w:val="00D74196"/>
    <w:rsid w:val="00D754C5"/>
    <w:rsid w:val="00D75BC9"/>
    <w:rsid w:val="00D76EE5"/>
    <w:rsid w:val="00D81372"/>
    <w:rsid w:val="00D83AB4"/>
    <w:rsid w:val="00D840F5"/>
    <w:rsid w:val="00D85DCA"/>
    <w:rsid w:val="00D87C44"/>
    <w:rsid w:val="00D90595"/>
    <w:rsid w:val="00D92488"/>
    <w:rsid w:val="00D94C1D"/>
    <w:rsid w:val="00D94EE9"/>
    <w:rsid w:val="00D962E6"/>
    <w:rsid w:val="00D96C02"/>
    <w:rsid w:val="00DA02EA"/>
    <w:rsid w:val="00DA0EFE"/>
    <w:rsid w:val="00DA1059"/>
    <w:rsid w:val="00DA1F8F"/>
    <w:rsid w:val="00DA2192"/>
    <w:rsid w:val="00DA3C64"/>
    <w:rsid w:val="00DA3D7F"/>
    <w:rsid w:val="00DA7BB8"/>
    <w:rsid w:val="00DA7C91"/>
    <w:rsid w:val="00DB0F76"/>
    <w:rsid w:val="00DB174E"/>
    <w:rsid w:val="00DB21F3"/>
    <w:rsid w:val="00DB3233"/>
    <w:rsid w:val="00DB6081"/>
    <w:rsid w:val="00DB6265"/>
    <w:rsid w:val="00DB681F"/>
    <w:rsid w:val="00DB6928"/>
    <w:rsid w:val="00DB6942"/>
    <w:rsid w:val="00DB72B0"/>
    <w:rsid w:val="00DB75B1"/>
    <w:rsid w:val="00DC00C1"/>
    <w:rsid w:val="00DC04A3"/>
    <w:rsid w:val="00DC5EC5"/>
    <w:rsid w:val="00DD06CF"/>
    <w:rsid w:val="00DD3C37"/>
    <w:rsid w:val="00DD3CF9"/>
    <w:rsid w:val="00DE09AC"/>
    <w:rsid w:val="00DE1A93"/>
    <w:rsid w:val="00DE1DEA"/>
    <w:rsid w:val="00DE24A8"/>
    <w:rsid w:val="00DF02C6"/>
    <w:rsid w:val="00DF1817"/>
    <w:rsid w:val="00DF2EFA"/>
    <w:rsid w:val="00DF6058"/>
    <w:rsid w:val="00DF677F"/>
    <w:rsid w:val="00E033FF"/>
    <w:rsid w:val="00E0377F"/>
    <w:rsid w:val="00E04EB5"/>
    <w:rsid w:val="00E04F40"/>
    <w:rsid w:val="00E04FE0"/>
    <w:rsid w:val="00E10519"/>
    <w:rsid w:val="00E106B2"/>
    <w:rsid w:val="00E11220"/>
    <w:rsid w:val="00E11737"/>
    <w:rsid w:val="00E13C60"/>
    <w:rsid w:val="00E22385"/>
    <w:rsid w:val="00E24E70"/>
    <w:rsid w:val="00E258D4"/>
    <w:rsid w:val="00E26342"/>
    <w:rsid w:val="00E30874"/>
    <w:rsid w:val="00E31160"/>
    <w:rsid w:val="00E31449"/>
    <w:rsid w:val="00E31DEF"/>
    <w:rsid w:val="00E32438"/>
    <w:rsid w:val="00E33F66"/>
    <w:rsid w:val="00E40293"/>
    <w:rsid w:val="00E4249A"/>
    <w:rsid w:val="00E42F58"/>
    <w:rsid w:val="00E45B89"/>
    <w:rsid w:val="00E463C7"/>
    <w:rsid w:val="00E46C26"/>
    <w:rsid w:val="00E51820"/>
    <w:rsid w:val="00E55119"/>
    <w:rsid w:val="00E577BF"/>
    <w:rsid w:val="00E604B3"/>
    <w:rsid w:val="00E60C33"/>
    <w:rsid w:val="00E614C4"/>
    <w:rsid w:val="00E63065"/>
    <w:rsid w:val="00E63994"/>
    <w:rsid w:val="00E65E7A"/>
    <w:rsid w:val="00E713E1"/>
    <w:rsid w:val="00E742A0"/>
    <w:rsid w:val="00E761A6"/>
    <w:rsid w:val="00E8045B"/>
    <w:rsid w:val="00E80C50"/>
    <w:rsid w:val="00E81DFC"/>
    <w:rsid w:val="00E835E5"/>
    <w:rsid w:val="00E8562D"/>
    <w:rsid w:val="00E8570C"/>
    <w:rsid w:val="00E8591A"/>
    <w:rsid w:val="00E869A9"/>
    <w:rsid w:val="00E87449"/>
    <w:rsid w:val="00E94CB4"/>
    <w:rsid w:val="00E97895"/>
    <w:rsid w:val="00EA2CB0"/>
    <w:rsid w:val="00EA48A5"/>
    <w:rsid w:val="00EA529B"/>
    <w:rsid w:val="00EB20CF"/>
    <w:rsid w:val="00EB2A07"/>
    <w:rsid w:val="00EB2DEA"/>
    <w:rsid w:val="00EB4349"/>
    <w:rsid w:val="00EB4719"/>
    <w:rsid w:val="00EB684B"/>
    <w:rsid w:val="00EC2127"/>
    <w:rsid w:val="00EC25B3"/>
    <w:rsid w:val="00EC680D"/>
    <w:rsid w:val="00EC6916"/>
    <w:rsid w:val="00EC6F93"/>
    <w:rsid w:val="00ED06B5"/>
    <w:rsid w:val="00ED1512"/>
    <w:rsid w:val="00ED15A4"/>
    <w:rsid w:val="00ED22F8"/>
    <w:rsid w:val="00ED2999"/>
    <w:rsid w:val="00ED4D0D"/>
    <w:rsid w:val="00ED59E3"/>
    <w:rsid w:val="00EE4418"/>
    <w:rsid w:val="00EE4A30"/>
    <w:rsid w:val="00EF10F7"/>
    <w:rsid w:val="00EF2E25"/>
    <w:rsid w:val="00EF6583"/>
    <w:rsid w:val="00EF73B0"/>
    <w:rsid w:val="00EF7451"/>
    <w:rsid w:val="00EF7A6A"/>
    <w:rsid w:val="00F021A8"/>
    <w:rsid w:val="00F032B3"/>
    <w:rsid w:val="00F036D1"/>
    <w:rsid w:val="00F03769"/>
    <w:rsid w:val="00F07326"/>
    <w:rsid w:val="00F13057"/>
    <w:rsid w:val="00F1575E"/>
    <w:rsid w:val="00F1635C"/>
    <w:rsid w:val="00F16DC3"/>
    <w:rsid w:val="00F20A7D"/>
    <w:rsid w:val="00F21E2E"/>
    <w:rsid w:val="00F22191"/>
    <w:rsid w:val="00F26156"/>
    <w:rsid w:val="00F305C1"/>
    <w:rsid w:val="00F32904"/>
    <w:rsid w:val="00F3302C"/>
    <w:rsid w:val="00F413F7"/>
    <w:rsid w:val="00F4212D"/>
    <w:rsid w:val="00F453E0"/>
    <w:rsid w:val="00F50AA4"/>
    <w:rsid w:val="00F513BC"/>
    <w:rsid w:val="00F516C6"/>
    <w:rsid w:val="00F54794"/>
    <w:rsid w:val="00F62630"/>
    <w:rsid w:val="00F63236"/>
    <w:rsid w:val="00F65DBD"/>
    <w:rsid w:val="00F66C77"/>
    <w:rsid w:val="00F678C5"/>
    <w:rsid w:val="00F703FE"/>
    <w:rsid w:val="00F70955"/>
    <w:rsid w:val="00F70A7B"/>
    <w:rsid w:val="00F72116"/>
    <w:rsid w:val="00F72B19"/>
    <w:rsid w:val="00F733B2"/>
    <w:rsid w:val="00F73D23"/>
    <w:rsid w:val="00F759BD"/>
    <w:rsid w:val="00F778C9"/>
    <w:rsid w:val="00F82E1B"/>
    <w:rsid w:val="00F839FD"/>
    <w:rsid w:val="00F84A5A"/>
    <w:rsid w:val="00F85805"/>
    <w:rsid w:val="00F91C2D"/>
    <w:rsid w:val="00F93038"/>
    <w:rsid w:val="00F9381E"/>
    <w:rsid w:val="00F962F5"/>
    <w:rsid w:val="00FA24C6"/>
    <w:rsid w:val="00FA41F1"/>
    <w:rsid w:val="00FA47AA"/>
    <w:rsid w:val="00FA6E9C"/>
    <w:rsid w:val="00FA7B35"/>
    <w:rsid w:val="00FA7B57"/>
    <w:rsid w:val="00FB24AD"/>
    <w:rsid w:val="00FB4CFA"/>
    <w:rsid w:val="00FB4FA0"/>
    <w:rsid w:val="00FB5387"/>
    <w:rsid w:val="00FB5414"/>
    <w:rsid w:val="00FB77DF"/>
    <w:rsid w:val="00FB7B13"/>
    <w:rsid w:val="00FC137D"/>
    <w:rsid w:val="00FC438B"/>
    <w:rsid w:val="00FC6B14"/>
    <w:rsid w:val="00FC767C"/>
    <w:rsid w:val="00FD03E1"/>
    <w:rsid w:val="00FD0505"/>
    <w:rsid w:val="00FD469A"/>
    <w:rsid w:val="00FD5648"/>
    <w:rsid w:val="00FD5C1E"/>
    <w:rsid w:val="00FD724E"/>
    <w:rsid w:val="00FE0555"/>
    <w:rsid w:val="00FE1792"/>
    <w:rsid w:val="00FE1A03"/>
    <w:rsid w:val="00FE1CAC"/>
    <w:rsid w:val="00FE3744"/>
    <w:rsid w:val="00FE4DB9"/>
    <w:rsid w:val="00FE591D"/>
    <w:rsid w:val="00FE6A7B"/>
    <w:rsid w:val="00FE7912"/>
    <w:rsid w:val="00FF14D8"/>
    <w:rsid w:val="00FF22AA"/>
    <w:rsid w:val="00FF5B14"/>
    <w:rsid w:val="00FF6797"/>
    <w:rsid w:val="05E25CD6"/>
    <w:rsid w:val="05EC015A"/>
    <w:rsid w:val="0B993D95"/>
    <w:rsid w:val="0E2801DB"/>
    <w:rsid w:val="17DE06B3"/>
    <w:rsid w:val="189F7A56"/>
    <w:rsid w:val="1A352ADE"/>
    <w:rsid w:val="21260D15"/>
    <w:rsid w:val="25FE3614"/>
    <w:rsid w:val="27E9162C"/>
    <w:rsid w:val="2AAA54A2"/>
    <w:rsid w:val="2C963DDA"/>
    <w:rsid w:val="30DD0F61"/>
    <w:rsid w:val="32FD564D"/>
    <w:rsid w:val="33093B4E"/>
    <w:rsid w:val="33791178"/>
    <w:rsid w:val="3A974163"/>
    <w:rsid w:val="3DED60CF"/>
    <w:rsid w:val="3FD69E84"/>
    <w:rsid w:val="42AF0933"/>
    <w:rsid w:val="468BE47C"/>
    <w:rsid w:val="47727F60"/>
    <w:rsid w:val="47D69A8F"/>
    <w:rsid w:val="48223734"/>
    <w:rsid w:val="49B067A3"/>
    <w:rsid w:val="4AC37F0A"/>
    <w:rsid w:val="4B625F09"/>
    <w:rsid w:val="4BD72A88"/>
    <w:rsid w:val="4C373301"/>
    <w:rsid w:val="539C2601"/>
    <w:rsid w:val="5D761C0D"/>
    <w:rsid w:val="5E070FAB"/>
    <w:rsid w:val="64884D94"/>
    <w:rsid w:val="70F80206"/>
    <w:rsid w:val="717F0D55"/>
    <w:rsid w:val="72420D4A"/>
    <w:rsid w:val="72836915"/>
    <w:rsid w:val="737FA30E"/>
    <w:rsid w:val="7431692A"/>
    <w:rsid w:val="75B3511C"/>
    <w:rsid w:val="7670A993"/>
    <w:rsid w:val="76FFCE47"/>
    <w:rsid w:val="78672637"/>
    <w:rsid w:val="79A25BD4"/>
    <w:rsid w:val="7B790CF0"/>
    <w:rsid w:val="7C2245AA"/>
    <w:rsid w:val="7DE7C819"/>
    <w:rsid w:val="7DFF0124"/>
    <w:rsid w:val="7F5ED853"/>
    <w:rsid w:val="7FBF60D3"/>
    <w:rsid w:val="99FB3A5C"/>
    <w:rsid w:val="B4A59CB3"/>
    <w:rsid w:val="B7473897"/>
    <w:rsid w:val="BAFF6D7D"/>
    <w:rsid w:val="BFFF6D58"/>
    <w:rsid w:val="CFDFB425"/>
    <w:rsid w:val="DDCFE68D"/>
    <w:rsid w:val="DFFBB093"/>
    <w:rsid w:val="EEFE9641"/>
    <w:rsid w:val="F4B9828A"/>
    <w:rsid w:val="F7BA478A"/>
    <w:rsid w:val="FDF32DFF"/>
    <w:rsid w:val="FE8D4D7F"/>
    <w:rsid w:val="FF52193F"/>
    <w:rsid w:val="FFBDA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_GB2312" w:eastAsia="仿宋_GB2312" w:cs="Times New Roman" w:hAnsiTheme="minorHAnsi"/>
      <w:kern w:val="2"/>
      <w:sz w:val="32"/>
      <w:szCs w:val="3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jc w:val="left"/>
    </w:pPr>
    <w:rPr>
      <w:rFonts w:ascii="黑体" w:eastAsia="黑体"/>
    </w:rPr>
  </w:style>
  <w:style w:type="paragraph" w:styleId="3">
    <w:name w:val="Body Text"/>
    <w:basedOn w:val="1"/>
    <w:qFormat/>
    <w:uiPriority w:val="0"/>
    <w:pPr>
      <w:spacing w:after="120"/>
    </w:pPr>
    <w:rPr>
      <w:rFonts w:ascii="Times New Roman" w:hAnsi="Times New Roman"/>
    </w:r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hAnsiTheme="minorHAnsi"/>
      <w:sz w:val="18"/>
      <w:szCs w:val="18"/>
    </w:rPr>
  </w:style>
  <w:style w:type="character" w:customStyle="1" w:styleId="12">
    <w:name w:val="页脚 字符"/>
    <w:basedOn w:val="10"/>
    <w:link w:val="5"/>
    <w:qFormat/>
    <w:uiPriority w:val="99"/>
    <w:rPr>
      <w:rFonts w:hAnsiTheme="minorHAnsi"/>
      <w:sz w:val="18"/>
      <w:szCs w:val="18"/>
    </w:rPr>
  </w:style>
  <w:style w:type="character" w:customStyle="1" w:styleId="13">
    <w:name w:val="批注框文本 字符"/>
    <w:basedOn w:val="10"/>
    <w:link w:val="4"/>
    <w:semiHidden/>
    <w:qFormat/>
    <w:uiPriority w:val="99"/>
    <w:rPr>
      <w:rFonts w:hAnsiTheme="minorHAnsi"/>
      <w:sz w:val="18"/>
      <w:szCs w:val="18"/>
    </w:rPr>
  </w:style>
  <w:style w:type="character" w:customStyle="1" w:styleId="14">
    <w:name w:val="font11"/>
    <w:basedOn w:val="10"/>
    <w:qFormat/>
    <w:uiPriority w:val="0"/>
    <w:rPr>
      <w:rFonts w:hint="eastAsia" w:ascii="仿宋_GB2312" w:eastAsia="仿宋_GB2312" w:cs="仿宋_GB2312"/>
      <w:color w:val="000000"/>
      <w:sz w:val="22"/>
      <w:szCs w:val="22"/>
      <w:u w:val="none"/>
    </w:rPr>
  </w:style>
  <w:style w:type="character" w:customStyle="1" w:styleId="15">
    <w:name w:val="font01"/>
    <w:basedOn w:val="10"/>
    <w:qFormat/>
    <w:uiPriority w:val="0"/>
    <w:rPr>
      <w:rFonts w:hint="eastAsia" w:ascii="仿宋_GB2312" w:eastAsia="仿宋_GB2312" w:cs="仿宋_GB2312"/>
      <w:color w:val="000000"/>
      <w:sz w:val="22"/>
      <w:szCs w:val="22"/>
      <w:u w:val="doub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19920</Words>
  <Characters>20365</Characters>
  <Lines>145</Lines>
  <Paragraphs>41</Paragraphs>
  <TotalTime>85</TotalTime>
  <ScaleCrop>false</ScaleCrop>
  <LinksUpToDate>false</LinksUpToDate>
  <CharactersWithSpaces>20365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2025-02-13T14:31:00Z</dcterms:created>
  <dc:creator>lenovo</dc:creator>
  <cp:lastModifiedBy>孙彤</cp:lastModifiedBy>
  <cp:lastPrinted>2025-03-20T00:29:00Z</cp:lastPrinted>
  <dcterms:modified xsi:type="dcterms:W3CDTF">2025-03-20T06:33:05Z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9CB0A79B6B7142A3B8C3285DA23DEB03</vt:lpwstr>
  </property>
  <property fmtid="{D5CDD505-2E9C-101B-9397-08002B2CF9AE}" pid="4" name="KSOTemplateDocerSaveRecord">
    <vt:lpwstr>eyJoZGlkIjoiYzQ5NWNhNmNlODk5N2VlNzQ2NjIzYjE3ZGJkNTk3MzgiLCJ1c2VySWQiOiI0NTA1MDQ4MzYifQ==</vt:lpwstr>
  </property>
</Properties>
</file>