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FD44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color w:val="000000" w:themeColor="text1"/>
          <w:sz w:val="44"/>
          <w:szCs w:val="44"/>
          <w:highlight w:val="none"/>
          <w14:textFill>
            <w14:solidFill>
              <w14:schemeClr w14:val="tx1"/>
            </w14:solidFill>
          </w14:textFill>
        </w:rPr>
      </w:pPr>
      <w:bookmarkStart w:id="0" w:name="_Toc21601"/>
      <w:bookmarkStart w:id="1" w:name="_Toc25782"/>
      <w:r>
        <w:rPr>
          <w:rFonts w:hint="eastAsia" w:ascii="方正小标宋简体" w:eastAsia="方正小标宋简体"/>
          <w:color w:val="000000" w:themeColor="text1"/>
          <w:sz w:val="44"/>
          <w:szCs w:val="44"/>
          <w:highlight w:val="none"/>
          <w:lang w:val="en-US" w:eastAsia="zh-CN"/>
          <w14:textFill>
            <w14:solidFill>
              <w14:schemeClr w14:val="tx1"/>
            </w14:solidFill>
          </w14:textFill>
        </w:rPr>
        <w:t>门头沟区</w:t>
      </w:r>
      <w:r>
        <w:rPr>
          <w:rFonts w:hint="eastAsia" w:ascii="方正小标宋简体" w:eastAsia="方正小标宋简体"/>
          <w:color w:val="000000" w:themeColor="text1"/>
          <w:sz w:val="44"/>
          <w:szCs w:val="44"/>
          <w:highlight w:val="none"/>
          <w14:textFill>
            <w14:solidFill>
              <w14:schemeClr w14:val="tx1"/>
            </w14:solidFill>
          </w14:textFill>
        </w:rPr>
        <w:t>深入实施生态立区战略</w:t>
      </w:r>
      <w:bookmarkEnd w:id="0"/>
      <w:bookmarkEnd w:id="1"/>
    </w:p>
    <w:p w14:paraId="18CDEA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color w:val="000000" w:themeColor="text1"/>
          <w:sz w:val="44"/>
          <w:szCs w:val="44"/>
          <w:highlight w:val="none"/>
          <w14:textFill>
            <w14:solidFill>
              <w14:schemeClr w14:val="tx1"/>
            </w14:solidFill>
          </w14:textFill>
        </w:rPr>
      </w:pPr>
      <w:bookmarkStart w:id="2" w:name="_Toc30099"/>
      <w:bookmarkStart w:id="3" w:name="_Toc8598"/>
      <w:r>
        <w:rPr>
          <w:rFonts w:hint="eastAsia" w:ascii="方正小标宋简体" w:eastAsia="方正小标宋简体"/>
          <w:color w:val="000000" w:themeColor="text1"/>
          <w:sz w:val="44"/>
          <w:szCs w:val="44"/>
          <w:highlight w:val="none"/>
          <w:lang w:val="en-US" w:eastAsia="zh-CN"/>
          <w14:textFill>
            <w14:solidFill>
              <w14:schemeClr w14:val="tx1"/>
            </w14:solidFill>
          </w14:textFill>
        </w:rPr>
        <w:t>加快推进美丽北京先行区建设的</w:t>
      </w:r>
      <w:r>
        <w:rPr>
          <w:rFonts w:hint="eastAsia" w:ascii="方正小标宋简体" w:eastAsia="方正小标宋简体"/>
          <w:color w:val="000000" w:themeColor="text1"/>
          <w:sz w:val="44"/>
          <w:szCs w:val="44"/>
          <w:highlight w:val="none"/>
          <w14:textFill>
            <w14:solidFill>
              <w14:schemeClr w14:val="tx1"/>
            </w14:solidFill>
          </w14:textFill>
        </w:rPr>
        <w:t>行动方案</w:t>
      </w:r>
      <w:bookmarkEnd w:id="2"/>
      <w:bookmarkEnd w:id="3"/>
    </w:p>
    <w:p w14:paraId="5C5DB5C9">
      <w:pPr>
        <w:ind w:firstLine="640"/>
        <w:jc w:val="both"/>
        <w:rPr>
          <w:rFonts w:hint="eastAsia"/>
          <w:color w:val="000000" w:themeColor="text1"/>
          <w:highlight w:val="none"/>
          <w14:textFill>
            <w14:solidFill>
              <w14:schemeClr w14:val="tx1"/>
            </w14:solidFill>
          </w14:textFill>
        </w:rPr>
      </w:pPr>
    </w:p>
    <w:p w14:paraId="5669DAD6">
      <w:pPr>
        <w:pStyle w:val="3"/>
        <w:ind w:firstLine="640" w:firstLineChars="200"/>
        <w:jc w:val="both"/>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为深入贯彻落实</w:t>
      </w:r>
      <w:r>
        <w:rPr>
          <w:rFonts w:ascii="仿宋_GB2312" w:hAnsi="Times New Roman" w:eastAsia="仿宋_GB2312" w:cs="仿宋_GB2312"/>
          <w:i w:val="0"/>
          <w:iCs w:val="0"/>
          <w:caps w:val="0"/>
          <w:color w:val="404040"/>
          <w:spacing w:val="0"/>
          <w:kern w:val="0"/>
          <w:sz w:val="32"/>
          <w:szCs w:val="32"/>
          <w:lang w:val="en-US" w:eastAsia="zh-CN" w:bidi="ar"/>
        </w:rPr>
        <w:t>《中共中央</w:t>
      </w:r>
      <w:r>
        <w:rPr>
          <w:rFonts w:hint="eastAsia" w:ascii="仿宋_GB2312" w:hAnsi="微软雅黑" w:eastAsia="仿宋_GB2312" w:cs="仿宋_GB2312"/>
          <w:i w:val="0"/>
          <w:iCs w:val="0"/>
          <w:caps w:val="0"/>
          <w:color w:val="404040"/>
          <w:spacing w:val="0"/>
          <w:kern w:val="0"/>
          <w:sz w:val="32"/>
          <w:szCs w:val="32"/>
          <w:lang w:val="en-US" w:eastAsia="zh-CN" w:bidi="ar"/>
        </w:rPr>
        <w:t> </w:t>
      </w:r>
      <w:r>
        <w:rPr>
          <w:rFonts w:hint="eastAsia" w:ascii="仿宋_GB2312" w:hAnsi="Times New Roman" w:eastAsia="仿宋_GB2312" w:cs="仿宋_GB2312"/>
          <w:i w:val="0"/>
          <w:iCs w:val="0"/>
          <w:caps w:val="0"/>
          <w:color w:val="404040"/>
          <w:spacing w:val="0"/>
          <w:kern w:val="0"/>
          <w:sz w:val="32"/>
          <w:szCs w:val="32"/>
          <w:lang w:val="en-US" w:eastAsia="zh-CN" w:bidi="ar"/>
        </w:rPr>
        <w:t>国务院关于全面推进美丽中国建设的意见》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中共北京市委 北京市人民政府关于全面建设美丽北京加快推进人与自然和谐共生的现代化的实施意见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全面推进美丽门头沟建设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14:textFill>
            <w14:solidFill>
              <w14:schemeClr w14:val="tx1"/>
            </w14:solidFill>
          </w14:textFill>
        </w:rPr>
        <w:t>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39F64FE1">
      <w:pPr>
        <w:pStyle w:val="4"/>
        <w:rPr>
          <w:rFonts w:hint="eastAsia"/>
          <w:color w:val="000000" w:themeColor="text1"/>
          <w:highlight w:val="none"/>
          <w14:textFill>
            <w14:solidFill>
              <w14:schemeClr w14:val="tx1"/>
            </w14:solidFill>
          </w14:textFill>
        </w:rPr>
      </w:pPr>
      <w:bookmarkStart w:id="4" w:name="_Toc180942031"/>
      <w:bookmarkStart w:id="5" w:name="_Toc26754"/>
      <w:bookmarkStart w:id="6" w:name="_Toc31664"/>
      <w:bookmarkStart w:id="7" w:name="_Toc27181"/>
      <w:r>
        <w:rPr>
          <w:rFonts w:hint="eastAsia"/>
          <w:color w:val="000000" w:themeColor="text1"/>
          <w:highlight w:val="none"/>
          <w14:textFill>
            <w14:solidFill>
              <w14:schemeClr w14:val="tx1"/>
            </w14:solidFill>
          </w14:textFill>
        </w:rPr>
        <w:t>一、总体要求</w:t>
      </w:r>
      <w:bookmarkEnd w:id="4"/>
      <w:bookmarkEnd w:id="5"/>
      <w:bookmarkEnd w:id="6"/>
      <w:bookmarkEnd w:id="7"/>
    </w:p>
    <w:p w14:paraId="7BE6D97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以习近平新时代中国特色社会主义思想，特别是习近平生态文明思想为指导，</w:t>
      </w:r>
      <w:r>
        <w:rPr>
          <w:rFonts w:hint="eastAsia"/>
          <w:color w:val="000000" w:themeColor="text1"/>
          <w:highlight w:val="none"/>
          <w:lang w:val="en-US" w:eastAsia="zh-CN"/>
          <w14:textFill>
            <w14:solidFill>
              <w14:schemeClr w14:val="tx1"/>
            </w14:solidFill>
          </w14:textFill>
        </w:rPr>
        <w:t>以习近平总书记亲临我区视察为激励，</w:t>
      </w:r>
      <w:r>
        <w:rPr>
          <w:rFonts w:hint="eastAsia"/>
          <w:color w:val="000000" w:themeColor="text1"/>
          <w:highlight w:val="none"/>
          <w14:textFill>
            <w14:solidFill>
              <w14:schemeClr w14:val="tx1"/>
            </w14:solidFill>
          </w14:textFill>
        </w:rPr>
        <w:t>深入贯彻</w:t>
      </w:r>
      <w:r>
        <w:rPr>
          <w:rFonts w:hint="eastAsia"/>
          <w:color w:val="000000" w:themeColor="text1"/>
          <w:highlight w:val="none"/>
          <w:lang w:val="en-US" w:eastAsia="zh-CN"/>
          <w14:textFill>
            <w14:solidFill>
              <w14:schemeClr w14:val="tx1"/>
            </w14:solidFill>
          </w14:textFill>
        </w:rPr>
        <w:t>党的二十大和二十届二中、三中全会精神，紧扣北京城市总规赋予的生态涵养区功能定位</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坚定将保障首都生态安全作为主要任务，坚持生态立区战略不动摇</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集聚资源要素优势推进美丽北京先行区建设，为加快实现人与自然和谐共生的现代化奠定坚实基础</w:t>
      </w:r>
      <w:r>
        <w:rPr>
          <w:rFonts w:hint="eastAsia"/>
          <w:color w:val="000000" w:themeColor="text1"/>
          <w:highlight w:val="none"/>
          <w14:textFill>
            <w14:solidFill>
              <w14:schemeClr w14:val="tx1"/>
            </w14:solidFill>
          </w14:textFill>
        </w:rPr>
        <w:t>。</w:t>
      </w:r>
    </w:p>
    <w:p w14:paraId="0DF59867">
      <w:pPr>
        <w:ind w:firstLine="643"/>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到2027年，</w:t>
      </w:r>
      <w:r>
        <w:rPr>
          <w:rFonts w:hint="eastAsia"/>
          <w:color w:val="000000" w:themeColor="text1"/>
          <w:highlight w:val="none"/>
          <w14:textFill>
            <w14:solidFill>
              <w14:schemeClr w14:val="tx1"/>
            </w14:solidFill>
          </w14:textFill>
        </w:rPr>
        <w:t>生态环境持续改善，国土空间开发保护格局不断优化，生态系统质量和稳定性稳步提升，碳排放强度进一步降低，绿色低碳发展取得显著成效，美丽门头沟建设迈出重要步伐。</w:t>
      </w:r>
      <w:r>
        <w:rPr>
          <w:rFonts w:hint="eastAsia"/>
          <w:b/>
          <w:bCs/>
          <w:color w:val="000000" w:themeColor="text1"/>
          <w:highlight w:val="none"/>
          <w14:textFill>
            <w14:solidFill>
              <w14:schemeClr w14:val="tx1"/>
            </w14:solidFill>
          </w14:textFill>
        </w:rPr>
        <w:t>到2035年，</w:t>
      </w:r>
      <w:r>
        <w:rPr>
          <w:rFonts w:hint="eastAsia"/>
          <w:color w:val="000000" w:themeColor="text1"/>
          <w:highlight w:val="none"/>
          <w14:textFill>
            <w14:solidFill>
              <w14:schemeClr w14:val="tx1"/>
            </w14:solidFill>
          </w14:textFill>
        </w:rPr>
        <w:t>生态环境根本改善，国土空间开发保护新格局全面形成，生态系统更加安全、更具韧性，碳排放显著降低、碳汇能力进一步增强，绿色低碳生产生活方式成为广泛自觉，美丽北京建设先行区</w:t>
      </w:r>
      <w:r>
        <w:rPr>
          <w:rFonts w:hint="eastAsia"/>
          <w:color w:val="000000" w:themeColor="text1"/>
          <w:highlight w:val="none"/>
          <w:lang w:val="en-US" w:eastAsia="zh-CN"/>
          <w14:textFill>
            <w14:solidFill>
              <w14:schemeClr w14:val="tx1"/>
            </w14:solidFill>
          </w14:textFill>
        </w:rPr>
        <w:t>基本</w:t>
      </w:r>
      <w:r>
        <w:rPr>
          <w:rFonts w:hint="eastAsia"/>
          <w:color w:val="000000" w:themeColor="text1"/>
          <w:highlight w:val="none"/>
          <w14:textFill>
            <w14:solidFill>
              <w14:schemeClr w14:val="tx1"/>
            </w14:solidFill>
          </w14:textFill>
        </w:rPr>
        <w:t>建成。</w:t>
      </w:r>
      <w:r>
        <w:rPr>
          <w:rFonts w:hint="eastAsia"/>
          <w:b/>
          <w:bCs/>
          <w:color w:val="000000" w:themeColor="text1"/>
          <w:highlight w:val="none"/>
          <w14:textFill>
            <w14:solidFill>
              <w14:schemeClr w14:val="tx1"/>
            </w14:solidFill>
          </w14:textFill>
        </w:rPr>
        <w:t>展望本世纪中叶，</w:t>
      </w:r>
      <w:r>
        <w:rPr>
          <w:rFonts w:hint="eastAsia"/>
          <w:color w:val="000000" w:themeColor="text1"/>
          <w:highlight w:val="none"/>
          <w14:textFill>
            <w14:solidFill>
              <w14:schemeClr w14:val="tx1"/>
            </w14:solidFill>
          </w14:textFill>
        </w:rPr>
        <w:t>推进人与自然和谐共生，建成国际一流的绿色发展城乡典范、全国可持续与创新发展的示范区，</w:t>
      </w:r>
      <w:r>
        <w:rPr>
          <w:rFonts w:hint="eastAsia"/>
          <w:color w:val="000000" w:themeColor="text1"/>
          <w:highlight w:val="none"/>
          <w:lang w:val="en-US" w:eastAsia="zh-CN"/>
          <w14:textFill>
            <w14:solidFill>
              <w14:schemeClr w14:val="tx1"/>
            </w14:solidFill>
          </w14:textFill>
        </w:rPr>
        <w:t>建成</w:t>
      </w:r>
      <w:r>
        <w:rPr>
          <w:rFonts w:hint="eastAsia"/>
          <w:color w:val="000000" w:themeColor="text1"/>
          <w:highlight w:val="none"/>
          <w14:textFill>
            <w14:solidFill>
              <w14:schemeClr w14:val="tx1"/>
            </w14:solidFill>
          </w14:textFill>
        </w:rPr>
        <w:t>富裕文明、绿色宜居、充满活力、安全韧性的幸福美丽现代化山城。</w:t>
      </w:r>
    </w:p>
    <w:p w14:paraId="42F28C7F">
      <w:pPr>
        <w:pStyle w:val="4"/>
        <w:rPr>
          <w:rFonts w:hint="eastAsia"/>
          <w:color w:val="000000" w:themeColor="text1"/>
          <w:highlight w:val="none"/>
          <w14:textFill>
            <w14:solidFill>
              <w14:schemeClr w14:val="tx1"/>
            </w14:solidFill>
          </w14:textFill>
        </w:rPr>
      </w:pPr>
      <w:bookmarkStart w:id="8" w:name="_Toc12548"/>
      <w:bookmarkStart w:id="9" w:name="_Toc180942035"/>
      <w:bookmarkStart w:id="10" w:name="_Toc1621"/>
      <w:bookmarkStart w:id="11" w:name="_Toc9766"/>
      <w:r>
        <w:rPr>
          <w:rFonts w:hint="eastAsia"/>
          <w:color w:val="000000" w:themeColor="text1"/>
          <w:highlight w:val="none"/>
          <w14:textFill>
            <w14:solidFill>
              <w14:schemeClr w14:val="tx1"/>
            </w14:solidFill>
          </w14:textFill>
        </w:rPr>
        <w:t>二、主要任务</w:t>
      </w:r>
      <w:bookmarkEnd w:id="8"/>
      <w:bookmarkEnd w:id="9"/>
      <w:bookmarkEnd w:id="10"/>
      <w:bookmarkEnd w:id="11"/>
    </w:p>
    <w:p w14:paraId="07C2ACAD">
      <w:pPr>
        <w:pStyle w:val="5"/>
        <w:rPr>
          <w:rFonts w:hint="eastAsia"/>
          <w:color w:val="000000" w:themeColor="text1"/>
          <w:highlight w:val="none"/>
          <w14:textFill>
            <w14:solidFill>
              <w14:schemeClr w14:val="tx1"/>
            </w14:solidFill>
          </w14:textFill>
        </w:rPr>
      </w:pPr>
      <w:bookmarkStart w:id="12" w:name="_Toc4570"/>
      <w:bookmarkStart w:id="13" w:name="_Toc180942036"/>
      <w:bookmarkStart w:id="14" w:name="_Toc21734"/>
      <w:bookmarkStart w:id="15" w:name="_Toc24554"/>
      <w:r>
        <w:rPr>
          <w:rFonts w:hint="eastAsia"/>
          <w:color w:val="000000" w:themeColor="text1"/>
          <w:highlight w:val="none"/>
          <w14:textFill>
            <w14:solidFill>
              <w14:schemeClr w14:val="tx1"/>
            </w14:solidFill>
          </w14:textFill>
        </w:rPr>
        <w:t>（一）激发绿色发展新动能</w:t>
      </w:r>
      <w:bookmarkEnd w:id="12"/>
      <w:bookmarkEnd w:id="13"/>
      <w:bookmarkEnd w:id="14"/>
      <w:bookmarkEnd w:id="15"/>
    </w:p>
    <w:p w14:paraId="02D02A2D">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16" w:name="_Toc3950"/>
      <w:bookmarkStart w:id="17" w:name="_Toc5383"/>
      <w:bookmarkStart w:id="18" w:name="_Toc180942037"/>
      <w:r>
        <w:rPr>
          <w:rFonts w:hint="eastAsia" w:ascii="仿宋_GB2312" w:hAnsi="仿宋_GB2312" w:eastAsia="仿宋_GB2312" w:cs="仿宋_GB2312"/>
          <w:color w:val="000000" w:themeColor="text1"/>
          <w:highlight w:val="none"/>
          <w14:textFill>
            <w14:solidFill>
              <w14:schemeClr w14:val="tx1"/>
            </w14:solidFill>
          </w14:textFill>
        </w:rPr>
        <w:t>1.优化国土空间开发保护格局</w:t>
      </w:r>
      <w:bookmarkEnd w:id="16"/>
      <w:bookmarkEnd w:id="17"/>
      <w:bookmarkEnd w:id="18"/>
    </w:p>
    <w:p w14:paraId="754860B4">
      <w:pPr>
        <w:widowControl w:val="0"/>
        <w:rPr>
          <w:rFonts w:hint="eastAsia"/>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以资源环境承载力为硬约束，</w:t>
      </w:r>
      <w:r>
        <w:rPr>
          <w:rFonts w:hint="eastAsia"/>
          <w:color w:val="000000" w:themeColor="text1"/>
          <w:highlight w:val="none"/>
          <w14:textFill>
            <w14:solidFill>
              <w14:schemeClr w14:val="tx1"/>
            </w14:solidFill>
          </w14:textFill>
        </w:rPr>
        <w:t>严格“三区三线”全域管控，强化生态环境分区管控。严守生态保护红线，确保性质不改变，功能不降低。守住永久基本农田红线。严格管控城镇开发边界，推进城乡建设用地减量提质</w:t>
      </w:r>
      <w:r>
        <w:rPr>
          <w:rFonts w:hint="eastAsia"/>
          <w:color w:val="000000" w:themeColor="text1"/>
          <w:highlight w:val="none"/>
          <w:lang w:val="en-US" w:eastAsia="zh-CN"/>
          <w14:textFill>
            <w14:solidFill>
              <w14:schemeClr w14:val="tx1"/>
            </w14:solidFill>
          </w14:textFill>
        </w:rPr>
        <w:t>发展</w:t>
      </w:r>
      <w:r>
        <w:rPr>
          <w:rFonts w:hint="eastAsia"/>
          <w:color w:val="000000" w:themeColor="text1"/>
          <w:highlight w:val="none"/>
          <w:lang w:bidi="ar"/>
          <w14:textFill>
            <w14:solidFill>
              <w14:schemeClr w14:val="tx1"/>
            </w14:solidFill>
          </w14:textFill>
        </w:rPr>
        <w:t xml:space="preserve">。 </w:t>
      </w:r>
    </w:p>
    <w:p w14:paraId="39A0E137">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19" w:name="_Toc7075"/>
      <w:bookmarkStart w:id="20" w:name="_Toc180942038"/>
      <w:bookmarkStart w:id="21" w:name="_Toc4811"/>
      <w:r>
        <w:rPr>
          <w:rFonts w:hint="eastAsia" w:ascii="仿宋_GB2312" w:hAnsi="仿宋_GB2312" w:eastAsia="仿宋_GB2312" w:cs="仿宋_GB2312"/>
          <w:color w:val="000000" w:themeColor="text1"/>
          <w:highlight w:val="none"/>
          <w14:textFill>
            <w14:solidFill>
              <w14:schemeClr w14:val="tx1"/>
            </w14:solidFill>
          </w14:textFill>
        </w:rPr>
        <w:t>2.积极稳妥推进碳达峰碳中和</w:t>
      </w:r>
      <w:bookmarkEnd w:id="19"/>
      <w:bookmarkEnd w:id="20"/>
      <w:bookmarkEnd w:id="21"/>
    </w:p>
    <w:p w14:paraId="35C8A137">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健全碳排放管理机制，推动能耗双控向碳排放总量和强度双控转变</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深入实施《门头沟区碳达峰实施方案》，</w:t>
      </w:r>
      <w:r>
        <w:rPr>
          <w:rFonts w:hint="eastAsia" w:ascii="仿宋_GB2312" w:hAnsi="仿宋_GB2312" w:eastAsia="仿宋_GB2312" w:cs="仿宋_GB2312"/>
          <w:color w:val="000000" w:themeColor="text1"/>
          <w:sz w:val="32"/>
          <w:szCs w:val="32"/>
          <w:highlight w:val="none"/>
          <w14:textFill>
            <w14:solidFill>
              <w14:schemeClr w14:val="tx1"/>
            </w14:solidFill>
          </w14:textFill>
        </w:rPr>
        <w:t>巩固提升生态系统碳汇能力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开展零碳园区、零碳小镇、零碳乡村等低碳先锋试点建设，积极开发应用低碳零碳新材料、新技术</w:t>
      </w:r>
      <w:r>
        <w:rPr>
          <w:rFonts w:hint="eastAsia" w:ascii="仿宋_GB2312" w:hAnsi="仿宋_GB2312" w:eastAsia="仿宋_GB2312" w:cs="仿宋_GB2312"/>
          <w:color w:val="000000" w:themeColor="text1"/>
          <w:sz w:val="32"/>
          <w:szCs w:val="32"/>
          <w:highlight w:val="none"/>
          <w14:textFill>
            <w14:solidFill>
              <w14:schemeClr w14:val="tx1"/>
            </w14:solidFill>
          </w14:textFill>
        </w:rPr>
        <w:t>，力争在率先实现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碳达峰</w:t>
      </w:r>
      <w:r>
        <w:rPr>
          <w:rFonts w:hint="eastAsia" w:ascii="仿宋_GB2312" w:hAnsi="仿宋_GB2312" w:eastAsia="仿宋_GB2312" w:cs="仿宋_GB2312"/>
          <w:color w:val="000000" w:themeColor="text1"/>
          <w:sz w:val="32"/>
          <w:szCs w:val="32"/>
          <w:highlight w:val="none"/>
          <w14:textFill>
            <w14:solidFill>
              <w14:schemeClr w14:val="tx1"/>
            </w14:solidFill>
          </w14:textFill>
        </w:rPr>
        <w:t>碳中和上走在全市前列。</w:t>
      </w:r>
    </w:p>
    <w:p w14:paraId="47577B97">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22" w:name="_Toc5075"/>
      <w:bookmarkStart w:id="23" w:name="_Toc180942039"/>
      <w:bookmarkStart w:id="24" w:name="_Toc16103"/>
      <w:r>
        <w:rPr>
          <w:rFonts w:hint="eastAsia" w:ascii="仿宋_GB2312" w:hAnsi="仿宋_GB2312" w:eastAsia="仿宋_GB2312" w:cs="仿宋_GB2312"/>
          <w:color w:val="000000" w:themeColor="text1"/>
          <w:highlight w:val="none"/>
          <w14:textFill>
            <w14:solidFill>
              <w14:schemeClr w14:val="tx1"/>
            </w14:solidFill>
          </w14:textFill>
        </w:rPr>
        <w:t>3.推进重点领域绿色低碳发展</w:t>
      </w:r>
      <w:bookmarkEnd w:id="22"/>
      <w:bookmarkEnd w:id="23"/>
      <w:bookmarkEnd w:id="24"/>
    </w:p>
    <w:p w14:paraId="49A5EAD9">
      <w:pPr>
        <w:rPr>
          <w:rFonts w:hint="eastAsia"/>
          <w:color w:val="000000" w:themeColor="text1"/>
          <w:highlight w:val="none"/>
          <w14:textFill>
            <w14:solidFill>
              <w14:schemeClr w14:val="tx1"/>
            </w14:solidFill>
          </w14:textFill>
        </w:rPr>
      </w:pPr>
      <w:bookmarkStart w:id="122" w:name="_GoBack"/>
      <w:bookmarkStart w:id="25" w:name="OLE_LINK1"/>
      <w:r>
        <w:rPr>
          <w:rFonts w:hint="eastAsia"/>
          <w:color w:val="000000" w:themeColor="text1"/>
          <w:highlight w:val="none"/>
          <w14:textFill>
            <w14:solidFill>
              <w14:schemeClr w14:val="tx1"/>
            </w14:solidFill>
          </w14:textFill>
        </w:rPr>
        <w:t>因地制宜开发利用可再生能源，</w:t>
      </w:r>
      <w:bookmarkEnd w:id="122"/>
      <w:bookmarkEnd w:id="25"/>
      <w:r>
        <w:rPr>
          <w:rFonts w:hint="eastAsia"/>
          <w:color w:val="000000" w:themeColor="text1"/>
          <w:highlight w:val="none"/>
          <w14:textFill>
            <w14:solidFill>
              <w14:schemeClr w14:val="tx1"/>
            </w14:solidFill>
          </w14:textFill>
        </w:rPr>
        <w:t>加快推动全域“无煤化”</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推动重点领域绿色电力等新能源</w:t>
      </w:r>
      <w:r>
        <w:rPr>
          <w:rFonts w:hint="eastAsia"/>
          <w:color w:val="000000" w:themeColor="text1"/>
          <w:highlight w:val="none"/>
          <w:lang w:val="en-US" w:eastAsia="zh-CN"/>
          <w14:textFill>
            <w14:solidFill>
              <w14:schemeClr w14:val="tx1"/>
            </w14:solidFill>
          </w14:textFill>
        </w:rPr>
        <w:t>规模化</w:t>
      </w:r>
      <w:r>
        <w:rPr>
          <w:rFonts w:hint="eastAsia"/>
          <w:color w:val="000000" w:themeColor="text1"/>
          <w:highlight w:val="none"/>
          <w14:textFill>
            <w14:solidFill>
              <w14:schemeClr w14:val="tx1"/>
            </w14:solidFill>
          </w14:textFill>
        </w:rPr>
        <w:t>应用。聚焦“三大</w:t>
      </w:r>
      <w:r>
        <w:rPr>
          <w:rFonts w:hint="eastAsia"/>
          <w:color w:val="000000" w:themeColor="text1"/>
          <w:highlight w:val="none"/>
          <w:lang w:val="en-US" w:eastAsia="zh-CN"/>
          <w14:textFill>
            <w14:solidFill>
              <w14:schemeClr w14:val="tx1"/>
            </w14:solidFill>
          </w14:textFill>
        </w:rPr>
        <w:t>产业</w:t>
      </w:r>
      <w:r>
        <w:rPr>
          <w:rFonts w:hint="eastAsia"/>
          <w:color w:val="000000" w:themeColor="text1"/>
          <w:highlight w:val="none"/>
          <w14:textFill>
            <w14:solidFill>
              <w14:schemeClr w14:val="tx1"/>
            </w14:solidFill>
          </w14:textFill>
        </w:rPr>
        <w:t>”</w:t>
      </w:r>
      <w:r>
        <w:rPr>
          <w:rStyle w:val="23"/>
          <w:rFonts w:hint="eastAsia"/>
          <w:color w:val="000000" w:themeColor="text1"/>
          <w:highlight w:val="none"/>
          <w14:textFill>
            <w14:solidFill>
              <w14:schemeClr w14:val="tx1"/>
            </w14:solidFill>
          </w14:textFill>
        </w:rPr>
        <w:footnoteReference w:id="0"/>
      </w:r>
      <w:r>
        <w:rPr>
          <w:rFonts w:hint="eastAsia"/>
          <w:color w:val="000000" w:themeColor="text1"/>
          <w:highlight w:val="none"/>
          <w14:textFill>
            <w14:solidFill>
              <w14:schemeClr w14:val="tx1"/>
            </w14:solidFill>
          </w14:textFill>
        </w:rPr>
        <w:t>，高水平建设绿色低碳产业园区。优化配套设施供给，大力推广新能源汽车。推动超低能耗建筑、近零碳等绿色建筑发展，重点推进既有建筑节能绿色改造。优先发展可再生能源供热，持续开展供热管网改造及智慧化提升。</w:t>
      </w:r>
    </w:p>
    <w:p w14:paraId="3B0C89BD">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26" w:name="_Toc5167"/>
      <w:bookmarkStart w:id="27" w:name="_Toc4585"/>
      <w:bookmarkStart w:id="28" w:name="_Toc180942040"/>
      <w:r>
        <w:rPr>
          <w:rFonts w:hint="eastAsia" w:ascii="仿宋_GB2312" w:hAnsi="仿宋_GB2312" w:eastAsia="仿宋_GB2312" w:cs="仿宋_GB2312"/>
          <w:color w:val="000000" w:themeColor="text1"/>
          <w:highlight w:val="none"/>
          <w14:textFill>
            <w14:solidFill>
              <w14:schemeClr w14:val="tx1"/>
            </w14:solidFill>
          </w14:textFill>
        </w:rPr>
        <w:t>4.提高资源节约集约利用</w:t>
      </w:r>
      <w:bookmarkEnd w:id="26"/>
      <w:bookmarkEnd w:id="27"/>
      <w:r>
        <w:rPr>
          <w:rFonts w:hint="eastAsia" w:ascii="仿宋_GB2312" w:hAnsi="仿宋_GB2312" w:eastAsia="仿宋_GB2312" w:cs="仿宋_GB2312"/>
          <w:color w:val="000000" w:themeColor="text1"/>
          <w:highlight w:val="none"/>
          <w14:textFill>
            <w14:solidFill>
              <w14:schemeClr w14:val="tx1"/>
            </w14:solidFill>
          </w14:textFill>
        </w:rPr>
        <w:t>水平</w:t>
      </w:r>
      <w:bookmarkEnd w:id="28"/>
    </w:p>
    <w:p w14:paraId="5036FEE8">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健全节约集约制度，全面实施节能、节水、节地、节材行动。加强数据中心、算力中心等新型基础设施绿色建设运行，提升污水处理等环境基础设施低碳化运行水平。强化用水总量和强度双控，加快推动再生水资源化高效利用。推动废弃物循环利用、协同资源化处置。</w:t>
      </w:r>
    </w:p>
    <w:p w14:paraId="631D287D">
      <w:pPr>
        <w:pStyle w:val="5"/>
        <w:rPr>
          <w:rFonts w:hint="eastAsia"/>
          <w:color w:val="000000" w:themeColor="text1"/>
          <w:highlight w:val="none"/>
          <w14:textFill>
            <w14:solidFill>
              <w14:schemeClr w14:val="tx1"/>
            </w14:solidFill>
          </w14:textFill>
        </w:rPr>
      </w:pPr>
      <w:bookmarkStart w:id="29" w:name="_Toc180942041"/>
      <w:bookmarkStart w:id="30" w:name="_Toc931"/>
      <w:bookmarkStart w:id="31" w:name="_Toc24754"/>
      <w:bookmarkStart w:id="32" w:name="_Toc21235"/>
      <w:r>
        <w:rPr>
          <w:rFonts w:hint="eastAsia"/>
          <w:color w:val="000000" w:themeColor="text1"/>
          <w:highlight w:val="none"/>
          <w14:textFill>
            <w14:solidFill>
              <w14:schemeClr w14:val="tx1"/>
            </w14:solidFill>
          </w14:textFill>
        </w:rPr>
        <w:t>（二）实现环境质量新突破</w:t>
      </w:r>
      <w:bookmarkEnd w:id="29"/>
      <w:bookmarkEnd w:id="30"/>
      <w:bookmarkEnd w:id="31"/>
      <w:bookmarkEnd w:id="32"/>
    </w:p>
    <w:p w14:paraId="698F2BB4">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33" w:name="_Toc19125"/>
      <w:bookmarkStart w:id="34" w:name="_Toc14467"/>
      <w:bookmarkStart w:id="35" w:name="_Toc180942042"/>
      <w:r>
        <w:rPr>
          <w:rFonts w:hint="eastAsia" w:ascii="仿宋_GB2312" w:hAnsi="仿宋_GB2312" w:eastAsia="仿宋_GB2312" w:cs="仿宋_GB2312"/>
          <w:color w:val="000000" w:themeColor="text1"/>
          <w:highlight w:val="none"/>
          <w14:textFill>
            <w14:solidFill>
              <w14:schemeClr w14:val="tx1"/>
            </w14:solidFill>
          </w14:textFill>
        </w:rPr>
        <w:t>5.深入打好蓝天保卫战</w:t>
      </w:r>
      <w:bookmarkEnd w:id="33"/>
      <w:bookmarkEnd w:id="34"/>
      <w:bookmarkEnd w:id="35"/>
    </w:p>
    <w:p w14:paraId="57F28742">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深化“0.1微克”</w:t>
      </w:r>
      <w:r>
        <w:rPr>
          <w:rFonts w:hint="eastAsia"/>
          <w:color w:val="000000" w:themeColor="text1"/>
          <w:highlight w:val="none"/>
          <w:lang w:val="en-US" w:eastAsia="zh-CN"/>
          <w14:textFill>
            <w14:solidFill>
              <w14:schemeClr w14:val="tx1"/>
            </w14:solidFill>
          </w14:textFill>
        </w:rPr>
        <w:t>攻坚</w:t>
      </w:r>
      <w:r>
        <w:rPr>
          <w:rFonts w:hint="eastAsia"/>
          <w:color w:val="000000" w:themeColor="text1"/>
          <w:highlight w:val="none"/>
          <w14:textFill>
            <w14:solidFill>
              <w14:schemeClr w14:val="tx1"/>
            </w14:solidFill>
          </w14:textFill>
        </w:rPr>
        <w:t>行动，以细颗粒物（PM</w:t>
      </w:r>
      <w:r>
        <w:rPr>
          <w:rFonts w:hint="eastAsia"/>
          <w:color w:val="000000" w:themeColor="text1"/>
          <w:highlight w:val="none"/>
          <w:vertAlign w:val="subscript"/>
          <w14:textFill>
            <w14:solidFill>
              <w14:schemeClr w14:val="tx1"/>
            </w14:solidFill>
          </w14:textFill>
        </w:rPr>
        <w:t>2.5</w:t>
      </w:r>
      <w:r>
        <w:rPr>
          <w:rFonts w:hint="eastAsia"/>
          <w:color w:val="000000" w:themeColor="text1"/>
          <w:highlight w:val="none"/>
          <w14:textFill>
            <w14:solidFill>
              <w14:schemeClr w14:val="tx1"/>
            </w14:solidFill>
          </w14:textFill>
        </w:rPr>
        <w:t>）控制为主线，推进多污染物协同减排。</w:t>
      </w:r>
      <w:r>
        <w:rPr>
          <w:rFonts w:hint="eastAsia"/>
          <w:color w:val="000000" w:themeColor="text1"/>
          <w:highlight w:val="none"/>
          <w:lang w:val="en-US" w:eastAsia="zh-CN"/>
          <w14:textFill>
            <w14:solidFill>
              <w14:schemeClr w14:val="tx1"/>
            </w14:solidFill>
          </w14:textFill>
        </w:rPr>
        <w:t>优化新能源推广政策和公共设施供给，</w:t>
      </w:r>
      <w:r>
        <w:rPr>
          <w:rFonts w:hint="eastAsia"/>
          <w:color w:val="000000" w:themeColor="text1"/>
          <w:highlight w:val="none"/>
          <w14:textFill>
            <w14:solidFill>
              <w14:schemeClr w14:val="tx1"/>
            </w14:solidFill>
          </w14:textFill>
        </w:rPr>
        <w:t>推进公交、出租、旅游等重点行业车辆清洁化。加强移动源排放监管，推动高排放非道路移动机械淘汰更新，具备条件的叉车等非道路移动机械基本实现电动化。加强源头替代、全流程管控，推进汽修等行业企业绿色升级，实施VOCs治理提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氮氧化物（NOx）减排专项行动。强化“</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尘共治”</w:t>
      </w:r>
      <w:r>
        <w:rPr>
          <w:rStyle w:val="23"/>
          <w:rFonts w:hint="eastAsia"/>
          <w:color w:val="000000" w:themeColor="text1"/>
          <w:highlight w:val="none"/>
          <w14:textFill>
            <w14:solidFill>
              <w14:schemeClr w14:val="tx1"/>
            </w14:solidFill>
          </w14:textFill>
        </w:rPr>
        <w:footnoteReference w:id="1"/>
      </w:r>
      <w:r>
        <w:rPr>
          <w:rFonts w:hint="eastAsia"/>
          <w:color w:val="000000" w:themeColor="text1"/>
          <w:highlight w:val="none"/>
          <w14:textFill>
            <w14:solidFill>
              <w14:schemeClr w14:val="tx1"/>
            </w14:solidFill>
          </w14:textFill>
        </w:rPr>
        <w:t>，因地制宜动态消除扬尘风险源</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提升城市精细化管理质效</w:t>
      </w:r>
      <w:r>
        <w:rPr>
          <w:rFonts w:hint="eastAsia"/>
          <w:color w:val="000000" w:themeColor="text1"/>
          <w:highlight w:val="none"/>
          <w14:textFill>
            <w14:solidFill>
              <w14:schemeClr w14:val="tx1"/>
            </w14:solidFill>
          </w14:textFill>
        </w:rPr>
        <w:t>。加强区域联防联控，共同应对重污染天气</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实现空气常新、蓝天常在。</w:t>
      </w:r>
    </w:p>
    <w:p w14:paraId="55368D88">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36" w:name="_Toc18733"/>
      <w:bookmarkStart w:id="37" w:name="_Toc180942043"/>
      <w:bookmarkStart w:id="38" w:name="_Toc16429"/>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深入打好碧水保卫战</w:t>
      </w:r>
      <w:bookmarkEnd w:id="36"/>
      <w:bookmarkEnd w:id="37"/>
      <w:bookmarkEnd w:id="38"/>
    </w:p>
    <w:p w14:paraId="304C9DA7">
      <w:pPr>
        <w:pStyle w:val="6"/>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加强斋堂水库、永定河山峡段等重要饮用水水源地保护，持续推进饮用</w:t>
      </w:r>
      <w:r>
        <w:rPr>
          <w:rFonts w:hint="eastAsia"/>
          <w:b w:val="0"/>
          <w:bCs w:val="0"/>
          <w:color w:val="000000" w:themeColor="text1"/>
          <w:highlight w:val="none"/>
          <w:lang w:eastAsia="zh-CN"/>
          <w14:textFill>
            <w14:solidFill>
              <w14:schemeClr w14:val="tx1"/>
            </w14:solidFill>
          </w14:textFill>
        </w:rPr>
        <w:t>水</w:t>
      </w:r>
      <w:r>
        <w:rPr>
          <w:rFonts w:hint="eastAsia"/>
          <w:b w:val="0"/>
          <w:bCs w:val="0"/>
          <w:color w:val="000000" w:themeColor="text1"/>
          <w:highlight w:val="none"/>
          <w14:textFill>
            <w14:solidFill>
              <w14:schemeClr w14:val="tx1"/>
            </w14:solidFill>
          </w14:textFill>
        </w:rPr>
        <w:t>水源地规范化建设。严格实施地下水污染风险源分级分类管控和超采综合治理。</w:t>
      </w:r>
      <w:r>
        <w:rPr>
          <w:rFonts w:hint="eastAsia"/>
          <w:b w:val="0"/>
          <w:bCs w:val="0"/>
          <w:color w:val="000000" w:themeColor="text1"/>
          <w:highlight w:val="none"/>
          <w:lang w:val="en-US" w:eastAsia="zh-CN"/>
          <w14:textFill>
            <w14:solidFill>
              <w14:schemeClr w14:val="tx1"/>
            </w14:solidFill>
          </w14:textFill>
        </w:rPr>
        <w:t>加快完善全覆盖基础</w:t>
      </w:r>
      <w:r>
        <w:rPr>
          <w:rFonts w:hint="eastAsia"/>
          <w:b w:val="0"/>
          <w:bCs w:val="0"/>
          <w:color w:val="000000" w:themeColor="text1"/>
          <w:highlight w:val="none"/>
          <w14:textFill>
            <w14:solidFill>
              <w14:schemeClr w14:val="tx1"/>
            </w14:solidFill>
          </w14:textFill>
        </w:rPr>
        <w:t>设施，</w:t>
      </w:r>
      <w:r>
        <w:rPr>
          <w:rFonts w:hint="eastAsia"/>
          <w:b w:val="0"/>
          <w:bCs w:val="0"/>
          <w:color w:val="000000" w:themeColor="text1"/>
          <w:highlight w:val="none"/>
          <w:lang w:val="en-US" w:eastAsia="zh-CN"/>
          <w14:textFill>
            <w14:solidFill>
              <w14:schemeClr w14:val="tx1"/>
            </w14:solidFill>
          </w14:textFill>
        </w:rPr>
        <w:t>提升污水处理标准和能力。</w:t>
      </w:r>
      <w:r>
        <w:rPr>
          <w:rFonts w:hint="eastAsia"/>
          <w:b w:val="0"/>
          <w:bCs w:val="0"/>
          <w:color w:val="000000" w:themeColor="text1"/>
          <w:highlight w:val="none"/>
          <w14:textFill>
            <w14:solidFill>
              <w14:schemeClr w14:val="tx1"/>
            </w14:solidFill>
          </w14:textFill>
        </w:rPr>
        <w:t>加强入河排口全过程管理。突出污染减排和生态扩容两手发力，保障永定河等重点河流生态流量，强化小微水体治理保护，推进河道综合整治与生态保护修复，增强河湖自净功能。推广自然护岸、植物护岸等生态岸线模式。加强汛期污染防治，实施“清管行动”。</w:t>
      </w:r>
      <w:bookmarkStart w:id="39" w:name="_Toc7763"/>
      <w:bookmarkStart w:id="40" w:name="_Toc24943"/>
      <w:bookmarkStart w:id="41" w:name="_Toc180942044"/>
    </w:p>
    <w:p w14:paraId="5CD19D98">
      <w:pPr>
        <w:pStyle w:val="6"/>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7.深入打好净土保卫战</w:t>
      </w:r>
      <w:bookmarkEnd w:id="39"/>
      <w:bookmarkEnd w:id="40"/>
      <w:bookmarkEnd w:id="41"/>
    </w:p>
    <w:p w14:paraId="602EA42F">
      <w:pPr>
        <w:snapToGrid/>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依法开展建设用地土壤污染风险管控和修复，精准防控工业源头污染。因地制宜管控耕地土壤污染，实施农用地分类管理，促进农用地土壤质量提升。加强未利用地保护利用，防控未利用地土壤污染</w:t>
      </w:r>
      <w:r>
        <w:rPr>
          <w:rFonts w:hint="eastAsia"/>
          <w:b/>
          <w:bCs/>
          <w:color w:val="000000" w:themeColor="text1"/>
          <w:highlight w:val="none"/>
          <w14:textFill>
            <w14:solidFill>
              <w14:schemeClr w14:val="tx1"/>
            </w14:solidFill>
          </w14:textFill>
        </w:rPr>
        <w:t>。</w:t>
      </w:r>
    </w:p>
    <w:p w14:paraId="494AB453">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42" w:name="_Toc180942045"/>
      <w:bookmarkStart w:id="43" w:name="_Toc5019"/>
      <w:bookmarkStart w:id="44" w:name="_Toc26595"/>
      <w:r>
        <w:rPr>
          <w:rFonts w:hint="eastAsia" w:ascii="仿宋_GB2312" w:hAnsi="仿宋_GB2312" w:eastAsia="仿宋_GB2312" w:cs="仿宋_GB2312"/>
          <w:color w:val="000000" w:themeColor="text1"/>
          <w:highlight w:val="none"/>
          <w14:textFill>
            <w14:solidFill>
              <w14:schemeClr w14:val="tx1"/>
            </w14:solidFill>
          </w14:textFill>
        </w:rPr>
        <w:t>8.强化固体废物和新污染物治理</w:t>
      </w:r>
      <w:bookmarkEnd w:id="42"/>
      <w:bookmarkEnd w:id="43"/>
      <w:bookmarkEnd w:id="44"/>
    </w:p>
    <w:p w14:paraId="0484D31E">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推动固体废物优先源头减量、充分资源化利用、全过程无害化的良性综合治理，完善危险废物收集转运处置设施。加强新污染物调查监测评估，推进新污染物协同治理和全生命周期环境风险管控。</w:t>
      </w:r>
      <w:bookmarkStart w:id="45" w:name="_Toc10864"/>
      <w:bookmarkStart w:id="46" w:name="_Toc1495"/>
      <w:bookmarkStart w:id="47" w:name="_Toc21725"/>
      <w:bookmarkStart w:id="48" w:name="_Toc180942046"/>
    </w:p>
    <w:p w14:paraId="70807779">
      <w:pPr>
        <w:rPr>
          <w:rFonts w:hint="eastAsia" w:ascii="楷体_GB2312" w:hAnsi="楷体_GB2312" w:eastAsia="楷体_GB2312" w:cs="楷体_GB2312"/>
          <w:color w:val="000000" w:themeColor="text1"/>
          <w:highlight w:val="none"/>
          <w14:textFill>
            <w14:solidFill>
              <w14:schemeClr w14:val="tx1"/>
            </w14:solidFill>
          </w14:textFill>
        </w:rPr>
      </w:pPr>
      <w:r>
        <w:rPr>
          <w:rFonts w:hint="eastAsia" w:ascii="楷体_GB2312" w:hAnsi="楷体_GB2312" w:eastAsia="楷体_GB2312" w:cs="楷体_GB2312"/>
          <w:color w:val="000000" w:themeColor="text1"/>
          <w:highlight w:val="none"/>
          <w14:textFill>
            <w14:solidFill>
              <w14:schemeClr w14:val="tx1"/>
            </w14:solidFill>
          </w14:textFill>
        </w:rPr>
        <w:t>（三）绘就山水人和新画卷</w:t>
      </w:r>
      <w:bookmarkEnd w:id="45"/>
      <w:bookmarkEnd w:id="46"/>
      <w:bookmarkEnd w:id="47"/>
      <w:bookmarkEnd w:id="48"/>
    </w:p>
    <w:p w14:paraId="4E9D9879">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49" w:name="_Toc180942047"/>
      <w:bookmarkStart w:id="50" w:name="_Toc20565"/>
      <w:bookmarkStart w:id="51" w:name="_Toc732"/>
      <w:r>
        <w:rPr>
          <w:rFonts w:hint="eastAsia" w:ascii="仿宋_GB2312" w:hAnsi="仿宋_GB2312" w:eastAsia="仿宋_GB2312" w:cs="仿宋_GB2312"/>
          <w:color w:val="000000" w:themeColor="text1"/>
          <w:highlight w:val="none"/>
          <w14:textFill>
            <w14:solidFill>
              <w14:schemeClr w14:val="tx1"/>
            </w14:solidFill>
          </w14:textFill>
        </w:rPr>
        <w:t>9.巩固生态系统稳定性</w:t>
      </w:r>
      <w:bookmarkEnd w:id="49"/>
      <w:bookmarkEnd w:id="50"/>
      <w:bookmarkEnd w:id="51"/>
    </w:p>
    <w:p w14:paraId="30563FC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快构建分类科学、布局合理、保护有力、管理高效的生态空间保护格局。深化“绿盾”自然保护地强化监督，严格管控生态保护红线等重要生态空间，坚决杜绝生态修复中的形式主义。基于自然的解决方案，健全生态空间增量机制，高水平实施“六水联通”“百泉复涌”</w:t>
      </w:r>
      <w:r>
        <w:rPr>
          <w:rFonts w:hint="eastAsia"/>
          <w:color w:val="000000" w:themeColor="text1"/>
          <w:highlight w:val="none"/>
          <w:lang w:val="en-US" w:eastAsia="zh-CN"/>
          <w14:textFill>
            <w14:solidFill>
              <w14:schemeClr w14:val="tx1"/>
            </w14:solidFill>
          </w14:textFill>
        </w:rPr>
        <w:t>和</w:t>
      </w:r>
      <w:r>
        <w:rPr>
          <w:rFonts w:hint="eastAsia" w:ascii="仿宋_GB2312" w:hAnsi="仿宋_GB2312" w:eastAsia="仿宋_GB2312" w:cs="仿宋_GB2312"/>
          <w:sz w:val="32"/>
          <w:szCs w:val="32"/>
        </w:rPr>
        <w:t>永定河湿地体系建设</w:t>
      </w:r>
      <w:r>
        <w:rPr>
          <w:rFonts w:hint="eastAsia"/>
          <w:color w:val="000000" w:themeColor="text1"/>
          <w:highlight w:val="none"/>
          <w14:textFill>
            <w14:solidFill>
              <w14:schemeClr w14:val="tx1"/>
            </w14:solidFill>
          </w14:textFill>
        </w:rPr>
        <w:t>等</w:t>
      </w:r>
      <w:r>
        <w:rPr>
          <w:rFonts w:hint="eastAsia"/>
          <w:color w:val="000000" w:themeColor="text1"/>
          <w:highlight w:val="none"/>
          <w:lang w:val="en-US" w:eastAsia="zh-CN"/>
          <w14:textFill>
            <w14:solidFill>
              <w14:schemeClr w14:val="tx1"/>
            </w14:solidFill>
          </w14:textFill>
        </w:rPr>
        <w:t>标志性</w:t>
      </w:r>
      <w:r>
        <w:rPr>
          <w:rFonts w:hint="eastAsia"/>
          <w:color w:val="000000" w:themeColor="text1"/>
          <w:highlight w:val="none"/>
          <w14:textFill>
            <w14:solidFill>
              <w14:schemeClr w14:val="tx1"/>
            </w14:solidFill>
          </w14:textFill>
        </w:rPr>
        <w:t>生态提升工程，加快实施废弃矿山生态</w:t>
      </w:r>
      <w:r>
        <w:rPr>
          <w:rFonts w:hint="eastAsia"/>
          <w:color w:val="000000" w:themeColor="text1"/>
          <w:highlight w:val="none"/>
          <w:lang w:val="en-US" w:eastAsia="zh-CN"/>
          <w14:textFill>
            <w14:solidFill>
              <w14:schemeClr w14:val="tx1"/>
            </w14:solidFill>
          </w14:textFill>
        </w:rPr>
        <w:t>治理</w:t>
      </w:r>
      <w:r>
        <w:rPr>
          <w:rFonts w:hint="eastAsia"/>
          <w:color w:val="000000" w:themeColor="text1"/>
          <w:highlight w:val="none"/>
          <w14:textFill>
            <w14:solidFill>
              <w14:schemeClr w14:val="tx1"/>
            </w14:solidFill>
          </w14:textFill>
        </w:rPr>
        <w:t>与</w:t>
      </w:r>
      <w:r>
        <w:rPr>
          <w:rFonts w:hint="eastAsia"/>
          <w:color w:val="000000" w:themeColor="text1"/>
          <w:highlight w:val="none"/>
          <w:lang w:val="en-US" w:eastAsia="zh-CN"/>
          <w14:textFill>
            <w14:solidFill>
              <w14:schemeClr w14:val="tx1"/>
            </w14:solidFill>
          </w14:textFill>
        </w:rPr>
        <w:t>综合利用</w:t>
      </w:r>
      <w:r>
        <w:rPr>
          <w:rFonts w:hint="eastAsia"/>
          <w:color w:val="000000" w:themeColor="text1"/>
          <w:highlight w:val="none"/>
          <w14:textFill>
            <w14:solidFill>
              <w14:schemeClr w14:val="tx1"/>
            </w14:solidFill>
          </w14:textFill>
        </w:rPr>
        <w:t>。加强生态状况综合监测</w:t>
      </w:r>
      <w:r>
        <w:rPr>
          <w:rFonts w:hint="eastAsia"/>
          <w:color w:val="000000" w:themeColor="text1"/>
          <w:highlight w:val="none"/>
          <w:lang w:val="en-US" w:eastAsia="zh-CN"/>
          <w14:textFill>
            <w14:solidFill>
              <w14:schemeClr w14:val="tx1"/>
            </w14:solidFill>
          </w14:textFill>
        </w:rPr>
        <w:t>和</w:t>
      </w:r>
      <w:r>
        <w:rPr>
          <w:rFonts w:hint="eastAsia"/>
          <w:color w:val="000000" w:themeColor="text1"/>
          <w:highlight w:val="none"/>
          <w14:textFill>
            <w14:solidFill>
              <w14:schemeClr w14:val="tx1"/>
            </w14:solidFill>
          </w14:textFill>
        </w:rPr>
        <w:t>成效评估。</w:t>
      </w:r>
    </w:p>
    <w:p w14:paraId="71E0DDE1">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52" w:name="_Toc25672"/>
      <w:bookmarkStart w:id="53" w:name="_Toc2095"/>
      <w:bookmarkStart w:id="54" w:name="_Toc180942048"/>
      <w:r>
        <w:rPr>
          <w:rFonts w:hint="eastAsia" w:ascii="仿宋_GB2312" w:hAnsi="仿宋_GB2312" w:eastAsia="仿宋_GB2312" w:cs="仿宋_GB2312"/>
          <w:color w:val="000000" w:themeColor="text1"/>
          <w:highlight w:val="none"/>
          <w14:textFill>
            <w14:solidFill>
              <w14:schemeClr w14:val="tx1"/>
            </w14:solidFill>
          </w14:textFill>
        </w:rPr>
        <w:t>10.提高生态系统持续性</w:t>
      </w:r>
      <w:bookmarkEnd w:id="52"/>
      <w:bookmarkEnd w:id="53"/>
      <w:bookmarkEnd w:id="54"/>
    </w:p>
    <w:p w14:paraId="7B713025">
      <w:pPr>
        <w:snapToGrid/>
        <w:ind w:firstLine="64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坚持因地制宜、因光定植、因水定植，推进宜林荒山、疏林地、无立木林地和未成林地的绿化建设，全面提升森林质量和碳汇能力。实施山区森林近自然经营，更好发挥森林的水库、钱库、粮库、碳库“四库”作用。以永定河流域为重点，打造永定河流域综合治理和生态修复“生态名片”。巩固全域森林城市建设成效，以国际月季大会为牵引，打造森拥园簇、秩序壮美的花园城市。</w:t>
      </w:r>
    </w:p>
    <w:p w14:paraId="71DBD555">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55" w:name="_Toc27127"/>
      <w:bookmarkStart w:id="56" w:name="_Toc24375"/>
      <w:bookmarkStart w:id="57" w:name="_Toc180942049"/>
      <w:r>
        <w:rPr>
          <w:rFonts w:hint="eastAsia" w:ascii="仿宋_GB2312" w:hAnsi="仿宋_GB2312" w:eastAsia="仿宋_GB2312" w:cs="仿宋_GB2312"/>
          <w:color w:val="000000" w:themeColor="text1"/>
          <w:highlight w:val="none"/>
          <w14:textFill>
            <w14:solidFill>
              <w14:schemeClr w14:val="tx1"/>
            </w14:solidFill>
          </w14:textFill>
        </w:rPr>
        <w:t>11.加强生物多样性保护</w:t>
      </w:r>
      <w:bookmarkEnd w:id="55"/>
      <w:bookmarkEnd w:id="56"/>
      <w:bookmarkEnd w:id="57"/>
    </w:p>
    <w:p w14:paraId="22FD98B8">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入落实生物多样性保护行动计划，科学实施“迎豹回家”保护工程，系统推进生态廊道建设与栖息地保护修复。加强珍稀濒危特有野生动植物保护，开展百花山葡萄扩繁与研究，完善迁地保护体系。构建多尺度连通顺畅的生物网络</w:t>
      </w:r>
      <w:r>
        <w:rPr>
          <w:rFonts w:hint="eastAsia"/>
          <w:color w:val="000000" w:themeColor="text1"/>
          <w:highlight w:val="none"/>
          <w:lang w:val="en-US" w:eastAsia="zh-CN"/>
          <w14:textFill>
            <w14:solidFill>
              <w14:schemeClr w14:val="tx1"/>
            </w14:solidFill>
          </w14:textFill>
        </w:rPr>
        <w:t>和智慧监测</w:t>
      </w:r>
      <w:r>
        <w:rPr>
          <w:rFonts w:hint="eastAsia"/>
          <w:color w:val="000000" w:themeColor="text1"/>
          <w:highlight w:val="none"/>
          <w14:textFill>
            <w14:solidFill>
              <w14:schemeClr w14:val="tx1"/>
            </w14:solidFill>
          </w14:textFill>
        </w:rPr>
        <w:t>体系，打造大自然中的城市。</w:t>
      </w:r>
      <w:bookmarkStart w:id="58" w:name="_Toc11392"/>
      <w:bookmarkStart w:id="59" w:name="_Toc180942050"/>
      <w:bookmarkStart w:id="60" w:name="_Toc22221"/>
      <w:bookmarkStart w:id="61" w:name="_Toc19129"/>
    </w:p>
    <w:p w14:paraId="0C0C5236">
      <w:pPr>
        <w:rPr>
          <w:rFonts w:hint="eastAsia" w:ascii="楷体_GB2312" w:hAnsi="楷体_GB2312" w:eastAsia="楷体_GB2312" w:cs="楷体_GB2312"/>
          <w:color w:val="000000" w:themeColor="text1"/>
          <w:highlight w:val="none"/>
          <w14:textFill>
            <w14:solidFill>
              <w14:schemeClr w14:val="tx1"/>
            </w14:solidFill>
          </w14:textFill>
        </w:rPr>
      </w:pPr>
      <w:r>
        <w:rPr>
          <w:rFonts w:hint="eastAsia" w:ascii="楷体_GB2312" w:hAnsi="楷体_GB2312" w:eastAsia="楷体_GB2312" w:cs="楷体_GB2312"/>
          <w:color w:val="000000" w:themeColor="text1"/>
          <w:highlight w:val="none"/>
          <w14:textFill>
            <w14:solidFill>
              <w14:schemeClr w14:val="tx1"/>
            </w14:solidFill>
          </w14:textFill>
        </w:rPr>
        <w:t>（四）夯实生态安全新基底</w:t>
      </w:r>
      <w:bookmarkEnd w:id="58"/>
      <w:bookmarkEnd w:id="59"/>
      <w:bookmarkEnd w:id="60"/>
      <w:bookmarkEnd w:id="61"/>
    </w:p>
    <w:p w14:paraId="32FCCAB5">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62" w:name="_Toc30546"/>
      <w:bookmarkStart w:id="63" w:name="_Toc180942051"/>
      <w:bookmarkStart w:id="64" w:name="_Toc3886"/>
      <w:r>
        <w:rPr>
          <w:rFonts w:hint="eastAsia" w:ascii="仿宋_GB2312" w:hAnsi="仿宋_GB2312" w:eastAsia="仿宋_GB2312" w:cs="仿宋_GB2312"/>
          <w:color w:val="000000" w:themeColor="text1"/>
          <w:highlight w:val="none"/>
          <w14:textFill>
            <w14:solidFill>
              <w14:schemeClr w14:val="tx1"/>
            </w14:solidFill>
          </w14:textFill>
        </w:rPr>
        <w:t>12.维护生态安全</w:t>
      </w:r>
      <w:bookmarkEnd w:id="62"/>
      <w:bookmarkEnd w:id="63"/>
      <w:bookmarkEnd w:id="64"/>
    </w:p>
    <w:p w14:paraId="64FCC65D">
      <w:pPr>
        <w:rPr>
          <w:rFonts w:hint="eastAsia"/>
          <w:color w:val="000000" w:themeColor="text1"/>
          <w:highlight w:val="none"/>
          <w:lang w:bidi="ar"/>
          <w14:textFill>
            <w14:solidFill>
              <w14:schemeClr w14:val="tx1"/>
            </w14:solidFill>
          </w14:textFill>
        </w:rPr>
      </w:pPr>
      <w:r>
        <w:rPr>
          <w:rFonts w:hint="eastAsia"/>
          <w:color w:val="000000" w:themeColor="text1"/>
          <w:highlight w:val="none"/>
          <w14:textFill>
            <w14:solidFill>
              <w14:schemeClr w14:val="tx1"/>
            </w14:solidFill>
          </w14:textFill>
        </w:rPr>
        <w:t>贯彻总体国家安全观，以“一廊、一环、两区”</w:t>
      </w:r>
      <w:r>
        <w:rPr>
          <w:rStyle w:val="23"/>
          <w:rFonts w:hint="eastAsia"/>
          <w:color w:val="000000" w:themeColor="text1"/>
          <w:highlight w:val="none"/>
          <w14:textFill>
            <w14:solidFill>
              <w14:schemeClr w14:val="tx1"/>
            </w14:solidFill>
          </w14:textFill>
        </w:rPr>
        <w:footnoteReference w:id="2"/>
      </w:r>
      <w:r>
        <w:rPr>
          <w:rFonts w:hint="eastAsia"/>
          <w:color w:val="000000" w:themeColor="text1"/>
          <w:highlight w:val="none"/>
          <w14:textFill>
            <w14:solidFill>
              <w14:schemeClr w14:val="tx1"/>
            </w14:solidFill>
          </w14:textFill>
        </w:rPr>
        <w:t>的生态安全格局为引领，筑牢首都西部生态屏障。开展外来物种普查与防控，加强生物技术及其产品的环</w:t>
      </w:r>
      <w:r>
        <w:rPr>
          <w:rFonts w:hint="eastAsia"/>
          <w:color w:val="000000" w:themeColor="text1"/>
          <w:highlight w:val="none"/>
          <w:lang w:bidi="ar"/>
          <w14:textFill>
            <w14:solidFill>
              <w14:schemeClr w14:val="tx1"/>
            </w14:solidFill>
          </w14:textFill>
        </w:rPr>
        <w:t>境风险监测评价。全生命周期管控高风险放射源。坚决守住森林防火安全底线，严密防范生态安全风险。</w:t>
      </w:r>
    </w:p>
    <w:p w14:paraId="147CA68D">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65" w:name="_Toc180942052"/>
      <w:bookmarkStart w:id="66" w:name="_Toc30726"/>
      <w:bookmarkStart w:id="67" w:name="_Toc2317"/>
      <w:r>
        <w:rPr>
          <w:rFonts w:hint="eastAsia" w:ascii="仿宋_GB2312" w:hAnsi="仿宋_GB2312" w:eastAsia="仿宋_GB2312" w:cs="仿宋_GB2312"/>
          <w:color w:val="000000" w:themeColor="text1"/>
          <w:highlight w:val="none"/>
          <w14:textFill>
            <w14:solidFill>
              <w14:schemeClr w14:val="tx1"/>
            </w14:solidFill>
          </w14:textFill>
        </w:rPr>
        <w:t>13.提高韧性水平</w:t>
      </w:r>
      <w:bookmarkEnd w:id="65"/>
      <w:bookmarkEnd w:id="66"/>
      <w:bookmarkEnd w:id="67"/>
    </w:p>
    <w:p w14:paraId="499D108F">
      <w:pPr>
        <w:rPr>
          <w:rFonts w:hint="eastAsia"/>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统筹考虑交通、市政、生态要素，减缓或降低自然灾害和环境变化的影响</w:t>
      </w:r>
      <w:r>
        <w:rPr>
          <w:rFonts w:hint="eastAsia"/>
          <w:color w:val="000000" w:themeColor="text1"/>
          <w:highlight w:val="none"/>
          <w:lang w:eastAsia="zh-CN" w:bidi="ar"/>
          <w14:textFill>
            <w14:solidFill>
              <w14:schemeClr w14:val="tx1"/>
            </w14:solidFill>
          </w14:textFill>
        </w:rPr>
        <w:t>，</w:t>
      </w:r>
      <w:r>
        <w:rPr>
          <w:rFonts w:hint="eastAsia"/>
          <w:color w:val="000000" w:themeColor="text1"/>
          <w:highlight w:val="none"/>
          <w:lang w:bidi="ar"/>
          <w14:textFill>
            <w14:solidFill>
              <w14:schemeClr w14:val="tx1"/>
            </w14:solidFill>
          </w14:textFill>
        </w:rPr>
        <w:t>深化气候适应型城市建设，强化山洪、地质灾害风险防控，完善区域防洪排涝体系。深化推进韧性城市、海绵城市建设，健全完善防灾减灾和应急救援体系。汲取传统生态智慧，科学布局村落选址和推动生态化建设。</w:t>
      </w:r>
    </w:p>
    <w:p w14:paraId="6C60A4F5">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68" w:name="_Toc180942053"/>
      <w:bookmarkStart w:id="69" w:name="_Toc9948"/>
      <w:bookmarkStart w:id="70" w:name="_Toc4950"/>
      <w:r>
        <w:rPr>
          <w:rFonts w:hint="eastAsia" w:ascii="仿宋_GB2312" w:hAnsi="仿宋_GB2312" w:eastAsia="仿宋_GB2312" w:cs="仿宋_GB2312"/>
          <w:color w:val="000000" w:themeColor="text1"/>
          <w:highlight w:val="none"/>
          <w14:textFill>
            <w14:solidFill>
              <w14:schemeClr w14:val="tx1"/>
            </w14:solidFill>
          </w14:textFill>
        </w:rPr>
        <w:t>14.防控环境风险</w:t>
      </w:r>
      <w:bookmarkEnd w:id="68"/>
      <w:bookmarkEnd w:id="69"/>
      <w:bookmarkEnd w:id="70"/>
    </w:p>
    <w:p w14:paraId="2DF141FE">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坚持预防为主，完善以永定河流域为重点的上下游、跨区域的生态环境应急联动机制，落实环境风险常态化管理主体责任。聚焦109新线高速路，提升风险研判、监测预警、应急处置能力，健全完备的应急响应和协同处置应急管理体系。强化危险废物、</w:t>
      </w:r>
      <w:r>
        <w:rPr>
          <w:rFonts w:hint="eastAsia"/>
          <w:color w:val="000000" w:themeColor="text1"/>
          <w:highlight w:val="none"/>
          <w:lang w:eastAsia="zh-CN"/>
          <w14:textFill>
            <w14:solidFill>
              <w14:schemeClr w14:val="tx1"/>
            </w14:solidFill>
          </w14:textFill>
        </w:rPr>
        <w:t>煤矸石</w:t>
      </w:r>
      <w:r>
        <w:rPr>
          <w:rFonts w:hint="eastAsia"/>
          <w:color w:val="000000" w:themeColor="text1"/>
          <w:highlight w:val="none"/>
          <w14:textFill>
            <w14:solidFill>
              <w14:schemeClr w14:val="tx1"/>
            </w14:solidFill>
          </w14:textFill>
        </w:rPr>
        <w:t>等环境隐患排查和风险防控，及时妥善科学处置各类突发环境事件。加强环境健康监测、调查和风险评估。</w:t>
      </w:r>
    </w:p>
    <w:p w14:paraId="375B8FEA">
      <w:pPr>
        <w:pStyle w:val="5"/>
        <w:rPr>
          <w:rFonts w:hint="eastAsia"/>
          <w:color w:val="000000" w:themeColor="text1"/>
          <w:highlight w:val="none"/>
          <w14:textFill>
            <w14:solidFill>
              <w14:schemeClr w14:val="tx1"/>
            </w14:solidFill>
          </w14:textFill>
        </w:rPr>
      </w:pPr>
      <w:bookmarkStart w:id="71" w:name="_Toc30034"/>
      <w:bookmarkStart w:id="72" w:name="_Toc10746"/>
      <w:bookmarkStart w:id="73" w:name="_Toc19001"/>
      <w:bookmarkStart w:id="74" w:name="_Toc180942054"/>
      <w:r>
        <w:rPr>
          <w:rFonts w:hint="eastAsia"/>
          <w:color w:val="000000" w:themeColor="text1"/>
          <w:highlight w:val="none"/>
          <w14:textFill>
            <w14:solidFill>
              <w14:schemeClr w14:val="tx1"/>
            </w14:solidFill>
          </w14:textFill>
        </w:rPr>
        <w:t>（五）打造幸福宜居新风貌</w:t>
      </w:r>
      <w:bookmarkEnd w:id="71"/>
      <w:bookmarkEnd w:id="72"/>
      <w:bookmarkEnd w:id="73"/>
      <w:bookmarkEnd w:id="74"/>
    </w:p>
    <w:p w14:paraId="5CEE9016">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75" w:name="_Toc180942055"/>
      <w:bookmarkStart w:id="76" w:name="_Toc18555"/>
      <w:bookmarkStart w:id="77" w:name="_Toc11777"/>
      <w:r>
        <w:rPr>
          <w:rFonts w:hint="eastAsia" w:ascii="仿宋_GB2312" w:hAnsi="仿宋_GB2312" w:eastAsia="仿宋_GB2312" w:cs="仿宋_GB2312"/>
          <w:color w:val="000000" w:themeColor="text1"/>
          <w:highlight w:val="none"/>
          <w14:textFill>
            <w14:solidFill>
              <w14:schemeClr w14:val="tx1"/>
            </w14:solidFill>
          </w14:textFill>
        </w:rPr>
        <w:t>15.建设诗画乡村</w:t>
      </w:r>
      <w:bookmarkEnd w:id="75"/>
      <w:bookmarkEnd w:id="76"/>
      <w:bookmarkEnd w:id="77"/>
    </w:p>
    <w:p w14:paraId="505507F3">
      <w:pPr>
        <w:widowControl w:val="0"/>
        <w:rPr>
          <w:rFonts w:hint="eastAsia"/>
          <w:color w:val="000000" w:themeColor="text1"/>
          <w:kern w:val="0"/>
          <w:highlight w:val="none"/>
          <w:lang w:bidi="ar"/>
          <w14:textFill>
            <w14:solidFill>
              <w14:schemeClr w14:val="tx1"/>
            </w14:solidFill>
          </w14:textFill>
        </w:rPr>
      </w:pPr>
      <w:r>
        <w:rPr>
          <w:rFonts w:hint="eastAsia"/>
          <w:color w:val="000000" w:themeColor="text1"/>
          <w:highlight w:val="none"/>
          <w14:textFill>
            <w14:solidFill>
              <w14:schemeClr w14:val="tx1"/>
            </w14:solidFill>
          </w14:textFill>
        </w:rPr>
        <w:t>深入实施“百村示范、千村振兴”工程，全面推进“诗画乡村”建设。高质量实施农村人居环境整治提升行动，试点推广农宅光伏发电、分布式能源。科学治理农业面源污染，推进农药、化肥、农膜等农业投入品减量增效，推进“无废乡村”建设。</w:t>
      </w:r>
      <w:r>
        <w:rPr>
          <w:rFonts w:hint="eastAsia"/>
          <w:color w:val="000000" w:themeColor="text1"/>
          <w:kern w:val="0"/>
          <w:highlight w:val="none"/>
          <w:lang w:bidi="ar"/>
          <w14:textFill>
            <w14:solidFill>
              <w14:schemeClr w14:val="tx1"/>
            </w14:solidFill>
          </w14:textFill>
        </w:rPr>
        <w:t>推进村庄“微改造、精提升”，因地制宜打造村景融合的典范。</w:t>
      </w:r>
    </w:p>
    <w:p w14:paraId="7DD4A163">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78" w:name="_Toc20678"/>
      <w:bookmarkStart w:id="79" w:name="_Toc27868"/>
      <w:bookmarkStart w:id="80" w:name="_Toc180942056"/>
      <w:r>
        <w:rPr>
          <w:rFonts w:hint="eastAsia" w:ascii="仿宋_GB2312" w:hAnsi="仿宋_GB2312" w:eastAsia="仿宋_GB2312" w:cs="仿宋_GB2312"/>
          <w:color w:val="000000" w:themeColor="text1"/>
          <w:highlight w:val="none"/>
          <w14:textFill>
            <w14:solidFill>
              <w14:schemeClr w14:val="tx1"/>
            </w14:solidFill>
          </w14:textFill>
        </w:rPr>
        <w:t>16.打造美丽城市</w:t>
      </w:r>
      <w:bookmarkEnd w:id="78"/>
      <w:bookmarkEnd w:id="79"/>
      <w:bookmarkEnd w:id="80"/>
    </w:p>
    <w:p w14:paraId="4F04B284">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打造以绿色低碳、环境优美、生态宜居、安全健康、智慧高效为导向的美丽城市。保持城市自然山形水势，构建蓝绿交织、邻水相融的生态网络，塑造“山—城—水—人”和谐的生态格局。推广立体绿化模式，规划建设集健身、休闲、赏景等功能为一体的城市生态生活空间。鼓励创新实践，引导社区、街道、企业、园区等绿色改造、美丽提升。健全现代环境治理体系，提升城市规划、建设、治理水平。</w:t>
      </w:r>
    </w:p>
    <w:p w14:paraId="60A9968D">
      <w:pPr>
        <w:pStyle w:val="6"/>
        <w:rPr>
          <w:rFonts w:hint="default" w:ascii="仿宋_GB2312" w:hAnsi="仿宋_GB2312" w:eastAsia="仿宋_GB2312" w:cs="仿宋_GB2312"/>
          <w:color w:val="000000" w:themeColor="text1"/>
          <w:highlight w:val="none"/>
          <w:lang w:val="en-US" w:eastAsia="zh-CN"/>
          <w14:textFill>
            <w14:solidFill>
              <w14:schemeClr w14:val="tx1"/>
            </w14:solidFill>
          </w14:textFill>
        </w:rPr>
      </w:pPr>
      <w:bookmarkStart w:id="81" w:name="_Toc2009"/>
      <w:bookmarkStart w:id="82" w:name="_Toc22963"/>
      <w:bookmarkStart w:id="83" w:name="_Toc180942057"/>
      <w:r>
        <w:rPr>
          <w:rFonts w:hint="eastAsia" w:ascii="仿宋_GB2312" w:hAnsi="仿宋_GB2312" w:eastAsia="仿宋_GB2312" w:cs="仿宋_GB2312"/>
          <w:color w:val="000000" w:themeColor="text1"/>
          <w:highlight w:val="none"/>
          <w14:textFill>
            <w14:solidFill>
              <w14:schemeClr w14:val="tx1"/>
            </w14:solidFill>
          </w14:textFill>
        </w:rPr>
        <w:t>17.</w:t>
      </w:r>
      <w:bookmarkEnd w:id="81"/>
      <w:bookmarkEnd w:id="82"/>
      <w:bookmarkEnd w:id="83"/>
      <w:r>
        <w:rPr>
          <w:rFonts w:hint="eastAsia" w:ascii="仿宋_GB2312" w:hAnsi="仿宋_GB2312" w:eastAsia="仿宋_GB2312" w:cs="仿宋_GB2312"/>
          <w:color w:val="000000" w:themeColor="text1"/>
          <w:highlight w:val="none"/>
          <w:lang w:val="en-US" w:eastAsia="zh-CN"/>
          <w14:textFill>
            <w14:solidFill>
              <w14:schemeClr w14:val="tx1"/>
            </w14:solidFill>
          </w14:textFill>
        </w:rPr>
        <w:t>促进优势释放</w:t>
      </w:r>
    </w:p>
    <w:p w14:paraId="4557CAA4">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依托良好生态资源禀赋，加快完善落实绿水青山就是金山银山理念的体制机制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以“三地品牌”</w:t>
      </w:r>
      <w:r>
        <w:rPr>
          <w:rStyle w:val="23"/>
          <w:rFonts w:hint="eastAsia"/>
          <w:color w:val="000000" w:themeColor="text1"/>
          <w:highlight w:val="none"/>
          <w14:textFill>
            <w14:solidFill>
              <w14:schemeClr w14:val="tx1"/>
            </w14:solidFill>
          </w14:textFill>
        </w:rPr>
        <w:footnoteReference w:id="3"/>
      </w:r>
      <w:r>
        <w:rPr>
          <w:rFonts w:hint="eastAsia"/>
          <w:color w:val="000000" w:themeColor="text1"/>
          <w:highlight w:val="none"/>
          <w14:textFill>
            <w14:solidFill>
              <w14:schemeClr w14:val="tx1"/>
            </w14:solidFill>
          </w14:textFill>
        </w:rPr>
        <w:t>建设为契机，打造基于现代服务水平的文旅产业业态。深化拓展特定地域单元生态产品价值实现（VEP）建设成果，培育壮大生态研学、森林康养、观星观鸟、生态文创等特色生态产业。加快生态产品供给提质增效，推动生态产业优质化发展、标准化生产、品牌化经营，打造绿色发展新的增长极。</w:t>
      </w:r>
    </w:p>
    <w:p w14:paraId="0B9CABFA">
      <w:pPr>
        <w:pStyle w:val="5"/>
        <w:rPr>
          <w:rFonts w:hint="eastAsia"/>
          <w:color w:val="000000" w:themeColor="text1"/>
          <w:highlight w:val="none"/>
          <w14:textFill>
            <w14:solidFill>
              <w14:schemeClr w14:val="tx1"/>
            </w14:solidFill>
          </w14:textFill>
        </w:rPr>
      </w:pPr>
      <w:bookmarkStart w:id="84" w:name="_Toc16557"/>
      <w:bookmarkStart w:id="85" w:name="_Toc1847"/>
      <w:bookmarkStart w:id="86" w:name="_Toc7916"/>
      <w:bookmarkStart w:id="87" w:name="_Toc180942058"/>
      <w:r>
        <w:rPr>
          <w:rFonts w:hint="eastAsia"/>
          <w:color w:val="000000" w:themeColor="text1"/>
          <w:highlight w:val="none"/>
          <w14:textFill>
            <w14:solidFill>
              <w14:schemeClr w14:val="tx1"/>
            </w14:solidFill>
          </w14:textFill>
        </w:rPr>
        <w:t>（六）引领生态文明新风尚</w:t>
      </w:r>
      <w:bookmarkEnd w:id="84"/>
      <w:bookmarkEnd w:id="85"/>
      <w:bookmarkEnd w:id="86"/>
      <w:bookmarkEnd w:id="87"/>
    </w:p>
    <w:p w14:paraId="7911878B">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88" w:name="_Toc180942059"/>
      <w:bookmarkStart w:id="89" w:name="_Toc7921"/>
      <w:bookmarkStart w:id="90" w:name="_Toc1915"/>
      <w:r>
        <w:rPr>
          <w:rFonts w:hint="eastAsia" w:ascii="仿宋_GB2312" w:hAnsi="仿宋_GB2312" w:eastAsia="仿宋_GB2312" w:cs="仿宋_GB2312"/>
          <w:color w:val="000000" w:themeColor="text1"/>
          <w:highlight w:val="none"/>
          <w14:textFill>
            <w14:solidFill>
              <w14:schemeClr w14:val="tx1"/>
            </w14:solidFill>
          </w14:textFill>
        </w:rPr>
        <w:t>18.践行绿色低碳生活方式</w:t>
      </w:r>
      <w:bookmarkEnd w:id="88"/>
      <w:bookmarkEnd w:id="89"/>
      <w:bookmarkEnd w:id="90"/>
    </w:p>
    <w:p w14:paraId="39532656">
      <w:pPr>
        <w:rPr>
          <w:rFonts w:hint="eastAsia"/>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培育生态文明主流价值观，倡导节约适度、绿色低碳、文明健康的生活方式和消费模式</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持续推动生活垃圾源头减量和资源化利用。实施“全民节约行动”，自觉抵制过度消费、跟风消费、攀比消费，坚决制止浪费行为。倡导绿色出行，推进慢行交通体系建设。加大政府绿色产品采购力度和范围，完善绿色产品推广机制，开展绿色社区、绿色学校、绿色机关等建设。</w:t>
      </w:r>
    </w:p>
    <w:p w14:paraId="2AB70C6D">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91" w:name="_Toc31967"/>
      <w:bookmarkStart w:id="92" w:name="_Toc5891"/>
      <w:bookmarkStart w:id="93" w:name="_Toc180942060"/>
      <w:r>
        <w:rPr>
          <w:rFonts w:hint="eastAsia" w:ascii="仿宋_GB2312" w:hAnsi="仿宋_GB2312" w:eastAsia="仿宋_GB2312" w:cs="仿宋_GB2312"/>
          <w:color w:val="000000" w:themeColor="text1"/>
          <w:highlight w:val="none"/>
          <w14:textFill>
            <w14:solidFill>
              <w14:schemeClr w14:val="tx1"/>
            </w14:solidFill>
          </w14:textFill>
        </w:rPr>
        <w:t>19.深化共建共享全民行动</w:t>
      </w:r>
      <w:bookmarkEnd w:id="91"/>
      <w:bookmarkEnd w:id="92"/>
      <w:bookmarkEnd w:id="93"/>
    </w:p>
    <w:p w14:paraId="09BA2438">
      <w:pPr>
        <w:rPr>
          <w:rFonts w:hint="eastAsia"/>
          <w:b/>
          <w:color w:val="000000" w:themeColor="text1"/>
          <w:highlight w:val="none"/>
          <w14:textFill>
            <w14:solidFill>
              <w14:schemeClr w14:val="tx1"/>
            </w14:solidFill>
          </w14:textFill>
        </w:rPr>
      </w:pPr>
      <w:bookmarkStart w:id="94" w:name="_Toc25645"/>
      <w:r>
        <w:rPr>
          <w:rFonts w:hint="eastAsia"/>
          <w:color w:val="000000" w:themeColor="text1"/>
          <w:highlight w:val="none"/>
          <w14:textFill>
            <w14:solidFill>
              <w14:schemeClr w14:val="tx1"/>
            </w14:solidFill>
          </w14:textFill>
        </w:rPr>
        <w:t>增强全民节约意识、环保意识、生态意识，健全以生态福祉为共识的全民行动体系。积极动员行业协会、群团组织、企业团体等力量，主动履行生态环境主体责任。完善生态环境监督举报机制，深化环保设施开放。加强生态文明宣传教育，打造“自然中的教育”品牌。</w:t>
      </w:r>
      <w:r>
        <w:rPr>
          <w:rFonts w:hint="eastAsia"/>
          <w:color w:val="000000" w:themeColor="text1"/>
          <w:kern w:val="0"/>
          <w:highlight w:val="none"/>
          <w14:textFill>
            <w14:solidFill>
              <w14:schemeClr w14:val="tx1"/>
            </w14:solidFill>
          </w14:textFill>
        </w:rPr>
        <w:t>加大对环保社会组织的引导、支持和培育力度，</w:t>
      </w:r>
      <w:r>
        <w:rPr>
          <w:rFonts w:hint="eastAsia"/>
          <w:color w:val="000000" w:themeColor="text1"/>
          <w:highlight w:val="none"/>
          <w14:textFill>
            <w14:solidFill>
              <w14:schemeClr w14:val="tx1"/>
            </w14:solidFill>
          </w14:textFill>
        </w:rPr>
        <w:t>推进生态环境志愿服务体系建设。探索构建“碳账户”“碳积分”等碳普惠机制，全民行动成为广泛自觉。</w:t>
      </w:r>
      <w:bookmarkEnd w:id="94"/>
    </w:p>
    <w:p w14:paraId="6505A455">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95" w:name="_Toc20700"/>
      <w:bookmarkStart w:id="96" w:name="_Toc9788"/>
      <w:bookmarkStart w:id="97" w:name="_Toc180942061"/>
      <w:r>
        <w:rPr>
          <w:rFonts w:hint="eastAsia" w:ascii="仿宋_GB2312" w:hAnsi="仿宋_GB2312" w:eastAsia="仿宋_GB2312" w:cs="仿宋_GB2312"/>
          <w:color w:val="000000" w:themeColor="text1"/>
          <w:highlight w:val="none"/>
          <w14:textFill>
            <w14:solidFill>
              <w14:schemeClr w14:val="tx1"/>
            </w14:solidFill>
          </w14:textFill>
        </w:rPr>
        <w:t>20.培育发展特色生态文化</w:t>
      </w:r>
      <w:bookmarkEnd w:id="95"/>
      <w:bookmarkEnd w:id="96"/>
      <w:bookmarkEnd w:id="97"/>
    </w:p>
    <w:p w14:paraId="203B6F1E">
      <w:pPr>
        <w:rPr>
          <w:rFonts w:hint="eastAsia"/>
          <w:b/>
          <w:color w:val="000000" w:themeColor="text1"/>
          <w:highlight w:val="none"/>
          <w14:textFill>
            <w14:solidFill>
              <w14:schemeClr w14:val="tx1"/>
            </w14:solidFill>
          </w14:textFill>
        </w:rPr>
      </w:pPr>
      <w:bookmarkStart w:id="98" w:name="_Toc32330"/>
      <w:r>
        <w:rPr>
          <w:rFonts w:hint="eastAsia"/>
          <w:color w:val="000000" w:themeColor="text1"/>
          <w:highlight w:val="none"/>
          <w14:textFill>
            <w14:solidFill>
              <w14:schemeClr w14:val="tx1"/>
            </w14:solidFill>
          </w14:textFill>
        </w:rPr>
        <w:t>发挥生态文化引领风尚、凝聚共识、精神支撑的重要作用，健全以生态价值理念为准则的生态文化体系。引导生态文化主题创作，丰富生态文化内涵。高水平举办永定河绿色发展论坛，打造永定河“城市会客厅”。挖掘产业转型、矿山治理和生态修复保护等方面的生态智慧，建设生态博物馆。发挥比较优势，推动集科研观测、保护救助、科普教育、资源利用为一体的人与自然和谐共生研学基地建设。</w:t>
      </w:r>
      <w:bookmarkEnd w:id="98"/>
    </w:p>
    <w:p w14:paraId="27BA73E6">
      <w:pPr>
        <w:pStyle w:val="5"/>
        <w:numPr>
          <w:ilvl w:val="0"/>
          <w:numId w:val="0"/>
        </w:numPr>
        <w:rPr>
          <w:rFonts w:hint="eastAsia"/>
          <w:color w:val="000000" w:themeColor="text1"/>
          <w:highlight w:val="none"/>
          <w14:textFill>
            <w14:solidFill>
              <w14:schemeClr w14:val="tx1"/>
            </w14:solidFill>
          </w14:textFill>
        </w:rPr>
      </w:pPr>
      <w:bookmarkStart w:id="99" w:name="_Toc180942062"/>
      <w:bookmarkStart w:id="100" w:name="_Toc6329"/>
      <w:bookmarkStart w:id="101" w:name="_Toc24017"/>
      <w:bookmarkStart w:id="102" w:name="_Toc8741"/>
      <w:r>
        <w:rPr>
          <w:rFonts w:hint="eastAsia"/>
          <w:color w:val="000000" w:themeColor="text1"/>
          <w:highlight w:val="none"/>
          <w14:textFill>
            <w14:solidFill>
              <w14:schemeClr w14:val="tx1"/>
            </w14:solidFill>
          </w14:textFill>
        </w:rPr>
        <w:t>（七）深化改革创新新成效</w:t>
      </w:r>
      <w:bookmarkEnd w:id="99"/>
      <w:bookmarkEnd w:id="100"/>
      <w:bookmarkEnd w:id="101"/>
      <w:bookmarkEnd w:id="102"/>
    </w:p>
    <w:p w14:paraId="33CFD7E4">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103" w:name="_Toc25959"/>
      <w:bookmarkStart w:id="104" w:name="_Toc180942063"/>
      <w:bookmarkStart w:id="105" w:name="_Toc5109"/>
      <w:r>
        <w:rPr>
          <w:rFonts w:hint="eastAsia" w:ascii="仿宋_GB2312" w:hAnsi="仿宋_GB2312" w:eastAsia="仿宋_GB2312" w:cs="仿宋_GB2312"/>
          <w:color w:val="000000" w:themeColor="text1"/>
          <w:highlight w:val="none"/>
          <w14:textFill>
            <w14:solidFill>
              <w14:schemeClr w14:val="tx1"/>
            </w14:solidFill>
          </w14:textFill>
        </w:rPr>
        <w:t>21.完善体制机制</w:t>
      </w:r>
      <w:bookmarkEnd w:id="103"/>
      <w:bookmarkEnd w:id="104"/>
      <w:bookmarkEnd w:id="105"/>
    </w:p>
    <w:p w14:paraId="565AEB6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健全</w:t>
      </w:r>
      <w:r>
        <w:rPr>
          <w:rFonts w:hint="eastAsia"/>
          <w:color w:val="000000" w:themeColor="text1"/>
          <w:highlight w:val="none"/>
          <w:lang w:val="en-US" w:eastAsia="zh-CN"/>
          <w14:textFill>
            <w14:solidFill>
              <w14:schemeClr w14:val="tx1"/>
            </w14:solidFill>
          </w14:textFill>
        </w:rPr>
        <w:t>以GEP为导向的</w:t>
      </w:r>
      <w:r>
        <w:rPr>
          <w:rFonts w:hint="eastAsia"/>
          <w:color w:val="000000" w:themeColor="text1"/>
          <w:highlight w:val="none"/>
          <w14:textFill>
            <w14:solidFill>
              <w14:schemeClr w14:val="tx1"/>
            </w14:solidFill>
          </w14:textFill>
        </w:rPr>
        <w:t>生态立区战略</w:t>
      </w:r>
      <w:r>
        <w:rPr>
          <w:rFonts w:hint="eastAsia"/>
          <w:color w:val="000000" w:themeColor="text1"/>
          <w:highlight w:val="none"/>
          <w:lang w:val="en-US" w:eastAsia="zh-CN"/>
          <w14:textFill>
            <w14:solidFill>
              <w14:schemeClr w14:val="tx1"/>
            </w14:solidFill>
          </w14:textFill>
        </w:rPr>
        <w:t>统筹推进</w:t>
      </w:r>
      <w:r>
        <w:rPr>
          <w:rFonts w:hint="eastAsia"/>
          <w:color w:val="000000" w:themeColor="text1"/>
          <w:highlight w:val="none"/>
          <w14:textFill>
            <w14:solidFill>
              <w14:schemeClr w14:val="tx1"/>
            </w14:solidFill>
          </w14:textFill>
        </w:rPr>
        <w:t>机制，</w:t>
      </w:r>
      <w:r>
        <w:rPr>
          <w:rFonts w:hint="eastAsia"/>
          <w:color w:val="000000" w:themeColor="text1"/>
          <w:sz w:val="32"/>
          <w:szCs w:val="32"/>
          <w:highlight w:val="none"/>
          <w:lang w:val="en-US" w:eastAsia="zh-CN"/>
          <w14:textFill>
            <w14:solidFill>
              <w14:schemeClr w14:val="tx1"/>
            </w14:solidFill>
          </w14:textFill>
        </w:rPr>
        <w:t>拓展</w:t>
      </w:r>
      <w:r>
        <w:rPr>
          <w:rFonts w:hint="eastAsia" w:ascii="仿宋_GB2312" w:eastAsia="仿宋_GB2312"/>
          <w:color w:val="000000" w:themeColor="text1"/>
          <w:sz w:val="32"/>
          <w:szCs w:val="32"/>
          <w:highlight w:val="none"/>
          <w14:textFill>
            <w14:solidFill>
              <w14:schemeClr w14:val="tx1"/>
            </w14:solidFill>
          </w14:textFill>
        </w:rPr>
        <w:t>GEP关键指标体系</w:t>
      </w:r>
      <w:r>
        <w:rPr>
          <w:rFonts w:hint="eastAsia"/>
          <w:color w:val="000000" w:themeColor="text1"/>
          <w:sz w:val="32"/>
          <w:szCs w:val="32"/>
          <w:highlight w:val="none"/>
          <w:lang w:val="en-US" w:eastAsia="zh-CN"/>
          <w14:textFill>
            <w14:solidFill>
              <w14:schemeClr w14:val="tx1"/>
            </w14:solidFill>
          </w14:textFill>
        </w:rPr>
        <w:t>落地成果</w:t>
      </w:r>
      <w:r>
        <w:rPr>
          <w:rFonts w:hint="eastAsia" w:ascii="仿宋_GB2312" w:eastAsia="仿宋_GB2312"/>
          <w:color w:val="000000" w:themeColor="text1"/>
          <w:sz w:val="32"/>
          <w:szCs w:val="32"/>
          <w:highlight w:val="none"/>
          <w14:textFill>
            <w14:solidFill>
              <w14:schemeClr w14:val="tx1"/>
            </w14:solidFill>
          </w14:textFill>
        </w:rPr>
        <w:t>，加快形成GDP和GEP同部署、双增长的工作格局。</w:t>
      </w:r>
      <w:r>
        <w:rPr>
          <w:rFonts w:hint="eastAsia"/>
          <w:color w:val="000000" w:themeColor="text1"/>
          <w:highlight w:val="none"/>
          <w14:textFill>
            <w14:solidFill>
              <w14:schemeClr w14:val="tx1"/>
            </w14:solidFill>
          </w14:textFill>
        </w:rPr>
        <w:t>创新绿色财政综合性补偿</w:t>
      </w:r>
      <w:r>
        <w:rPr>
          <w:rFonts w:hint="eastAsia"/>
          <w:color w:val="000000" w:themeColor="text1"/>
          <w:highlight w:val="none"/>
          <w:lang w:val="en-US" w:eastAsia="zh-CN"/>
          <w14:textFill>
            <w14:solidFill>
              <w14:schemeClr w14:val="tx1"/>
            </w14:solidFill>
          </w14:textFill>
        </w:rPr>
        <w:t>政策，</w:t>
      </w:r>
      <w:r>
        <w:rPr>
          <w:rFonts w:hint="eastAsia"/>
          <w:color w:val="000000" w:themeColor="text1"/>
          <w:highlight w:val="none"/>
          <w14:textFill>
            <w14:solidFill>
              <w14:schemeClr w14:val="tx1"/>
            </w14:solidFill>
          </w14:textFill>
        </w:rPr>
        <w:t>优化生态文明建设领域财政资源配置。</w:t>
      </w:r>
      <w:r>
        <w:rPr>
          <w:rFonts w:hint="eastAsia"/>
          <w:color w:val="000000" w:themeColor="text1"/>
          <w:highlight w:val="none"/>
          <w:lang w:val="en-US" w:eastAsia="zh-CN"/>
          <w14:textFill>
            <w14:solidFill>
              <w14:schemeClr w14:val="tx1"/>
            </w14:solidFill>
          </w14:textFill>
        </w:rPr>
        <w:t>探索重要生态空间保护与发展协同机制，完善生物多样性保护协调机制</w:t>
      </w:r>
      <w:r>
        <w:rPr>
          <w:rFonts w:hint="eastAsia"/>
          <w:color w:val="000000" w:themeColor="text1"/>
          <w:highlight w:val="none"/>
          <w14:textFill>
            <w14:solidFill>
              <w14:schemeClr w14:val="tx1"/>
            </w14:solidFill>
          </w14:textFill>
        </w:rPr>
        <w:t>。落实自然资源资产管理制度体系，深入开展领导干部自然资源资产离任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在任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审计。</w:t>
      </w:r>
    </w:p>
    <w:p w14:paraId="6ADF569D">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106" w:name="_Toc23092"/>
      <w:bookmarkStart w:id="107" w:name="_Toc180942064"/>
      <w:bookmarkStart w:id="108" w:name="_Toc27206"/>
      <w:r>
        <w:rPr>
          <w:rFonts w:hint="eastAsia" w:ascii="仿宋_GB2312" w:hAnsi="仿宋_GB2312" w:eastAsia="仿宋_GB2312" w:cs="仿宋_GB2312"/>
          <w:color w:val="000000" w:themeColor="text1"/>
          <w:highlight w:val="none"/>
          <w14:textFill>
            <w14:solidFill>
              <w14:schemeClr w14:val="tx1"/>
            </w14:solidFill>
          </w14:textFill>
        </w:rPr>
        <w:t>22.完善治理体系</w:t>
      </w:r>
      <w:bookmarkEnd w:id="106"/>
      <w:bookmarkEnd w:id="107"/>
      <w:bookmarkEnd w:id="108"/>
    </w:p>
    <w:p w14:paraId="01C950A7">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全面实施</w:t>
      </w:r>
      <w:r>
        <w:rPr>
          <w:rFonts w:hint="eastAsia"/>
          <w:color w:val="000000" w:themeColor="text1"/>
          <w:highlight w:val="none"/>
          <w:lang w:eastAsia="zh-CN"/>
          <w14:textFill>
            <w14:solidFill>
              <w14:schemeClr w14:val="tx1"/>
            </w14:solidFill>
          </w14:textFill>
        </w:rPr>
        <w:t>排污许可制</w:t>
      </w:r>
      <w:r>
        <w:rPr>
          <w:rFonts w:hint="eastAsia"/>
          <w:color w:val="000000" w:themeColor="text1"/>
          <w:highlight w:val="none"/>
          <w14:textFill>
            <w14:solidFill>
              <w14:schemeClr w14:val="tx1"/>
            </w14:solidFill>
          </w14:textFill>
        </w:rPr>
        <w:t>，落实最严格的生态保护红线管理制度，统筹推进生态环境损害赔偿，推进“生态检察+”机制在生态环境领域运用。优化建设覆盖全地域、全要素的生态环境监测网络，打造“精准、科学、有效”的生态环境监测体系。强化“三监联动”，推动跨要素、跨部门、跨地区的生态环境协同监管，构建权责清晰、多元参与、激励约束并重、系统完整的环境监管机制。</w:t>
      </w:r>
    </w:p>
    <w:p w14:paraId="7578A157">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109" w:name="_Toc180942066"/>
      <w:bookmarkStart w:id="110" w:name="_Toc26124"/>
      <w:bookmarkStart w:id="111" w:name="_Toc24497"/>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14:textFill>
            <w14:solidFill>
              <w14:schemeClr w14:val="tx1"/>
            </w14:solidFill>
          </w14:textFill>
        </w:rPr>
        <w:t>.深化区域协同</w:t>
      </w:r>
      <w:bookmarkEnd w:id="109"/>
      <w:bookmarkEnd w:id="110"/>
      <w:bookmarkEnd w:id="111"/>
    </w:p>
    <w:p w14:paraId="64D9506B">
      <w:pP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持续开展污染防治综合治理与联动攻坚，</w:t>
      </w:r>
      <w:r>
        <w:rPr>
          <w:rFonts w:hint="eastAsia"/>
          <w:color w:val="000000" w:themeColor="text1"/>
          <w:highlight w:val="none"/>
          <w14:textFill>
            <w14:solidFill>
              <w14:schemeClr w14:val="tx1"/>
            </w14:solidFill>
          </w14:textFill>
        </w:rPr>
        <w:t>构建区域共治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共建</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共享的现代生态环境治理</w:t>
      </w:r>
      <w:r>
        <w:rPr>
          <w:rFonts w:hint="eastAsia"/>
          <w:color w:val="000000" w:themeColor="text1"/>
          <w:highlight w:val="none"/>
          <w:lang w:val="en-US" w:eastAsia="zh-CN"/>
          <w14:textFill>
            <w14:solidFill>
              <w14:schemeClr w14:val="tx1"/>
            </w14:solidFill>
          </w14:textFill>
        </w:rPr>
        <w:t>机制</w:t>
      </w:r>
      <w:r>
        <w:rPr>
          <w:rFonts w:hint="eastAsia"/>
          <w:color w:val="000000" w:themeColor="text1"/>
          <w:highlight w:val="none"/>
          <w14:textFill>
            <w14:solidFill>
              <w14:schemeClr w14:val="tx1"/>
            </w14:solidFill>
          </w14:textFill>
        </w:rPr>
        <w:t>。推动自然保护地协同，</w:t>
      </w:r>
      <w:r>
        <w:rPr>
          <w:rFonts w:hint="eastAsia"/>
          <w:color w:val="000000" w:themeColor="text1"/>
          <w:highlight w:val="none"/>
          <w:lang w:val="en-US" w:eastAsia="zh-CN"/>
          <w14:textFill>
            <w14:solidFill>
              <w14:schemeClr w14:val="tx1"/>
            </w14:solidFill>
          </w14:textFill>
        </w:rPr>
        <w:t>深化京冀地区山水林田湖草沙系统治理和一体化保护，构建跨区域生物多样性保护联盟，完善大尺度生态保护空间。加强</w:t>
      </w:r>
      <w:r>
        <w:rPr>
          <w:rFonts w:hint="eastAsia"/>
          <w:color w:val="000000" w:themeColor="text1"/>
          <w:highlight w:val="none"/>
          <w14:textFill>
            <w14:solidFill>
              <w14:schemeClr w14:val="tx1"/>
            </w14:solidFill>
          </w14:textFill>
        </w:rPr>
        <w:t>区域旅游</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产业等</w:t>
      </w:r>
      <w:r>
        <w:rPr>
          <w:rFonts w:hint="eastAsia"/>
          <w:color w:val="000000" w:themeColor="text1"/>
          <w:highlight w:val="none"/>
          <w14:textFill>
            <w14:solidFill>
              <w14:schemeClr w14:val="tx1"/>
            </w14:solidFill>
          </w14:textFill>
        </w:rPr>
        <w:t>一体化协同</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以生态优势集聚促进地区绿色高质量发展</w:t>
      </w:r>
      <w:r>
        <w:rPr>
          <w:rFonts w:hint="eastAsia"/>
          <w:color w:val="000000" w:themeColor="text1"/>
          <w:highlight w:val="none"/>
          <w14:textFill>
            <w14:solidFill>
              <w14:schemeClr w14:val="tx1"/>
            </w14:solidFill>
          </w14:textFill>
        </w:rPr>
        <w:t>。</w:t>
      </w:r>
    </w:p>
    <w:p w14:paraId="72DE6477">
      <w:pPr>
        <w:pStyle w:val="5"/>
        <w:numPr>
          <w:ilvl w:val="0"/>
          <w:numId w:val="0"/>
        </w:numPr>
        <w:ind w:left="0" w:firstLine="640" w:firstLineChars="200"/>
        <w:rPr>
          <w:rFonts w:hint="eastAsia"/>
          <w:color w:val="000000" w:themeColor="text1"/>
          <w:highlight w:val="none"/>
          <w14:textFill>
            <w14:solidFill>
              <w14:schemeClr w14:val="tx1"/>
            </w14:solidFill>
          </w14:textFill>
        </w:rPr>
      </w:pPr>
      <w:bookmarkStart w:id="112" w:name="_Toc25188"/>
      <w:bookmarkStart w:id="113" w:name="_Toc14364"/>
      <w:bookmarkStart w:id="114" w:name="_Toc180942067"/>
      <w:bookmarkStart w:id="115" w:name="_Toc4208"/>
      <w:r>
        <w:rPr>
          <w:rFonts w:hint="eastAsia"/>
          <w:color w:val="000000" w:themeColor="text1"/>
          <w:highlight w:val="none"/>
          <w14:textFill>
            <w14:solidFill>
              <w14:schemeClr w14:val="tx1"/>
            </w14:solidFill>
          </w14:textFill>
        </w:rPr>
        <w:t>（八）健全责任落地新格局</w:t>
      </w:r>
      <w:bookmarkEnd w:id="112"/>
      <w:bookmarkEnd w:id="113"/>
      <w:bookmarkEnd w:id="114"/>
      <w:bookmarkEnd w:id="115"/>
    </w:p>
    <w:p w14:paraId="5484E915">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116" w:name="_Toc180942068"/>
      <w:bookmarkStart w:id="117" w:name="_Toc24957"/>
      <w:bookmarkStart w:id="118" w:name="_Toc14566"/>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.加强组织领导</w:t>
      </w:r>
      <w:bookmarkEnd w:id="116"/>
      <w:bookmarkEnd w:id="117"/>
      <w:bookmarkEnd w:id="118"/>
    </w:p>
    <w:p w14:paraId="7D915A7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坚持和加强党的全面领导，</w:t>
      </w:r>
      <w:r>
        <w:rPr>
          <w:rFonts w:hint="eastAsia"/>
          <w:color w:val="000000" w:themeColor="text1"/>
          <w:highlight w:val="none"/>
          <w:lang w:val="en-US" w:eastAsia="zh-CN"/>
          <w14:textFill>
            <w14:solidFill>
              <w14:schemeClr w14:val="tx1"/>
            </w14:solidFill>
          </w14:textFill>
        </w:rPr>
        <w:t>严格</w:t>
      </w:r>
      <w:r>
        <w:rPr>
          <w:rFonts w:hint="eastAsia"/>
          <w:color w:val="000000" w:themeColor="text1"/>
          <w:highlight w:val="none"/>
          <w14:textFill>
            <w14:solidFill>
              <w14:schemeClr w14:val="tx1"/>
            </w14:solidFill>
          </w14:textFill>
        </w:rPr>
        <w:t>落实“党政同责、一岗双责”，聚焦美丽北京先行区建设目标指标，研究制定本</w:t>
      </w:r>
      <w:r>
        <w:rPr>
          <w:rFonts w:hint="eastAsia"/>
          <w:color w:val="000000" w:themeColor="text1"/>
          <w:highlight w:val="none"/>
          <w:lang w:val="en-US" w:eastAsia="zh-CN"/>
          <w14:textFill>
            <w14:solidFill>
              <w14:schemeClr w14:val="tx1"/>
            </w14:solidFill>
          </w14:textFill>
        </w:rPr>
        <w:t>部门</w:t>
      </w:r>
      <w:r>
        <w:rPr>
          <w:rFonts w:hint="eastAsia"/>
          <w:color w:val="000000" w:themeColor="text1"/>
          <w:highlight w:val="none"/>
          <w14:textFill>
            <w14:solidFill>
              <w14:schemeClr w14:val="tx1"/>
            </w14:solidFill>
          </w14:textFill>
        </w:rPr>
        <w:t>、本领域</w:t>
      </w:r>
      <w:r>
        <w:rPr>
          <w:rFonts w:hint="eastAsia"/>
          <w:color w:val="000000" w:themeColor="text1"/>
          <w:highlight w:val="none"/>
          <w:lang w:val="en-US" w:eastAsia="zh-CN"/>
          <w14:textFill>
            <w14:solidFill>
              <w14:schemeClr w14:val="tx1"/>
            </w14:solidFill>
          </w14:textFill>
        </w:rPr>
        <w:t>工作计划</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强化统筹协调和督办推进</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持续</w:t>
      </w:r>
      <w:r>
        <w:rPr>
          <w:rFonts w:hint="eastAsia"/>
          <w:color w:val="000000" w:themeColor="text1"/>
          <w:highlight w:val="none"/>
          <w14:textFill>
            <w14:solidFill>
              <w14:schemeClr w14:val="tx1"/>
            </w14:solidFill>
          </w14:textFill>
        </w:rPr>
        <w:t>完善纵向贯通、横向协同、联动落实的工作机制</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深入推进各级生态环境保护督察反馈问题整改</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及时研究解决重大问题。各有关部门、各镇街要向区委、区政府报告推进美丽北京先行区建设年度工作情况。</w:t>
      </w:r>
    </w:p>
    <w:p w14:paraId="3B1527CF">
      <w:pPr>
        <w:pStyle w:val="6"/>
        <w:rPr>
          <w:rFonts w:hint="eastAsia" w:ascii="仿宋_GB2312" w:hAnsi="仿宋_GB2312" w:eastAsia="仿宋_GB2312" w:cs="仿宋_GB2312"/>
          <w:color w:val="000000" w:themeColor="text1"/>
          <w:highlight w:val="none"/>
          <w14:textFill>
            <w14:solidFill>
              <w14:schemeClr w14:val="tx1"/>
            </w14:solidFill>
          </w14:textFill>
        </w:rPr>
      </w:pPr>
      <w:bookmarkStart w:id="119" w:name="_Toc21429"/>
      <w:bookmarkStart w:id="120" w:name="_Toc180942070"/>
      <w:bookmarkStart w:id="121" w:name="_Toc10385"/>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14:textFill>
            <w14:solidFill>
              <w14:schemeClr w14:val="tx1"/>
            </w14:solidFill>
          </w14:textFill>
        </w:rPr>
        <w:t>.开展考核评估</w:t>
      </w:r>
      <w:bookmarkEnd w:id="119"/>
      <w:bookmarkEnd w:id="120"/>
      <w:bookmarkEnd w:id="121"/>
    </w:p>
    <w:p w14:paraId="448596A7">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展美丽北京先行区监测评价和建设进程评估。按照北京市统一部署，开展美丽北京建设成效考核，考核结果作为领导班子和有关领导干部综合考核评价、奖惩任免的重要参考。按照规定将在美丽北京先行区建设中成绩显著、贡献突出的先进单位和个人，纳入现有表彰体系予以表彰。</w:t>
      </w:r>
    </w:p>
    <w:p w14:paraId="749220D5">
      <w:pPr>
        <w:rPr>
          <w:color w:val="000000" w:themeColor="text1"/>
          <w:highlight w:val="none"/>
          <w14:textFill>
            <w14:solidFill>
              <w14:schemeClr w14:val="tx1"/>
            </w14:solidFill>
          </w14:textFill>
        </w:rPr>
      </w:pPr>
    </w:p>
    <w:sectPr>
      <w:footerReference r:id="rId5" w:type="default"/>
      <w:pgSz w:w="11906" w:h="16838"/>
      <w:pgMar w:top="2098" w:right="1474" w:bottom="1984" w:left="158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425"/>
    </w:sdtPr>
    <w:sdtContent>
      <w:p w14:paraId="3EF10769">
        <w:pPr>
          <w:pStyle w:val="11"/>
          <w:ind w:firstLine="0" w:firstLineChars="0"/>
          <w:jc w:val="center"/>
          <w:rPr>
            <w:rFonts w:hint="eastAsia"/>
          </w:rPr>
        </w:pPr>
        <w:r>
          <w:fldChar w:fldCharType="begin"/>
        </w:r>
        <w:r>
          <w:instrText xml:space="preserve">PAGE   \* MERGEFORMAT</w:instrText>
        </w:r>
        <w:r>
          <w:fldChar w:fldCharType="separate"/>
        </w:r>
        <w:r>
          <w:rPr>
            <w:lang w:val="zh-CN"/>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240" w:lineRule="auto"/>
        <w:ind w:firstLine="640"/>
      </w:pPr>
      <w:r>
        <w:separator/>
      </w:r>
    </w:p>
  </w:footnote>
  <w:footnote w:type="continuationSeparator" w:id="9">
    <w:p>
      <w:pPr>
        <w:spacing w:line="240" w:lineRule="auto"/>
        <w:ind w:firstLine="640"/>
      </w:pPr>
      <w:r>
        <w:continuationSeparator/>
      </w:r>
    </w:p>
  </w:footnote>
  <w:footnote w:id="0">
    <w:p w14:paraId="3BBE4761">
      <w:pPr>
        <w:pStyle w:val="14"/>
        <w:snapToGrid w:val="0"/>
      </w:pPr>
      <w:r>
        <w:rPr>
          <w:rFonts w:hint="eastAsia" w:ascii="仿宋_GB2312" w:hAnsi="仿宋_GB2312" w:eastAsia="仿宋_GB2312" w:cs="仿宋_GB2312"/>
          <w:kern w:val="2"/>
          <w:sz w:val="18"/>
          <w:szCs w:val="32"/>
          <w:lang w:val="en-US" w:eastAsia="zh-CN" w:bidi="ar-SA"/>
          <w:rPrChange w:id="8" w:author="QW Cao" w:date="2024-10-27T16:55:00Z">
            <w:rPr>
              <w:rFonts w:ascii="仿宋_GB2312" w:hAnsi="仿宋_GB2312" w:eastAsia="仿宋_GB2312" w:cs="仿宋_GB2312"/>
              <w:kern w:val="2"/>
              <w:sz w:val="18"/>
              <w:szCs w:val="32"/>
              <w:lang w:val="en-US" w:eastAsia="zh-CN" w:bidi="ar-SA"/>
              <w14:ligatures w14:val="standardContextual"/>
            </w:rPr>
          </w:rPrChange>
          <w14:ligatures w14:val="standardContextual"/>
        </w:rPr>
        <w:footnoteRef/>
      </w:r>
      <w:r>
        <w:rPr>
          <w:rFonts w:hint="eastAsia" w:ascii="仿宋_GB2312" w:hAnsi="仿宋_GB2312" w:eastAsia="仿宋_GB2312" w:cs="仿宋_GB2312"/>
          <w:kern w:val="2"/>
          <w:sz w:val="18"/>
          <w:szCs w:val="32"/>
          <w:lang w:val="en-US" w:eastAsia="zh-CN" w:bidi="ar-SA"/>
          <w:rPrChange w:id="9" w:author="QW Cao" w:date="2024-10-27T16:55:00Z">
            <w:rPr>
              <w:rFonts w:ascii="仿宋_GB2312" w:hAnsi="仿宋_GB2312" w:eastAsia="仿宋_GB2312" w:cs="仿宋_GB2312"/>
              <w:kern w:val="2"/>
              <w:sz w:val="18"/>
              <w:szCs w:val="32"/>
              <w:lang w:val="en-US" w:eastAsia="zh-CN" w:bidi="ar-SA"/>
              <w14:ligatures w14:val="standardContextual"/>
            </w:rPr>
          </w:rPrChange>
          <w14:ligatures w14:val="standardContextual"/>
        </w:rPr>
        <w:t xml:space="preserve"> </w:t>
      </w:r>
      <w:r>
        <w:rPr>
          <w:rFonts w:hint="eastAsia"/>
          <w:color w:val="000000" w:themeColor="text1"/>
          <w:highlight w:val="none"/>
          <w14:textFill>
            <w14:solidFill>
              <w14:schemeClr w14:val="tx1"/>
            </w14:solidFill>
          </w14:textFill>
        </w:rPr>
        <w:t>人工智能、超高清数字视听、心血管领域医疗器械</w:t>
      </w:r>
    </w:p>
  </w:footnote>
  <w:footnote w:id="1">
    <w:p w14:paraId="3AF37D30">
      <w:pPr>
        <w:pStyle w:val="14"/>
        <w:snapToGrid w:val="0"/>
        <w:rPr>
          <w:rFonts w:hint="default" w:eastAsia="仿宋_GB2312"/>
          <w:lang w:val="en-US" w:eastAsia="zh-CN"/>
        </w:rPr>
      </w:pPr>
      <w:r>
        <w:rPr>
          <w:rFonts w:hint="eastAsia" w:ascii="仿宋_GB2312" w:hAnsi="仿宋_GB2312" w:eastAsia="仿宋_GB2312" w:cs="仿宋_GB2312"/>
          <w:kern w:val="2"/>
          <w:sz w:val="18"/>
          <w:szCs w:val="32"/>
          <w:lang w:val="en-US" w:eastAsia="zh-CN" w:bidi="ar-SA"/>
          <w:rPrChange w:id="10" w:author="QW Cao" w:date="2024-10-27T16:55:00Z">
            <w:rPr>
              <w:rFonts w:ascii="仿宋_GB2312" w:hAnsi="仿宋_GB2312" w:eastAsia="仿宋_GB2312" w:cs="仿宋_GB2312"/>
              <w:kern w:val="2"/>
              <w:sz w:val="18"/>
              <w:szCs w:val="32"/>
              <w:lang w:val="en-US" w:eastAsia="zh-CN" w:bidi="ar-SA"/>
              <w14:ligatures w14:val="standardContextual"/>
            </w:rPr>
          </w:rPrChange>
          <w14:ligatures w14:val="standardContextual"/>
        </w:rPr>
        <w:footnoteRef/>
      </w:r>
      <w:r>
        <w:rPr>
          <w:rFonts w:hint="eastAsia" w:ascii="仿宋_GB2312" w:hAnsi="仿宋_GB2312" w:eastAsia="仿宋_GB2312" w:cs="仿宋_GB2312"/>
          <w:kern w:val="2"/>
          <w:sz w:val="18"/>
          <w:szCs w:val="32"/>
          <w:lang w:val="en-US" w:eastAsia="zh-CN" w:bidi="ar-SA"/>
          <w:rPrChange w:id="11" w:author="QW Cao" w:date="2024-10-27T16:55:00Z">
            <w:rPr>
              <w:rFonts w:ascii="仿宋_GB2312" w:hAnsi="仿宋_GB2312" w:eastAsia="仿宋_GB2312" w:cs="仿宋_GB2312"/>
              <w:kern w:val="2"/>
              <w:sz w:val="18"/>
              <w:szCs w:val="32"/>
              <w:lang w:val="en-US" w:eastAsia="zh-CN" w:bidi="ar-SA"/>
              <w14:ligatures w14:val="standardContextual"/>
            </w:rPr>
          </w:rPrChange>
          <w14:ligatures w14:val="standardContextual"/>
        </w:rPr>
        <w:t xml:space="preserve"> </w:t>
      </w:r>
      <w:r>
        <w:rPr>
          <w:rFonts w:hint="eastAsia"/>
          <w:color w:val="000000" w:themeColor="text1"/>
          <w:highlight w:val="none"/>
          <w14:textFill>
            <w14:solidFill>
              <w14:schemeClr w14:val="tx1"/>
            </w14:solidFill>
          </w14:textFill>
        </w:rPr>
        <w:t>施工、道路、裸地</w:t>
      </w:r>
      <w:r>
        <w:rPr>
          <w:rFonts w:hint="eastAsia"/>
          <w:color w:val="000000" w:themeColor="text1"/>
          <w:highlight w:val="none"/>
          <w:lang w:val="en-US" w:eastAsia="zh-CN"/>
          <w14:textFill>
            <w14:solidFill>
              <w14:schemeClr w14:val="tx1"/>
            </w14:solidFill>
          </w14:textFill>
        </w:rPr>
        <w:t>和外来沙尘</w:t>
      </w:r>
    </w:p>
  </w:footnote>
  <w:footnote w:id="2">
    <w:p w14:paraId="3C8700F0">
      <w:pPr>
        <w:pStyle w:val="14"/>
        <w:rPr>
          <w:rFonts w:hint="eastAsia"/>
        </w:rPr>
      </w:pPr>
      <w:r>
        <w:rPr>
          <w:rStyle w:val="20"/>
          <w:rFonts w:hint="eastAsia"/>
        </w:rPr>
        <w:footnoteRef/>
      </w:r>
      <w:r>
        <w:rPr>
          <w:rFonts w:hint="eastAsia"/>
        </w:rPr>
        <w:t xml:space="preserve"> 根据门头沟分区规划（国土空间规划）（2017年—2035年），“一廊”为永定河生态走廊；“一环”为新城休闲公园环；“两区”为深山生态保育区、浅山生态修复区。</w:t>
      </w:r>
    </w:p>
  </w:footnote>
  <w:footnote w:id="3">
    <w:p w14:paraId="43638364">
      <w:pPr>
        <w:pStyle w:val="14"/>
        <w:snapToGrid w:val="0"/>
      </w:pPr>
      <w:r>
        <w:rPr>
          <w:rFonts w:hint="eastAsia" w:ascii="仿宋_GB2312" w:hAnsi="仿宋_GB2312" w:eastAsia="仿宋_GB2312" w:cs="仿宋_GB2312"/>
          <w:kern w:val="2"/>
          <w:sz w:val="18"/>
          <w:szCs w:val="32"/>
          <w:lang w:val="en-US" w:eastAsia="zh-CN" w:bidi="ar-SA"/>
          <w:rPrChange w:id="12" w:author="QW Cao" w:date="2024-10-27T16:55:00Z">
            <w:rPr>
              <w:rFonts w:ascii="仿宋_GB2312" w:hAnsi="仿宋_GB2312" w:eastAsia="仿宋_GB2312" w:cs="仿宋_GB2312"/>
              <w:kern w:val="2"/>
              <w:sz w:val="18"/>
              <w:szCs w:val="32"/>
              <w:lang w:val="en-US" w:eastAsia="zh-CN" w:bidi="ar-SA"/>
              <w14:ligatures w14:val="standardContextual"/>
            </w:rPr>
          </w:rPrChange>
          <w14:ligatures w14:val="standardContextual"/>
        </w:rPr>
        <w:footnoteRef/>
      </w:r>
      <w:r>
        <w:rPr>
          <w:rFonts w:hint="eastAsia" w:ascii="仿宋_GB2312" w:hAnsi="仿宋_GB2312" w:eastAsia="仿宋_GB2312" w:cs="仿宋_GB2312"/>
          <w:kern w:val="2"/>
          <w:sz w:val="18"/>
          <w:szCs w:val="32"/>
          <w:lang w:val="en-US" w:eastAsia="zh-CN" w:bidi="ar-SA"/>
          <w:rPrChange w:id="13" w:author="QW Cao" w:date="2024-10-27T16:55:00Z">
            <w:rPr>
              <w:rFonts w:ascii="仿宋_GB2312" w:hAnsi="仿宋_GB2312" w:eastAsia="仿宋_GB2312" w:cs="仿宋_GB2312"/>
              <w:kern w:val="2"/>
              <w:sz w:val="18"/>
              <w:szCs w:val="32"/>
              <w:lang w:val="en-US" w:eastAsia="zh-CN" w:bidi="ar-SA"/>
              <w14:ligatures w14:val="standardContextual"/>
            </w:rPr>
          </w:rPrChange>
          <w14:ligatures w14:val="standardContextual"/>
        </w:rPr>
        <w:t xml:space="preserve"> </w:t>
      </w:r>
      <w:r>
        <w:rPr>
          <w:rFonts w:hint="eastAsia" w:ascii="仿宋_GB2312" w:hAnsi="仿宋_GB2312" w:eastAsia="仿宋_GB2312" w:cs="仿宋_GB2312"/>
          <w:kern w:val="2"/>
          <w:sz w:val="18"/>
          <w:szCs w:val="32"/>
          <w:lang w:val="en-US" w:eastAsia="zh-CN" w:bidi="ar-SA"/>
          <w:rPrChange w:id="14" w:author="QW Cao" w:date="2024-10-27T16:55:00Z">
            <w:rPr>
              <w:rFonts w:ascii="仿宋_GB2312" w:hAnsi="仿宋_GB2312" w:eastAsia="仿宋_GB2312" w:cs="仿宋_GB2312"/>
              <w:kern w:val="2"/>
              <w:sz w:val="18"/>
              <w:szCs w:val="32"/>
              <w:lang w:val="en-US" w:eastAsia="zh-CN" w:bidi="ar-SA"/>
              <w14:ligatures w14:val="standardContextual"/>
            </w:rPr>
          </w:rPrChange>
          <w14:ligatures w14:val="standardContextual"/>
        </w:rPr>
        <w:t>国际</w:t>
      </w:r>
      <w:r>
        <w:rPr>
          <w:rFonts w:hint="eastAsia"/>
          <w:color w:val="000000" w:themeColor="text1"/>
          <w:highlight w:val="none"/>
          <w14:textFill>
            <w14:solidFill>
              <w14:schemeClr w14:val="tx1"/>
            </w14:solidFill>
          </w14:textFill>
        </w:rPr>
        <w:t>山地运动打卡地、国际山地旅游目的地、京津冀微度假首选地</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W Cao">
    <w15:presenceInfo w15:providerId="None" w15:userId="QW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8"/>
    <w:footnote w:id="9"/>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mMjY2ZTM0ZGIwNWU0NDQ2MzgxMDc0YmRiM2U1ODUifQ=="/>
  </w:docVars>
  <w:rsids>
    <w:rsidRoot w:val="000D17B1"/>
    <w:rsid w:val="00001B0F"/>
    <w:rsid w:val="00003450"/>
    <w:rsid w:val="00007606"/>
    <w:rsid w:val="00010B04"/>
    <w:rsid w:val="00014308"/>
    <w:rsid w:val="00015D19"/>
    <w:rsid w:val="0003356E"/>
    <w:rsid w:val="00085697"/>
    <w:rsid w:val="000A4632"/>
    <w:rsid w:val="000C582C"/>
    <w:rsid w:val="000D0CCA"/>
    <w:rsid w:val="000D17B1"/>
    <w:rsid w:val="00134365"/>
    <w:rsid w:val="001509F7"/>
    <w:rsid w:val="00156AA4"/>
    <w:rsid w:val="00164155"/>
    <w:rsid w:val="00182C79"/>
    <w:rsid w:val="001A34F9"/>
    <w:rsid w:val="001B66D3"/>
    <w:rsid w:val="001C6D42"/>
    <w:rsid w:val="001E60D5"/>
    <w:rsid w:val="001F5298"/>
    <w:rsid w:val="00236480"/>
    <w:rsid w:val="00236D4D"/>
    <w:rsid w:val="00253229"/>
    <w:rsid w:val="00256746"/>
    <w:rsid w:val="00257C88"/>
    <w:rsid w:val="00260069"/>
    <w:rsid w:val="002658BA"/>
    <w:rsid w:val="00267374"/>
    <w:rsid w:val="00272764"/>
    <w:rsid w:val="00292165"/>
    <w:rsid w:val="002B1AFA"/>
    <w:rsid w:val="002B436D"/>
    <w:rsid w:val="002D5B57"/>
    <w:rsid w:val="0030460D"/>
    <w:rsid w:val="00354F23"/>
    <w:rsid w:val="003E06E5"/>
    <w:rsid w:val="003F0CF6"/>
    <w:rsid w:val="003F46C6"/>
    <w:rsid w:val="00401D40"/>
    <w:rsid w:val="00417B48"/>
    <w:rsid w:val="00427846"/>
    <w:rsid w:val="0043225E"/>
    <w:rsid w:val="004514CC"/>
    <w:rsid w:val="00486987"/>
    <w:rsid w:val="00492A16"/>
    <w:rsid w:val="004D146D"/>
    <w:rsid w:val="004D1C0E"/>
    <w:rsid w:val="00503A5C"/>
    <w:rsid w:val="00566DC4"/>
    <w:rsid w:val="00586F0B"/>
    <w:rsid w:val="00590C34"/>
    <w:rsid w:val="00595BE0"/>
    <w:rsid w:val="005B7572"/>
    <w:rsid w:val="005C4661"/>
    <w:rsid w:val="005F15A4"/>
    <w:rsid w:val="006220D5"/>
    <w:rsid w:val="00635669"/>
    <w:rsid w:val="00663593"/>
    <w:rsid w:val="00672ECB"/>
    <w:rsid w:val="00674300"/>
    <w:rsid w:val="006A055D"/>
    <w:rsid w:val="006A06E7"/>
    <w:rsid w:val="006B2467"/>
    <w:rsid w:val="006B2EEF"/>
    <w:rsid w:val="006B4E9E"/>
    <w:rsid w:val="006C65FC"/>
    <w:rsid w:val="00703441"/>
    <w:rsid w:val="00707C68"/>
    <w:rsid w:val="00747715"/>
    <w:rsid w:val="007675B5"/>
    <w:rsid w:val="007775C4"/>
    <w:rsid w:val="00784803"/>
    <w:rsid w:val="00784925"/>
    <w:rsid w:val="007A5D55"/>
    <w:rsid w:val="007C30FF"/>
    <w:rsid w:val="007F444F"/>
    <w:rsid w:val="00846084"/>
    <w:rsid w:val="00875670"/>
    <w:rsid w:val="008B65FC"/>
    <w:rsid w:val="008C0D5B"/>
    <w:rsid w:val="008F59BE"/>
    <w:rsid w:val="00910263"/>
    <w:rsid w:val="009253C3"/>
    <w:rsid w:val="009321F6"/>
    <w:rsid w:val="00933CFE"/>
    <w:rsid w:val="00951C9E"/>
    <w:rsid w:val="0095404A"/>
    <w:rsid w:val="00975897"/>
    <w:rsid w:val="009854FF"/>
    <w:rsid w:val="00A02A2C"/>
    <w:rsid w:val="00A21D39"/>
    <w:rsid w:val="00A32D32"/>
    <w:rsid w:val="00A465A8"/>
    <w:rsid w:val="00A66894"/>
    <w:rsid w:val="00A76F27"/>
    <w:rsid w:val="00A771C2"/>
    <w:rsid w:val="00A8115E"/>
    <w:rsid w:val="00AA7D6E"/>
    <w:rsid w:val="00AF708D"/>
    <w:rsid w:val="00B03D61"/>
    <w:rsid w:val="00B17AA0"/>
    <w:rsid w:val="00B31BF4"/>
    <w:rsid w:val="00B60635"/>
    <w:rsid w:val="00BD6B98"/>
    <w:rsid w:val="00C153C1"/>
    <w:rsid w:val="00C66183"/>
    <w:rsid w:val="00C66CD6"/>
    <w:rsid w:val="00CB2992"/>
    <w:rsid w:val="00CD0526"/>
    <w:rsid w:val="00CE018E"/>
    <w:rsid w:val="00CF779B"/>
    <w:rsid w:val="00D05578"/>
    <w:rsid w:val="00D64492"/>
    <w:rsid w:val="00D95029"/>
    <w:rsid w:val="00DF2E39"/>
    <w:rsid w:val="00DF6D59"/>
    <w:rsid w:val="00E10CF7"/>
    <w:rsid w:val="00E2446B"/>
    <w:rsid w:val="00E36B37"/>
    <w:rsid w:val="00E9756A"/>
    <w:rsid w:val="00EA05B0"/>
    <w:rsid w:val="00EA4261"/>
    <w:rsid w:val="00ED6639"/>
    <w:rsid w:val="00EE3D64"/>
    <w:rsid w:val="00EE5E76"/>
    <w:rsid w:val="00F10171"/>
    <w:rsid w:val="00F55D7B"/>
    <w:rsid w:val="00F937B9"/>
    <w:rsid w:val="00FB1508"/>
    <w:rsid w:val="00FB5E23"/>
    <w:rsid w:val="00FC5359"/>
    <w:rsid w:val="00FD1B01"/>
    <w:rsid w:val="00FF0C62"/>
    <w:rsid w:val="06FF7CB8"/>
    <w:rsid w:val="086A0535"/>
    <w:rsid w:val="0CCD6836"/>
    <w:rsid w:val="11F875C4"/>
    <w:rsid w:val="153B3D72"/>
    <w:rsid w:val="15475B57"/>
    <w:rsid w:val="167C265E"/>
    <w:rsid w:val="1BFF2131"/>
    <w:rsid w:val="22063A8D"/>
    <w:rsid w:val="24BD7A92"/>
    <w:rsid w:val="2606530C"/>
    <w:rsid w:val="26F139BF"/>
    <w:rsid w:val="281318C7"/>
    <w:rsid w:val="2AC61455"/>
    <w:rsid w:val="2BFFB9B4"/>
    <w:rsid w:val="2F9F4BA9"/>
    <w:rsid w:val="2FF7C683"/>
    <w:rsid w:val="31FEF693"/>
    <w:rsid w:val="35B80FCB"/>
    <w:rsid w:val="35FDE7CB"/>
    <w:rsid w:val="378B0784"/>
    <w:rsid w:val="37B556A9"/>
    <w:rsid w:val="37D9FBFE"/>
    <w:rsid w:val="38AF891E"/>
    <w:rsid w:val="3AFF3F5D"/>
    <w:rsid w:val="3DC006BB"/>
    <w:rsid w:val="3E002065"/>
    <w:rsid w:val="3E3BA5B6"/>
    <w:rsid w:val="3EDA77AD"/>
    <w:rsid w:val="3F4950AE"/>
    <w:rsid w:val="3F5F5CAB"/>
    <w:rsid w:val="3F7AC341"/>
    <w:rsid w:val="3FCC7544"/>
    <w:rsid w:val="3FD7E4A0"/>
    <w:rsid w:val="3FEB700B"/>
    <w:rsid w:val="3FFEF1B7"/>
    <w:rsid w:val="401E055B"/>
    <w:rsid w:val="40736F4F"/>
    <w:rsid w:val="40845F7D"/>
    <w:rsid w:val="40D51561"/>
    <w:rsid w:val="432108BB"/>
    <w:rsid w:val="440B5806"/>
    <w:rsid w:val="462B3A28"/>
    <w:rsid w:val="4AC5214F"/>
    <w:rsid w:val="4B2F60E9"/>
    <w:rsid w:val="4BA67734"/>
    <w:rsid w:val="4D4340CB"/>
    <w:rsid w:val="4F523606"/>
    <w:rsid w:val="4FFF57C0"/>
    <w:rsid w:val="53EDDB92"/>
    <w:rsid w:val="550C1B55"/>
    <w:rsid w:val="55F5301B"/>
    <w:rsid w:val="572FFDD3"/>
    <w:rsid w:val="57EF0BAD"/>
    <w:rsid w:val="597B05C1"/>
    <w:rsid w:val="598DB7C9"/>
    <w:rsid w:val="59F0F152"/>
    <w:rsid w:val="5ACDAAAB"/>
    <w:rsid w:val="5AEA2B03"/>
    <w:rsid w:val="5BF522A9"/>
    <w:rsid w:val="5DF957A8"/>
    <w:rsid w:val="5F9392BA"/>
    <w:rsid w:val="5F9A6D9C"/>
    <w:rsid w:val="5FAFC980"/>
    <w:rsid w:val="5FFF11E8"/>
    <w:rsid w:val="5FFFD16B"/>
    <w:rsid w:val="64D37A14"/>
    <w:rsid w:val="65AF3134"/>
    <w:rsid w:val="67A15EDC"/>
    <w:rsid w:val="67FE129E"/>
    <w:rsid w:val="6A670E80"/>
    <w:rsid w:val="6B1B8486"/>
    <w:rsid w:val="6C670B54"/>
    <w:rsid w:val="6E4A0EC2"/>
    <w:rsid w:val="6FBF4DA4"/>
    <w:rsid w:val="6FEFC2FB"/>
    <w:rsid w:val="6FFEF643"/>
    <w:rsid w:val="71191F99"/>
    <w:rsid w:val="72717CD1"/>
    <w:rsid w:val="73944C37"/>
    <w:rsid w:val="73F7F636"/>
    <w:rsid w:val="74FEA830"/>
    <w:rsid w:val="757FADEF"/>
    <w:rsid w:val="76D63066"/>
    <w:rsid w:val="777BDD2A"/>
    <w:rsid w:val="77C582D4"/>
    <w:rsid w:val="77DECCBC"/>
    <w:rsid w:val="77FBE553"/>
    <w:rsid w:val="78EB163D"/>
    <w:rsid w:val="78FDB064"/>
    <w:rsid w:val="7A1FCD20"/>
    <w:rsid w:val="7AB77291"/>
    <w:rsid w:val="7B1FEA30"/>
    <w:rsid w:val="7BD2F3AE"/>
    <w:rsid w:val="7BDFD9C3"/>
    <w:rsid w:val="7BF97ACF"/>
    <w:rsid w:val="7BFF7619"/>
    <w:rsid w:val="7C44353E"/>
    <w:rsid w:val="7C444ED1"/>
    <w:rsid w:val="7D6B4873"/>
    <w:rsid w:val="7D761FA8"/>
    <w:rsid w:val="7DD76A8A"/>
    <w:rsid w:val="7DFBF5E4"/>
    <w:rsid w:val="7EB506BC"/>
    <w:rsid w:val="7EB759D6"/>
    <w:rsid w:val="7EBF5B00"/>
    <w:rsid w:val="7EDFFD34"/>
    <w:rsid w:val="7EFE16D7"/>
    <w:rsid w:val="7F2F4440"/>
    <w:rsid w:val="7F692F2F"/>
    <w:rsid w:val="7F7FEBBB"/>
    <w:rsid w:val="7FC7126C"/>
    <w:rsid w:val="7FC7499F"/>
    <w:rsid w:val="7FD30B12"/>
    <w:rsid w:val="7FDF9F7D"/>
    <w:rsid w:val="7FF39E48"/>
    <w:rsid w:val="7FFB0D3E"/>
    <w:rsid w:val="7FFF649F"/>
    <w:rsid w:val="8BFFDA18"/>
    <w:rsid w:val="9D6725A2"/>
    <w:rsid w:val="9EFE96B7"/>
    <w:rsid w:val="BE2BF13E"/>
    <w:rsid w:val="BF3FB988"/>
    <w:rsid w:val="BF7748BF"/>
    <w:rsid w:val="BFFA2C56"/>
    <w:rsid w:val="BFFAD782"/>
    <w:rsid w:val="C6F7DC13"/>
    <w:rsid w:val="CD3F67DC"/>
    <w:rsid w:val="D3ED9B2D"/>
    <w:rsid w:val="D7EFAC53"/>
    <w:rsid w:val="D960DA30"/>
    <w:rsid w:val="DAF64DA1"/>
    <w:rsid w:val="DBFF0354"/>
    <w:rsid w:val="DEB241FC"/>
    <w:rsid w:val="DEFBC28F"/>
    <w:rsid w:val="E7F0D327"/>
    <w:rsid w:val="EBFC0CFD"/>
    <w:rsid w:val="EC5C815A"/>
    <w:rsid w:val="ECFF899E"/>
    <w:rsid w:val="ED6B1D54"/>
    <w:rsid w:val="EDEF4C50"/>
    <w:rsid w:val="EF7FC5CB"/>
    <w:rsid w:val="EF9F3BFD"/>
    <w:rsid w:val="EFFFFE16"/>
    <w:rsid w:val="F07F7BE8"/>
    <w:rsid w:val="F33EA7FC"/>
    <w:rsid w:val="F437356C"/>
    <w:rsid w:val="F4FEFDE6"/>
    <w:rsid w:val="F5DC39A8"/>
    <w:rsid w:val="F7FF3E85"/>
    <w:rsid w:val="F96FDB72"/>
    <w:rsid w:val="F9F74A28"/>
    <w:rsid w:val="FA8C5F7A"/>
    <w:rsid w:val="FAE51F0B"/>
    <w:rsid w:val="FB9F61A9"/>
    <w:rsid w:val="FBCB8078"/>
    <w:rsid w:val="FBF31091"/>
    <w:rsid w:val="FCFD9728"/>
    <w:rsid w:val="FD3F736C"/>
    <w:rsid w:val="FD4F4E16"/>
    <w:rsid w:val="FD7FA360"/>
    <w:rsid w:val="FDCF410D"/>
    <w:rsid w:val="FEAF69C6"/>
    <w:rsid w:val="FEF9A0E1"/>
    <w:rsid w:val="FF3F26BB"/>
    <w:rsid w:val="FF645CB4"/>
    <w:rsid w:val="FF6770C3"/>
    <w:rsid w:val="FF7EF68C"/>
    <w:rsid w:val="FFBBED47"/>
    <w:rsid w:val="FFCA7F16"/>
    <w:rsid w:val="FFCF3FE4"/>
    <w:rsid w:val="FFEE96A3"/>
    <w:rsid w:val="FFF9F3C1"/>
    <w:rsid w:val="FFFE36FC"/>
    <w:rsid w:val="FFFF06BE"/>
    <w:rsid w:val="FFFFA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仿宋_GB2312"/>
      <w:kern w:val="2"/>
      <w:sz w:val="32"/>
      <w:szCs w:val="32"/>
      <w:lang w:val="en-US" w:eastAsia="zh-CN" w:bidi="ar-SA"/>
      <w14:ligatures w14:val="standardContextual"/>
    </w:rPr>
  </w:style>
  <w:style w:type="paragraph" w:styleId="4">
    <w:name w:val="heading 1"/>
    <w:basedOn w:val="1"/>
    <w:next w:val="1"/>
    <w:link w:val="24"/>
    <w:qFormat/>
    <w:uiPriority w:val="9"/>
    <w:pPr>
      <w:outlineLvl w:val="0"/>
    </w:pPr>
    <w:rPr>
      <w:rFonts w:ascii="黑体" w:hAnsi="黑体" w:eastAsia="黑体"/>
      <w:szCs w:val="36"/>
    </w:rPr>
  </w:style>
  <w:style w:type="paragraph" w:styleId="5">
    <w:name w:val="heading 2"/>
    <w:basedOn w:val="1"/>
    <w:next w:val="1"/>
    <w:link w:val="25"/>
    <w:unhideWhenUsed/>
    <w:qFormat/>
    <w:uiPriority w:val="9"/>
    <w:pPr>
      <w:outlineLvl w:val="1"/>
    </w:pPr>
    <w:rPr>
      <w:rFonts w:ascii="楷体" w:hAnsi="楷体" w:eastAsia="楷体"/>
      <w:szCs w:val="36"/>
    </w:rPr>
  </w:style>
  <w:style w:type="paragraph" w:styleId="6">
    <w:name w:val="heading 3"/>
    <w:basedOn w:val="1"/>
    <w:next w:val="1"/>
    <w:link w:val="26"/>
    <w:unhideWhenUsed/>
    <w:qFormat/>
    <w:uiPriority w:val="9"/>
    <w:pPr>
      <w:ind w:firstLine="707" w:firstLineChars="220"/>
      <w:outlineLvl w:val="2"/>
    </w:pPr>
    <w:rPr>
      <w:rFonts w:ascii="仿宋" w:hAnsi="仿宋" w:eastAsia="仿宋"/>
      <w:b/>
      <w:bCs/>
      <w:szCs w:val="36"/>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7">
    <w:name w:val="Normal Indent"/>
    <w:basedOn w:val="1"/>
    <w:next w:val="1"/>
    <w:qFormat/>
    <w:uiPriority w:val="0"/>
    <w:pPr>
      <w:suppressAutoHyphens/>
      <w:ind w:firstLine="420"/>
    </w:pPr>
    <w:rPr>
      <w:rFonts w:eastAsia="宋体" w:cs="Times New Roman"/>
      <w:szCs w:val="20"/>
    </w:rPr>
  </w:style>
  <w:style w:type="paragraph" w:styleId="8">
    <w:name w:val="annotation text"/>
    <w:basedOn w:val="1"/>
    <w:link w:val="38"/>
    <w:qFormat/>
    <w:uiPriority w:val="0"/>
    <w:pPr>
      <w:jc w:val="left"/>
    </w:pPr>
  </w:style>
  <w:style w:type="paragraph" w:styleId="9">
    <w:name w:val="toc 3"/>
    <w:basedOn w:val="1"/>
    <w:next w:val="1"/>
    <w:unhideWhenUsed/>
    <w:qFormat/>
    <w:uiPriority w:val="39"/>
    <w:pPr>
      <w:ind w:left="400" w:leftChars="400" w:firstLine="200"/>
      <w:pPrChange w:id="0" w:author="QW Cao" w:date="2024-10-27T17:20:00Z">
        <w:pPr>
          <w:widowControl w:val="0"/>
          <w:spacing w:line="560" w:lineRule="exact"/>
          <w:ind w:left="840" w:leftChars="400" w:firstLine="640" w:firstLineChars="200"/>
          <w:jc w:val="both"/>
        </w:pPr>
      </w:pPrChange>
    </w:pPr>
    <w:rPr>
      <w:rPrChange w:id="1" w:author="QW Cao" w:date="2024-10-27T17:20:00Z">
        <w:rPr>
          <w:rFonts w:ascii="仿宋_GB2312" w:hAnsi="仿宋_GB2312" w:eastAsia="仿宋_GB2312" w:cs="仿宋_GB2312"/>
          <w:kern w:val="2"/>
          <w:sz w:val="32"/>
          <w:szCs w:val="32"/>
          <w:lang w:val="en-US" w:eastAsia="zh-CN" w:bidi="ar-SA"/>
          <w14:ligatures w14:val="standardContextual"/>
        </w:rPr>
      </w:rPrChange>
    </w:rPr>
  </w:style>
  <w:style w:type="paragraph" w:styleId="10">
    <w:name w:val="Balloon Text"/>
    <w:basedOn w:val="1"/>
    <w:link w:val="33"/>
    <w:semiHidden/>
    <w:unhideWhenUsed/>
    <w:qFormat/>
    <w:uiPriority w:val="99"/>
    <w:rPr>
      <w:sz w:val="18"/>
      <w:szCs w:val="18"/>
    </w:rPr>
  </w:style>
  <w:style w:type="paragraph" w:styleId="11">
    <w:name w:val="footer"/>
    <w:basedOn w:val="1"/>
    <w:link w:val="32"/>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ind w:firstLine="0" w:firstLineChars="0"/>
      <w:pPrChange w:id="2" w:author="QW Cao" w:date="2024-10-27T17:19:00Z">
        <w:pPr>
          <w:widowControl w:val="0"/>
          <w:spacing w:line="560" w:lineRule="exact"/>
          <w:ind w:firstLine="640" w:firstLineChars="200"/>
          <w:jc w:val="both"/>
        </w:pPr>
      </w:pPrChange>
    </w:pPr>
    <w:rPr>
      <w:rFonts w:eastAsia="黑体"/>
      <w:rPrChange w:id="3" w:author="QW Cao" w:date="2024-10-27T17:19:00Z">
        <w:rPr>
          <w:rFonts w:ascii="仿宋_GB2312" w:hAnsi="仿宋_GB2312" w:eastAsia="黑体" w:cs="仿宋_GB2312"/>
          <w:kern w:val="2"/>
          <w:sz w:val="32"/>
          <w:szCs w:val="32"/>
          <w:lang w:val="en-US" w:eastAsia="zh-CN" w:bidi="ar-SA"/>
          <w14:ligatures w14:val="standardContextual"/>
        </w:rPr>
      </w:rPrChange>
    </w:rPr>
  </w:style>
  <w:style w:type="paragraph" w:styleId="14">
    <w:name w:val="footnote text"/>
    <w:basedOn w:val="1"/>
    <w:unhideWhenUsed/>
    <w:qFormat/>
    <w:uiPriority w:val="99"/>
    <w:pPr>
      <w:snapToGrid w:val="0"/>
      <w:spacing w:line="240" w:lineRule="auto"/>
      <w:ind w:firstLine="200"/>
      <w:jc w:val="left"/>
      <w:pPrChange w:id="4" w:author="QW Cao" w:date="2024-10-27T16:55:00Z">
        <w:pPr>
          <w:widowControl w:val="0"/>
          <w:snapToGrid w:val="0"/>
          <w:spacing w:line="560" w:lineRule="exact"/>
          <w:ind w:firstLine="640" w:firstLineChars="200"/>
        </w:pPr>
      </w:pPrChange>
    </w:pPr>
    <w:rPr>
      <w:sz w:val="18"/>
      <w:rPrChange w:id="5" w:author="QW Cao" w:date="2024-10-27T16:55:00Z">
        <w:rPr>
          <w:rFonts w:ascii="仿宋_GB2312" w:hAnsi="仿宋_GB2312" w:eastAsia="仿宋_GB2312" w:cs="仿宋_GB2312"/>
          <w:kern w:val="2"/>
          <w:sz w:val="18"/>
          <w:szCs w:val="32"/>
          <w:lang w:val="en-US" w:eastAsia="zh-CN" w:bidi="ar-SA"/>
          <w14:ligatures w14:val="standardContextual"/>
        </w:rPr>
      </w:rPrChange>
    </w:rPr>
  </w:style>
  <w:style w:type="paragraph" w:styleId="15">
    <w:name w:val="toc 2"/>
    <w:basedOn w:val="1"/>
    <w:next w:val="1"/>
    <w:unhideWhenUsed/>
    <w:qFormat/>
    <w:uiPriority w:val="39"/>
    <w:pPr>
      <w:ind w:left="200" w:leftChars="200" w:firstLine="200"/>
      <w:pPrChange w:id="6" w:author="QW Cao" w:date="2024-10-27T17:19:00Z">
        <w:pPr>
          <w:widowControl w:val="0"/>
          <w:spacing w:line="560" w:lineRule="exact"/>
          <w:ind w:left="420" w:leftChars="200" w:firstLine="640" w:firstLineChars="200"/>
          <w:jc w:val="both"/>
        </w:pPr>
      </w:pPrChange>
    </w:pPr>
    <w:rPr>
      <w:rFonts w:eastAsia="楷体_GB2312"/>
      <w:rPrChange w:id="7" w:author="QW Cao" w:date="2024-10-27T17:19:00Z">
        <w:rPr>
          <w:rFonts w:ascii="仿宋_GB2312" w:hAnsi="仿宋_GB2312" w:eastAsia="楷体_GB2312" w:cs="仿宋_GB2312"/>
          <w:kern w:val="2"/>
          <w:sz w:val="32"/>
          <w:szCs w:val="32"/>
          <w:lang w:val="en-US" w:eastAsia="zh-CN" w:bidi="ar-SA"/>
          <w14:ligatures w14:val="standardContextual"/>
        </w:rPr>
      </w:rPrChange>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Title"/>
    <w:basedOn w:val="1"/>
    <w:qFormat/>
    <w:uiPriority w:val="0"/>
    <w:pPr>
      <w:spacing w:before="240" w:after="60"/>
      <w:jc w:val="center"/>
      <w:outlineLvl w:val="0"/>
    </w:pPr>
    <w:rPr>
      <w:rFonts w:ascii="Arial" w:hAnsi="Arial"/>
      <w:b/>
    </w:rPr>
  </w:style>
  <w:style w:type="paragraph" w:styleId="18">
    <w:name w:val="annotation subject"/>
    <w:basedOn w:val="8"/>
    <w:next w:val="8"/>
    <w:link w:val="39"/>
    <w:semiHidden/>
    <w:unhideWhenUsed/>
    <w:qFormat/>
    <w:uiPriority w:val="99"/>
    <w:rPr>
      <w:b/>
      <w:bCs/>
    </w:rPr>
  </w:style>
  <w:style w:type="character" w:styleId="21">
    <w:name w:val="Hyperlink"/>
    <w:basedOn w:val="20"/>
    <w:unhideWhenUsed/>
    <w:qFormat/>
    <w:uiPriority w:val="99"/>
    <w:rPr>
      <w:color w:val="467886"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styleId="23">
    <w:name w:val="footnote reference"/>
    <w:basedOn w:val="20"/>
    <w:semiHidden/>
    <w:unhideWhenUsed/>
    <w:qFormat/>
    <w:uiPriority w:val="99"/>
    <w:rPr>
      <w:vertAlign w:val="superscript"/>
    </w:rPr>
  </w:style>
  <w:style w:type="character" w:customStyle="1" w:styleId="24">
    <w:name w:val="标题 1 字符"/>
    <w:basedOn w:val="20"/>
    <w:link w:val="4"/>
    <w:qFormat/>
    <w:uiPriority w:val="9"/>
    <w:rPr>
      <w:rFonts w:ascii="黑体" w:hAnsi="黑体" w:eastAsia="黑体"/>
      <w:sz w:val="32"/>
      <w:szCs w:val="36"/>
    </w:rPr>
  </w:style>
  <w:style w:type="character" w:customStyle="1" w:styleId="25">
    <w:name w:val="标题 2 字符"/>
    <w:basedOn w:val="20"/>
    <w:link w:val="5"/>
    <w:qFormat/>
    <w:uiPriority w:val="9"/>
    <w:rPr>
      <w:rFonts w:ascii="楷体" w:hAnsi="楷体" w:eastAsia="楷体"/>
      <w:sz w:val="32"/>
      <w:szCs w:val="36"/>
    </w:rPr>
  </w:style>
  <w:style w:type="character" w:customStyle="1" w:styleId="26">
    <w:name w:val="标题 3 字符"/>
    <w:basedOn w:val="20"/>
    <w:link w:val="6"/>
    <w:qFormat/>
    <w:uiPriority w:val="9"/>
    <w:rPr>
      <w:rFonts w:ascii="仿宋" w:hAnsi="仿宋" w:eastAsia="仿宋"/>
      <w:b/>
      <w:bCs/>
      <w:sz w:val="32"/>
      <w:szCs w:val="36"/>
    </w:rPr>
  </w:style>
  <w:style w:type="character" w:customStyle="1" w:styleId="27">
    <w:name w:val="规划正文1"/>
    <w:qFormat/>
    <w:uiPriority w:val="99"/>
    <w:rPr>
      <w:rFonts w:ascii="Times New Roman" w:hAnsi="Times New Roman" w:eastAsia="仿宋_GB2312"/>
      <w:color w:val="000000"/>
      <w:sz w:val="32"/>
    </w:rPr>
  </w:style>
  <w:style w:type="paragraph" w:styleId="28">
    <w:name w:val="List Paragraph"/>
    <w:basedOn w:val="1"/>
    <w:qFormat/>
    <w:uiPriority w:val="34"/>
    <w:pPr>
      <w:ind w:firstLine="420"/>
    </w:pPr>
    <w:rPr>
      <w:rFonts w:ascii="Times New Roman" w:hAnsi="Times New Roman" w:eastAsia="宋体" w:cs="Times New Roman"/>
      <w:szCs w:val="24"/>
    </w:rPr>
  </w:style>
  <w:style w:type="paragraph" w:customStyle="1" w:styleId="29">
    <w:name w:val="段落"/>
    <w:basedOn w:val="1"/>
    <w:link w:val="30"/>
    <w:qFormat/>
    <w:uiPriority w:val="0"/>
    <w:pPr>
      <w:tabs>
        <w:tab w:val="left" w:pos="4725"/>
      </w:tabs>
      <w:autoSpaceDE w:val="0"/>
      <w:autoSpaceDN w:val="0"/>
      <w:adjustRightInd w:val="0"/>
      <w:snapToGrid w:val="0"/>
    </w:pPr>
    <w:rPr>
      <w:rFonts w:hAnsi="宋体" w:cs="Times New Roman"/>
      <w:kern w:val="0"/>
      <w:szCs w:val="20"/>
    </w:rPr>
  </w:style>
  <w:style w:type="character" w:customStyle="1" w:styleId="30">
    <w:name w:val="段落 Char"/>
    <w:link w:val="29"/>
    <w:qFormat/>
    <w:locked/>
    <w:uiPriority w:val="0"/>
    <w:rPr>
      <w:rFonts w:ascii="仿宋_GB2312" w:hAnsi="宋体" w:eastAsia="仿宋_GB2312" w:cs="Times New Roman"/>
      <w:kern w:val="0"/>
      <w:sz w:val="32"/>
      <w:szCs w:val="20"/>
    </w:rPr>
  </w:style>
  <w:style w:type="character" w:customStyle="1" w:styleId="31">
    <w:name w:val="页眉 字符"/>
    <w:basedOn w:val="20"/>
    <w:link w:val="12"/>
    <w:qFormat/>
    <w:uiPriority w:val="99"/>
    <w:rPr>
      <w:sz w:val="18"/>
      <w:szCs w:val="18"/>
    </w:rPr>
  </w:style>
  <w:style w:type="character" w:customStyle="1" w:styleId="32">
    <w:name w:val="页脚 字符"/>
    <w:basedOn w:val="20"/>
    <w:link w:val="11"/>
    <w:qFormat/>
    <w:uiPriority w:val="99"/>
    <w:rPr>
      <w:sz w:val="18"/>
      <w:szCs w:val="18"/>
    </w:rPr>
  </w:style>
  <w:style w:type="character" w:customStyle="1" w:styleId="33">
    <w:name w:val="批注框文本 字符"/>
    <w:basedOn w:val="20"/>
    <w:link w:val="10"/>
    <w:semiHidden/>
    <w:qFormat/>
    <w:uiPriority w:val="99"/>
    <w:rPr>
      <w:sz w:val="18"/>
      <w:szCs w:val="18"/>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7">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38">
    <w:name w:val="批注文字 字符"/>
    <w:basedOn w:val="20"/>
    <w:link w:val="8"/>
    <w:qFormat/>
    <w:uiPriority w:val="0"/>
    <w:rPr>
      <w:rFonts w:asciiTheme="minorHAnsi" w:hAnsiTheme="minorHAnsi" w:eastAsiaTheme="minorEastAsia" w:cstheme="minorBidi"/>
      <w:kern w:val="2"/>
      <w:sz w:val="21"/>
      <w:szCs w:val="22"/>
      <w14:ligatures w14:val="standardContextual"/>
    </w:rPr>
  </w:style>
  <w:style w:type="character" w:customStyle="1" w:styleId="39">
    <w:name w:val="批注主题 字符"/>
    <w:basedOn w:val="38"/>
    <w:link w:val="18"/>
    <w:semiHidden/>
    <w:qFormat/>
    <w:uiPriority w:val="99"/>
    <w:rPr>
      <w:rFonts w:asciiTheme="minorHAnsi" w:hAnsiTheme="minorHAnsi" w:eastAsiaTheme="minorEastAsia" w:cstheme="minorBidi"/>
      <w:b/>
      <w:bCs/>
      <w:kern w:val="2"/>
      <w:sz w:val="21"/>
      <w:szCs w:val="22"/>
      <w14:ligatures w14:val="standardContextual"/>
    </w:rPr>
  </w:style>
  <w:style w:type="character" w:customStyle="1" w:styleId="40">
    <w:name w:val="Unresolved Mention"/>
    <w:basedOn w:val="20"/>
    <w:semiHidden/>
    <w:unhideWhenUsed/>
    <w:qFormat/>
    <w:uiPriority w:val="99"/>
    <w:rPr>
      <w:color w:val="605E5C"/>
      <w:shd w:val="clear" w:color="auto" w:fill="E1DFDD"/>
    </w:rPr>
  </w:style>
  <w:style w:type="paragraph" w:customStyle="1" w:styleId="41">
    <w:name w:val="TOC Heading"/>
    <w:basedOn w:val="4"/>
    <w:next w:val="1"/>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color w:val="104862" w:themeColor="accent1" w:themeShade="BF"/>
      <w:kern w:val="0"/>
      <w:szCs w:val="32"/>
      <w14:ligatures w14: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4640</Words>
  <Characters>4710</Characters>
  <Lines>88</Lines>
  <Paragraphs>24</Paragraphs>
  <TotalTime>36</TotalTime>
  <ScaleCrop>false</ScaleCrop>
  <LinksUpToDate>false</LinksUpToDate>
  <CharactersWithSpaces>4714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2024-10-27T17:26:00Z</dcterms:created>
  <dc:creator>Xueyan4</dc:creator>
  <cp:lastModifiedBy>游心</cp:lastModifiedBy>
  <cp:lastPrinted>2024-10-23T17:35:00Z</cp:lastPrinted>
  <dcterms:modified xsi:type="dcterms:W3CDTF">2025-03-14T09:53:09Z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C45E4778CEE045938373B6F8369B5130_13</vt:lpwstr>
  </property>
  <property fmtid="{D5CDD505-2E9C-101B-9397-08002B2CF9AE}" pid="4" name="KSOTemplateDocerSaveRecord">
    <vt:lpwstr>eyJoZGlkIjoiNGI4MDBlMGJiMmQwOTQ4OWUwNTQ0MDU1NTE1MDAwMjAiLCJ1c2VySWQiOiI1MjE0ODI0MzAifQ==</vt:lpwstr>
  </property>
</Properties>
</file>