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怀柔区促进科技成果转化推动创新高质量发展的若干措施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为贯彻落实《中华人民共和国促进科技成果转化法》《北京市促进科技成果转化条例》《北京国际科技创新中心建设条例》，</w:t>
      </w:r>
      <w:r>
        <w:rPr>
          <w:rFonts w:hint="eastAsia" w:hAnsi="Calibri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围绕推进北京国际科技创新中心建设，依托怀柔科学城国家重大科技基础设施集群，推动怀柔区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打造科技成果转化示范区，加快构建与基础研究相适应、以实体经济为支撑的现代化产业体系，</w:t>
      </w:r>
      <w:r>
        <w:rPr>
          <w:rFonts w:hint="eastAsia" w:hAnsi="Calibri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促进怀柔区创新高质量发展，根据《怀柔区促进区域经济高质量发展指导意见》（怀政发〔2024〕16号）结合实际，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第一章</w:t>
      </w: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科技研发类项目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 w:firstLineChars="200"/>
        <w:jc w:val="left"/>
        <w:textAlignment w:val="auto"/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highlight w:val="yellow"/>
          <w:u w:val="none" w:color="000000"/>
          <w:vertAlign w:val="baseline"/>
          <w:lang w:val="en-US" w:eastAsia="zh-CN" w:bidi="ar"/>
        </w:rPr>
      </w:pPr>
      <w:r>
        <w:rPr>
          <w:rFonts w:hint="eastAsia" w:ascii="宋体"/>
          <w:b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第一条 </w:t>
      </w:r>
      <w:r>
        <w:rPr>
          <w:rFonts w:hint="eastAsia" w:ascii="CESI仿宋-GB2312" w:hAnsi="CESI仿宋-GB2312" w:eastAsia="CESI仿宋-GB2312" w:cs="CESI仿宋-GB2312"/>
          <w:b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支持“揭榜挂帅”科技攻关。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聚焦高端科学仪器和传感器、新能源新材料、生命健康等重点产业领域，支持开展科技创新研究项目。采取“揭榜挂帅”方式，按照不超过签订合同实际成交额的50%，给予最高不超过100万元。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第二章</w:t>
      </w: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科技成果转化类项目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</w:pPr>
      <w:r>
        <w:rPr>
          <w:rFonts w:hint="eastAsia"/>
          <w:b/>
          <w:bCs/>
          <w:lang w:eastAsia="zh-CN"/>
        </w:rPr>
        <w:t>第二条</w:t>
      </w:r>
      <w:r>
        <w:rPr>
          <w:rFonts w:hint="eastAsia"/>
          <w:b/>
          <w:bCs/>
          <w:lang w:val="en-US" w:eastAsia="zh-CN"/>
        </w:rPr>
        <w:t xml:space="preserve"> 支持自主开展科技成果转化。</w:t>
      </w:r>
      <w:r>
        <w:rPr>
          <w:rFonts w:hint="eastAsia" w:hAnsi="Calibri" w:cs="仿宋_GB2312"/>
          <w:color w:val="000000"/>
          <w:szCs w:val="32"/>
          <w:u w:color="000000"/>
          <w:lang w:eastAsia="zh-CN" w:bidi="ar"/>
        </w:rPr>
        <w:t>鼓励科研团队成立硬科技初创型实体企业开展科技成果转化。按照上一年度研发投入的50%给予</w:t>
      </w:r>
      <w:r>
        <w:rPr>
          <w:rFonts w:hint="eastAsia" w:cs="仿宋_GB2312"/>
          <w:color w:val="000000"/>
          <w:szCs w:val="32"/>
          <w:u w:color="000000"/>
          <w:lang w:eastAsia="zh-CN" w:bidi="ar"/>
        </w:rPr>
        <w:t>资金</w:t>
      </w:r>
      <w:r>
        <w:rPr>
          <w:rFonts w:hint="eastAsia" w:hAnsi="Calibri" w:cs="仿宋_GB2312"/>
          <w:color w:val="000000"/>
          <w:szCs w:val="32"/>
          <w:u w:color="000000"/>
          <w:lang w:eastAsia="zh-CN" w:bidi="ar"/>
        </w:rPr>
        <w:t>支持，最高不超过</w:t>
      </w:r>
      <w:r>
        <w:rPr>
          <w:rFonts w:hint="eastAsia" w:cs="仿宋_GB2312"/>
          <w:color w:val="000000"/>
          <w:szCs w:val="32"/>
          <w:u w:color="000000"/>
          <w:lang w:val="en-US" w:eastAsia="zh-CN" w:bidi="ar"/>
        </w:rPr>
        <w:t>5</w:t>
      </w:r>
      <w:r>
        <w:rPr>
          <w:rFonts w:hint="eastAsia" w:hAnsi="Calibri" w:cs="仿宋_GB2312"/>
          <w:color w:val="000000"/>
          <w:szCs w:val="32"/>
          <w:u w:color="000000"/>
          <w:lang w:eastAsia="zh-CN" w:bidi="ar"/>
        </w:rPr>
        <w:t>0万元。</w:t>
      </w:r>
    </w:p>
    <w:p>
      <w:pPr>
        <w:spacing w:line="560" w:lineRule="exact"/>
        <w:ind w:firstLine="640"/>
        <w:textAlignment w:val="baseline"/>
        <w:outlineLvl w:val="9"/>
        <w:rPr>
          <w:rFonts w:hint="eastAsia"/>
          <w:lang w:eastAsia="zh-CN"/>
        </w:rPr>
      </w:pPr>
      <w:r>
        <w:rPr>
          <w:rFonts w:hint="eastAsia" w:ascii="宋体"/>
          <w:b/>
          <w:bCs/>
          <w:color w:val="auto"/>
          <w:highlight w:val="none"/>
          <w:lang w:val="en-US" w:eastAsia="zh-CN"/>
        </w:rPr>
        <w:t>第三条 支持技术经理人发展。</w:t>
      </w:r>
      <w:r>
        <w:rPr>
          <w:rFonts w:hint="eastAsia" w:ascii="宋体"/>
          <w:b w:val="0"/>
          <w:bCs w:val="0"/>
          <w:color w:val="auto"/>
          <w:highlight w:val="none"/>
          <w:lang w:val="en-US" w:eastAsia="zh-CN"/>
        </w:rPr>
        <w:t>支持优秀技术经理人开展技术对接工作，按照促成服务对象实现技术交易额的2%通过技术经理人所在机构给予技术经理人支持，单个项目最高不超过10万元，最高不超过50万元。特别优秀的技术经理人可推荐享受区域人才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第三章</w:t>
      </w: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 服务</w:t>
      </w:r>
      <w:r>
        <w:rPr>
          <w:rFonts w:hint="eastAsia" w:ascii="黑体" w:hAnsi="黑体" w:eastAsia="黑体" w:cs="黑体"/>
          <w:highlight w:val="none"/>
          <w:lang w:eastAsia="zh-CN"/>
        </w:rPr>
        <w:t>平台建设类项目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 w:ascii="宋体"/>
          <w:b/>
          <w:bCs/>
          <w:color w:val="auto"/>
          <w:highlight w:val="none"/>
          <w:lang w:val="en-US" w:eastAsia="zh-CN"/>
        </w:rPr>
        <w:t>第</w:t>
      </w:r>
      <w:r>
        <w:rPr>
          <w:rFonts w:hint="eastAsia"/>
          <w:b/>
          <w:bCs/>
          <w:color w:val="auto"/>
          <w:highlight w:val="none"/>
          <w:lang w:val="en-US" w:eastAsia="zh-CN"/>
        </w:rPr>
        <w:t>四</w:t>
      </w:r>
      <w:r>
        <w:rPr>
          <w:rFonts w:hint="eastAsia" w:ascii="宋体"/>
          <w:b/>
          <w:bCs/>
          <w:color w:val="auto"/>
          <w:highlight w:val="none"/>
          <w:lang w:val="en-US" w:eastAsia="zh-CN"/>
        </w:rPr>
        <w:t>条 打造专业化孵化服务平台体系。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支持</w:t>
      </w:r>
      <w:r>
        <w:rPr>
          <w:rFonts w:hint="eastAsia" w:ascii="宋体"/>
          <w:b w:val="0"/>
          <w:bCs w:val="0"/>
          <w:color w:val="auto"/>
          <w:highlight w:val="none"/>
          <w:lang w:val="en-US" w:eastAsia="zh-CN"/>
        </w:rPr>
        <w:t>企业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申报</w:t>
      </w:r>
      <w:r>
        <w:rPr>
          <w:rFonts w:hint="eastAsia" w:ascii="宋体"/>
          <w:b w:val="0"/>
          <w:bCs w:val="0"/>
          <w:color w:val="auto"/>
          <w:highlight w:val="none"/>
          <w:lang w:val="en-US" w:eastAsia="zh-CN"/>
        </w:rPr>
        <w:t>国家级、市级、区级科技企业孵化器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认定</w:t>
      </w:r>
      <w:r>
        <w:rPr>
          <w:rFonts w:hint="eastAsia" w:ascii="宋体"/>
          <w:b w:val="0"/>
          <w:bCs w:val="0"/>
          <w:color w:val="auto"/>
          <w:highlight w:val="none"/>
          <w:lang w:val="en-US" w:eastAsia="zh-CN"/>
        </w:rPr>
        <w:t>，分别给予一次性300万元、100万元、50万元资金支持。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rPr>
          <w:rFonts w:hint="eastAsia"/>
          <w:b/>
          <w:bCs/>
          <w:color w:val="auto"/>
          <w:highlight w:val="none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第五条 支持科技成果转化平台建设。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支持企事业单位建设概念验证平台、共性技术平台、工程研究中心、产业技术研究院等科技成果转化平台，经评审，给予最高不超过1000万元资金支持。对具有重大意义的科技成果转化平台，经评审，可适当提高支持比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第六条 支持科技成果转化平台运行。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支持企事业单位、社会组织等运行概念验证平台、共性技术平台、工程研究中心、产业技术研究院、专业创新孵化服务平台等科技成果转化平台，并开展共性技术研发、应用研发、概念验证等各类成果转化服务。根据平台上一年度服务成效，经评审，给予最高不超过500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highlight w:val="none"/>
          <w:lang w:eastAsia="zh-CN"/>
        </w:rPr>
      </w:pPr>
      <w:r>
        <w:rPr>
          <w:rFonts w:hint="eastAsia" w:ascii="黑体" w:hAnsi="黑体" w:eastAsia="黑体" w:cs="黑体"/>
          <w:highlight w:val="none"/>
          <w:lang w:eastAsia="zh-CN"/>
        </w:rPr>
        <w:t>第四章</w:t>
      </w:r>
      <w:r>
        <w:rPr>
          <w:rFonts w:hint="eastAsia" w:ascii="黑体" w:hAnsi="黑体" w:eastAsia="黑体" w:cs="黑体"/>
          <w:highlight w:val="none"/>
          <w:lang w:val="en-US" w:eastAsia="zh-CN"/>
        </w:rPr>
        <w:t xml:space="preserve"> 科技企业成长类项目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highlight w:val="none"/>
          <w:lang w:eastAsia="zh-CN"/>
        </w:rPr>
        <w:t>第七条</w:t>
      </w:r>
      <w:r>
        <w:rPr>
          <w:rFonts w:hint="eastAsia"/>
          <w:b/>
          <w:bCs/>
          <w:highlight w:val="none"/>
          <w:lang w:val="en-US" w:eastAsia="zh-CN"/>
        </w:rPr>
        <w:t xml:space="preserve"> </w:t>
      </w:r>
      <w:r>
        <w:rPr>
          <w:rFonts w:hint="eastAsia" w:hAnsi="Calibri" w:cs="仿宋_GB2312"/>
          <w:b/>
          <w:bCs/>
          <w:color w:val="000000"/>
          <w:szCs w:val="32"/>
          <w:highlight w:val="none"/>
          <w:u w:color="000000"/>
          <w:lang w:eastAsia="zh-CN" w:bidi="ar"/>
        </w:rPr>
        <w:t>支持科技服务业企业升规发展。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对首次纳入规模以上统计范围的科技服务业企业给予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10万元一次性资金支持；保持连续正增长的，连续支持三年，每年给予10万元。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highlight w:val="none"/>
          <w:lang w:eastAsia="zh-CN"/>
        </w:rPr>
        <w:t>第</w:t>
      </w:r>
      <w:r>
        <w:rPr>
          <w:rFonts w:hint="eastAsia"/>
          <w:b/>
          <w:bCs/>
          <w:highlight w:val="none"/>
          <w:lang w:val="en-US" w:eastAsia="zh-CN"/>
        </w:rPr>
        <w:t>八</w:t>
      </w:r>
      <w:r>
        <w:rPr>
          <w:rFonts w:hint="eastAsia"/>
          <w:b/>
          <w:bCs/>
          <w:highlight w:val="none"/>
          <w:lang w:eastAsia="zh-CN"/>
        </w:rPr>
        <w:t>条</w:t>
      </w:r>
      <w:r>
        <w:rPr>
          <w:rFonts w:hint="eastAsia"/>
          <w:b/>
          <w:bCs/>
          <w:highlight w:val="none"/>
          <w:lang w:val="en-US" w:eastAsia="zh-CN"/>
        </w:rPr>
        <w:t xml:space="preserve"> </w:t>
      </w:r>
      <w:r>
        <w:rPr>
          <w:rFonts w:hint="eastAsia" w:hAnsi="Calibri" w:cs="仿宋_GB2312"/>
          <w:b/>
          <w:bCs/>
          <w:color w:val="000000"/>
          <w:szCs w:val="32"/>
          <w:highlight w:val="none"/>
          <w:u w:color="000000"/>
          <w:lang w:eastAsia="zh-CN" w:bidi="ar"/>
        </w:rPr>
        <w:t>支持科技服务业企业稳定健康发展。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对当年主营业务收入分别达到2000万元（含）、5000万元（含）、1亿元（含）以上，且连续2年实现正增长、年平均增长率超过10%的规模以上科学研究与技术服务业企业，分别给予不超过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2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0万元、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3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0万元、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5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0万元资金支持。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outlineLvl w:val="9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highlight w:val="none"/>
          <w:lang w:eastAsia="zh-CN"/>
        </w:rPr>
        <w:t>第</w:t>
      </w:r>
      <w:r>
        <w:rPr>
          <w:rFonts w:hint="eastAsia"/>
          <w:b/>
          <w:bCs/>
          <w:highlight w:val="none"/>
          <w:lang w:val="en-US" w:eastAsia="zh-CN"/>
        </w:rPr>
        <w:t>九</w:t>
      </w:r>
      <w:r>
        <w:rPr>
          <w:rFonts w:hint="eastAsia"/>
          <w:b/>
          <w:bCs/>
          <w:highlight w:val="none"/>
          <w:lang w:eastAsia="zh-CN"/>
        </w:rPr>
        <w:t>条</w:t>
      </w:r>
      <w:r>
        <w:rPr>
          <w:rFonts w:hint="eastAsia"/>
          <w:b/>
          <w:bCs/>
          <w:highlight w:val="none"/>
          <w:lang w:val="en-US" w:eastAsia="zh-CN"/>
        </w:rPr>
        <w:t xml:space="preserve"> 支持企事业单位开展科技创新与研究和试验发展活动。</w:t>
      </w:r>
      <w:r>
        <w:rPr>
          <w:rFonts w:hint="eastAsia" w:hAnsi="Calibri" w:cs="仿宋_GB2312"/>
          <w:b w:val="0"/>
          <w:bCs w:val="0"/>
          <w:color w:val="000000"/>
          <w:szCs w:val="32"/>
          <w:highlight w:val="none"/>
          <w:u w:color="000000"/>
          <w:lang w:eastAsia="zh-CN" w:bidi="ar"/>
        </w:rPr>
        <w:t>支持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bidi="ar"/>
        </w:rPr>
        <w:t>科技企业、高等学校、科研机构、科技型社会组织等创新主体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新</w:t>
      </w:r>
      <w:r>
        <w:rPr>
          <w:rFonts w:hint="eastAsia" w:hAnsi="Calibri" w:cs="仿宋_GB2312"/>
          <w:b w:val="0"/>
          <w:bCs w:val="0"/>
          <w:color w:val="000000"/>
          <w:szCs w:val="32"/>
          <w:highlight w:val="none"/>
          <w:u w:color="000000"/>
          <w:lang w:eastAsia="zh-CN" w:bidi="ar"/>
        </w:rPr>
        <w:t>设立企业或新入区从事科技创新与研究和试验发展活动，按照不超过企业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设立时实际投入研发费用的30%给予资金支持，最高不超过1000万元。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/>
          <w:b/>
          <w:bCs/>
          <w:color w:val="auto"/>
          <w:highlight w:val="none"/>
          <w:lang w:eastAsia="zh-CN"/>
        </w:rPr>
      </w:pPr>
      <w:r>
        <w:rPr>
          <w:rFonts w:hint="eastAsia"/>
          <w:b/>
          <w:bCs/>
          <w:color w:val="auto"/>
          <w:highlight w:val="none"/>
          <w:lang w:eastAsia="zh-CN"/>
        </w:rPr>
        <w:t>第十条 促进技术市场发展。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支持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bidi="ar"/>
        </w:rPr>
        <w:t>高等学校、科研机构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、科技型中小企业、国家高新技术企业或规上科技服务业企业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签订技术交易合同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对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年度在科技部门认定登记的技术成交额累计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分别达到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1000万元（含）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5000万元（含）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1亿元（含）以上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的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分别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给予5万元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10万元</w:t>
      </w:r>
      <w:r>
        <w:rPr>
          <w:rFonts w:hint="eastAsia" w:ascii="仿宋_GB2312" w:cs="仿宋_GB2312"/>
          <w:color w:val="000000"/>
          <w:szCs w:val="32"/>
          <w:highlight w:val="none"/>
          <w:u w:color="000000"/>
          <w:lang w:val="en-US" w:eastAsia="zh-CN" w:bidi="ar"/>
        </w:rPr>
        <w:t>、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20万元资金支持。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baseline"/>
        <w:outlineLvl w:val="9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highlight w:val="none"/>
          <w:lang w:eastAsia="zh-CN"/>
        </w:rPr>
        <w:t>第十一条</w:t>
      </w:r>
      <w:r>
        <w:rPr>
          <w:rFonts w:hint="eastAsia"/>
          <w:b/>
          <w:bCs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highlight w:val="none"/>
          <w:lang w:eastAsia="zh-CN"/>
        </w:rPr>
        <w:t>大力培育国家高新技术企业。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  <w:t>支持开展科技创新研发投入活动，对年度内首次认定和新入区国家高新技术企业，给予10万元资金支持；对再次重新认定通过的国家高新技术企业，给予5万元资金支持。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rPr>
          <w:rFonts w:hint="eastAsia" w:hAnsi="Calibri" w:cs="仿宋_GB2312"/>
          <w:color w:val="000000"/>
          <w:szCs w:val="32"/>
          <w:highlight w:val="none"/>
          <w:u w:color="000000"/>
          <w:lang w:eastAsia="zh-CN" w:bidi="ar"/>
        </w:rPr>
      </w:pPr>
      <w:r>
        <w:rPr>
          <w:rFonts w:hint="eastAsia"/>
          <w:b/>
          <w:bCs/>
          <w:highlight w:val="none"/>
          <w:lang w:eastAsia="zh-CN"/>
        </w:rPr>
        <w:t>第十二条</w:t>
      </w:r>
      <w:r>
        <w:rPr>
          <w:rFonts w:hint="eastAsia"/>
          <w:b/>
          <w:bCs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highlight w:val="none"/>
          <w:lang w:eastAsia="zh-CN"/>
        </w:rPr>
        <w:t>支持企业加强创新能力建设。</w:t>
      </w:r>
      <w:r>
        <w:rPr>
          <w:rFonts w:hint="eastAsia" w:cs="仿宋_GB2312"/>
          <w:color w:val="000000"/>
          <w:szCs w:val="32"/>
          <w:highlight w:val="none"/>
          <w:u w:color="000000"/>
          <w:lang w:eastAsia="zh-CN" w:bidi="ar"/>
        </w:rPr>
        <w:t>对大中型重点企业最近一个会计年度研发费用同比增量分别达到200万元（含）、500万元（含）以上的，分别给予</w:t>
      </w:r>
      <w:r>
        <w:rPr>
          <w:rFonts w:hint="eastAsia" w:cs="仿宋_GB2312"/>
          <w:color w:val="000000"/>
          <w:szCs w:val="32"/>
          <w:highlight w:val="none"/>
          <w:u w:color="000000"/>
          <w:lang w:val="en-US" w:eastAsia="zh-CN" w:bidi="ar"/>
        </w:rPr>
        <w:t>10万元、3</w:t>
      </w:r>
      <w:r>
        <w:rPr>
          <w:rFonts w:hint="eastAsia" w:cs="仿宋_GB2312"/>
          <w:color w:val="000000"/>
          <w:szCs w:val="32"/>
          <w:highlight w:val="none"/>
          <w:u w:color="000000"/>
          <w:lang w:eastAsia="zh-CN" w:bidi="ar"/>
        </w:rPr>
        <w:t>0万元资金支持。</w:t>
      </w:r>
    </w:p>
    <w:p>
      <w:pPr>
        <w:spacing w:line="560" w:lineRule="exact"/>
        <w:textAlignment w:val="baseline"/>
        <w:outlineLvl w:val="9"/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</w:pPr>
      <w:r>
        <w:rPr>
          <w:rFonts w:hint="eastAsia" w:ascii="宋体"/>
          <w:b/>
          <w:bCs/>
          <w:color w:val="auto"/>
          <w:highlight w:val="none"/>
          <w:lang w:eastAsia="zh-CN"/>
        </w:rPr>
        <w:t>第</w:t>
      </w:r>
      <w:r>
        <w:rPr>
          <w:rFonts w:hint="eastAsia"/>
          <w:b/>
          <w:bCs/>
          <w:color w:val="auto"/>
          <w:highlight w:val="none"/>
          <w:lang w:eastAsia="zh-CN"/>
        </w:rPr>
        <w:t>十三</w:t>
      </w:r>
      <w:r>
        <w:rPr>
          <w:rFonts w:hint="eastAsia" w:ascii="宋体"/>
          <w:b/>
          <w:bCs/>
          <w:color w:val="auto"/>
          <w:highlight w:val="none"/>
          <w:lang w:eastAsia="zh-CN"/>
        </w:rPr>
        <w:t>条</w:t>
      </w:r>
      <w:r>
        <w:rPr>
          <w:rFonts w:hint="eastAsia" w:ascii="宋体"/>
          <w:b/>
          <w:bCs/>
          <w:color w:val="auto"/>
          <w:highlight w:val="none"/>
          <w:lang w:val="en-US" w:eastAsia="zh-CN"/>
        </w:rPr>
        <w:t xml:space="preserve"> 支持企业新技术新产品</w:t>
      </w:r>
      <w:r>
        <w:rPr>
          <w:rFonts w:hint="eastAsia"/>
          <w:b/>
          <w:bCs/>
          <w:color w:val="auto"/>
          <w:highlight w:val="none"/>
          <w:lang w:val="en-US" w:eastAsia="zh-CN"/>
        </w:rPr>
        <w:t>新服务应用</w:t>
      </w:r>
      <w:r>
        <w:rPr>
          <w:rFonts w:hint="eastAsia" w:ascii="宋体"/>
          <w:b/>
          <w:bCs/>
          <w:color w:val="auto"/>
          <w:highlight w:val="none"/>
          <w:lang w:val="en-US" w:eastAsia="zh-CN"/>
        </w:rPr>
        <w:t>。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支持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创新主体开展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关键领域“补短板”、填补国际或国内空白的新技术新产品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新服务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应用。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对于</w:t>
      </w:r>
      <w:r>
        <w:rPr>
          <w:rFonts w:hint="eastAsia" w:cs="仿宋_GB2312"/>
          <w:color w:val="000000"/>
          <w:szCs w:val="32"/>
          <w:highlight w:val="none"/>
          <w:u w:color="000000"/>
          <w:lang w:eastAsia="zh-CN" w:bidi="ar"/>
        </w:rPr>
        <w:t>年度内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通过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市级新技术新产品新服务认定的主体</w:t>
      </w:r>
      <w:r>
        <w:rPr>
          <w:rFonts w:hint="eastAsia" w:cs="仿宋_GB2312"/>
          <w:color w:val="000000"/>
          <w:szCs w:val="32"/>
          <w:highlight w:val="none"/>
          <w:u w:color="000000"/>
          <w:lang w:val="en-US" w:eastAsia="zh-CN" w:bidi="ar"/>
        </w:rPr>
        <w:t>，</w:t>
      </w:r>
      <w:r>
        <w:rPr>
          <w:rFonts w:hint="eastAsia" w:hAnsi="Calibri" w:cs="仿宋_GB2312"/>
          <w:color w:val="000000"/>
          <w:szCs w:val="32"/>
          <w:highlight w:val="none"/>
          <w:u w:color="000000"/>
          <w:lang w:val="en-US" w:eastAsia="zh-CN" w:bidi="ar"/>
        </w:rPr>
        <w:t>按照每项10万元的标准给予资金支持，总额度年度累计不超过20万元</w:t>
      </w:r>
      <w:r>
        <w:rPr>
          <w:rFonts w:hint="eastAsia" w:ascii="仿宋_GB2312" w:hAnsi="Calibri" w:cs="仿宋_GB2312"/>
          <w:color w:val="000000"/>
          <w:szCs w:val="32"/>
          <w:highlight w:val="none"/>
          <w:u w:color="000000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第十四条 </w:t>
      </w:r>
      <w:r>
        <w:rPr>
          <w:rFonts w:hint="eastAsia"/>
          <w:b/>
          <w:bCs/>
          <w:lang w:val="en-US" w:eastAsia="zh-CN"/>
        </w:rPr>
        <w:t>支持重点领域应用场景开放。</w:t>
      </w:r>
      <w:r>
        <w:rPr>
          <w:rFonts w:hint="eastAsia"/>
          <w:lang w:val="en-US" w:eastAsia="zh-CN"/>
        </w:rPr>
        <w:t>围绕韧性城市、人工智能、生命健康、量子计算等产业方向，瞄准产业链的强链、补链、延链的环节，着力开放一批应用场景，支持高校院所、科研机构、科技企业等创新主体开展前沿技术迭代验证和应用推广。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rPr>
          <w:rFonts w:hint="eastAsia" w:ascii="宋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第五章 科技发展类项目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rPr>
          <w:rFonts w:hint="eastAsia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>第十五条 支持科普基地发展。</w:t>
      </w:r>
      <w:r>
        <w:rPr>
          <w:rFonts w:hint="eastAsia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  <w:t>鼓励企业或高校院所积极申报北京市科普基地，首次被命名的，给予一次性资金支持10万元。支持被命名为北京市科普基地、怀柔区科普示范（教育）基地的机构</w:t>
      </w:r>
      <w:r>
        <w:rPr>
          <w:rFonts w:hint="eastAsia" w:cs="仿宋_GB2312"/>
          <w:b w:val="0"/>
          <w:bCs w:val="0"/>
          <w:color w:val="000000"/>
          <w:szCs w:val="32"/>
          <w:u w:color="000000"/>
          <w:lang w:val="en-US" w:eastAsia="zh-CN" w:bidi="ar"/>
        </w:rPr>
        <w:t>举办</w:t>
      </w:r>
      <w:r>
        <w:rPr>
          <w:rFonts w:hint="eastAsia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  <w:t>科普研学活动，根据上一年度举办科普研学活动的成效，经评审给予</w:t>
      </w:r>
      <w:r>
        <w:rPr>
          <w:rFonts w:hint="eastAsia" w:cs="仿宋_GB2312"/>
          <w:b w:val="0"/>
          <w:bCs w:val="0"/>
          <w:color w:val="000000"/>
          <w:szCs w:val="32"/>
          <w:u w:color="000000"/>
          <w:lang w:val="en-US" w:eastAsia="zh-CN" w:bidi="ar"/>
        </w:rPr>
        <w:t>不超过</w:t>
      </w:r>
      <w:r>
        <w:rPr>
          <w:rFonts w:hint="eastAsia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  <w:t>5万元</w:t>
      </w:r>
      <w:r>
        <w:rPr>
          <w:rFonts w:hint="default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  <w:t>一次性</w:t>
      </w:r>
      <w:r>
        <w:rPr>
          <w:rFonts w:hint="eastAsia" w:hAnsi="Calibri" w:cs="仿宋_GB2312"/>
          <w:b w:val="0"/>
          <w:bCs w:val="0"/>
          <w:color w:val="000000"/>
          <w:szCs w:val="32"/>
          <w:u w:color="000000"/>
          <w:lang w:val="en-US" w:eastAsia="zh-CN" w:bidi="ar"/>
        </w:rPr>
        <w:t>资金支持。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highlight w:val="none"/>
          <w:lang w:val="en-US" w:eastAsia="zh-CN"/>
        </w:rPr>
        <w:t xml:space="preserve">第十六条 </w:t>
      </w:r>
      <w:r>
        <w:rPr>
          <w:rFonts w:hint="eastAsia" w:eastAsia="仿宋_GB2312"/>
          <w:b/>
          <w:bCs/>
          <w:sz w:val="32"/>
          <w:lang w:val="en" w:eastAsia="zh-CN"/>
        </w:rPr>
        <w:t>支持高水平国际期刊建设</w:t>
      </w:r>
      <w:r>
        <w:rPr>
          <w:rFonts w:hint="eastAsia"/>
          <w:b/>
          <w:bCs/>
          <w:sz w:val="32"/>
          <w:lang w:val="en" w:eastAsia="zh-CN"/>
        </w:rPr>
        <w:t>。</w:t>
      </w:r>
      <w:r>
        <w:rPr>
          <w:rFonts w:hint="eastAsia"/>
          <w:b w:val="0"/>
          <w:bCs w:val="0"/>
          <w:sz w:val="32"/>
          <w:lang w:val="en" w:eastAsia="zh-CN"/>
        </w:rPr>
        <w:t>推动各类创新主体发挥区域教育、科技、人才资源优势，提升国际科技期刊的学术影响力和国际竞争力。支持创办新刊，按照不超过期刊创办总费用的50%给予最高不超过100万元的资金支持。支持重点期刊成长，分3年给予总金额不超过60万元的资金支持，且不超过每年期刊建设总预算的20%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黑体" w:hAnsi="黑体" w:eastAsia="黑体" w:cs="黑体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第六章 附则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2" w:firstLineChars="200"/>
        <w:jc w:val="both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/>
          <w:b/>
          <w:bCs/>
          <w:highlight w:val="none"/>
          <w:u w:val="none"/>
          <w:lang w:eastAsia="zh-CN"/>
        </w:rPr>
        <w:t>第十七条</w:t>
      </w:r>
      <w:r>
        <w:rPr>
          <w:rFonts w:hint="eastAsia"/>
          <w:b/>
          <w:bCs/>
          <w:highlight w:val="none"/>
          <w:u w:val="none"/>
          <w:lang w:val="en-US" w:eastAsia="zh-CN"/>
        </w:rPr>
        <w:t xml:space="preserve"> 资金来源及支持方式。</w:t>
      </w:r>
      <w:r>
        <w:rPr>
          <w:rFonts w:hint="eastAsia"/>
          <w:lang w:val="en-US" w:eastAsia="zh-CN"/>
        </w:rPr>
        <w:t>本措施所有支持项目资金</w:t>
      </w:r>
      <w:r>
        <w:rPr>
          <w:rFonts w:hint="eastAsia" w:ascii="仿宋_GB2312" w:hAnsi="Calibri" w:eastAsia="仿宋_GB2312" w:cs="Times New Roman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由怀柔区财政</w:t>
      </w:r>
      <w:r>
        <w:rPr>
          <w:rFonts w:hint="eastAsia" w:hAnsi="Calibri" w:cs="Times New Roman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予以资金</w:t>
      </w:r>
      <w:r>
        <w:rPr>
          <w:rFonts w:hint="eastAsia" w:ascii="仿宋_GB2312" w:hAnsi="Calibri" w:eastAsia="仿宋_GB2312" w:cs="Times New Roman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保障</w:t>
      </w:r>
      <w:r>
        <w:rPr>
          <w:rFonts w:hint="eastAsia" w:ascii="仿宋_GB2312" w:cs="Times New Roman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。资金管理使用遵循依法依规、公开透明、突出重点、专款专用、注重实效的原则，并接受科技、财政、审计及纪检监察等部门的监督检查。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2" w:firstLineChars="200"/>
        <w:jc w:val="both"/>
        <w:textAlignment w:val="auto"/>
        <w:outlineLvl w:val="1"/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</w:pPr>
      <w:r>
        <w:rPr>
          <w:rFonts w:hint="eastAsia"/>
          <w:b/>
          <w:bCs/>
          <w:highlight w:val="none"/>
          <w:u w:val="none"/>
          <w:lang w:eastAsia="zh-CN"/>
        </w:rPr>
        <w:t>第十八条</w:t>
      </w:r>
      <w:r>
        <w:rPr>
          <w:rFonts w:hint="eastAsia"/>
          <w:b/>
          <w:bCs/>
          <w:highlight w:val="none"/>
          <w:u w:val="none"/>
          <w:lang w:val="en-US" w:eastAsia="zh-CN"/>
        </w:rPr>
        <w:t xml:space="preserve"> 组织实施及管理机制。</w:t>
      </w:r>
      <w:r>
        <w:rPr>
          <w:rFonts w:hint="eastAsia" w:hAnsi="Calibri" w:cs="仿宋_GB2312"/>
          <w:color w:val="000000"/>
          <w:szCs w:val="32"/>
          <w:u w:val="none" w:color="000000"/>
          <w:lang w:val="en-US" w:eastAsia="zh-CN" w:bidi="ar"/>
        </w:rPr>
        <w:t>怀柔区科学技术委员会负责在全区范围开展科技项目征集。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与本区各级同类政策不一致的或同时满足本政策措施不同款项的，按照“从优、从高、不重复”原则予以支持。简化申报审批服务流程，对政府系统内部可查的申报材料进行梳理并免予提交。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2" w:firstLineChars="200"/>
        <w:jc w:val="both"/>
        <w:textAlignment w:val="baseline"/>
        <w:outlineLvl w:val="9"/>
        <w:rPr>
          <w:rFonts w:hint="eastAsia"/>
          <w:lang w:eastAsia="zh-CN"/>
        </w:rPr>
      </w:pPr>
      <w:r>
        <w:rPr>
          <w:rFonts w:hint="eastAsia" w:hAnsi="Calibri" w:cs="仿宋_GB2312"/>
          <w:b/>
          <w:bCs/>
          <w:color w:val="000000"/>
          <w:szCs w:val="32"/>
          <w:u w:val="none" w:color="000000"/>
          <w:lang w:eastAsia="zh-CN" w:bidi="ar"/>
        </w:rPr>
        <w:t>第十九条</w:t>
      </w:r>
      <w:r>
        <w:rPr>
          <w:rFonts w:hint="eastAsia" w:hAnsi="Calibri" w:cs="仿宋_GB2312"/>
          <w:color w:val="000000"/>
          <w:szCs w:val="32"/>
          <w:u w:val="none" w:color="000000"/>
          <w:lang w:val="en-US" w:eastAsia="zh-CN" w:bidi="ar"/>
        </w:rPr>
        <w:t xml:space="preserve"> </w:t>
      </w:r>
      <w:r>
        <w:rPr>
          <w:rFonts w:hint="eastAsia" w:hAnsi="Calibri" w:cs="仿宋_GB2312"/>
          <w:b/>
          <w:bCs/>
          <w:color w:val="000000"/>
          <w:szCs w:val="32"/>
          <w:u w:val="none" w:color="000000"/>
          <w:lang w:val="en-US" w:eastAsia="zh-CN" w:bidi="ar"/>
        </w:rPr>
        <w:t>解释权及有效期。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本措施由怀柔区科学技术委员会负责解释</w:t>
      </w:r>
      <w:r>
        <w:rPr>
          <w:rFonts w:hint="eastAsia" w:hAnsi="Calibri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。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本措施自印发之日起执行，</w:t>
      </w:r>
      <w:r>
        <w:rPr>
          <w:rFonts w:hint="eastAsia" w:hAnsi="Calibri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试行1</w:t>
      </w:r>
      <w:r>
        <w:rPr>
          <w:rFonts w:hint="eastAsia" w:ascii="仿宋_GB2312" w:hAnsi="Calibri" w:eastAsia="仿宋_GB2312" w:cs="仿宋_GB2312"/>
          <w:color w:val="000000"/>
          <w:spacing w:val="0"/>
          <w:w w:val="100"/>
          <w:kern w:val="2"/>
          <w:sz w:val="32"/>
          <w:szCs w:val="32"/>
          <w:u w:val="none" w:color="000000"/>
          <w:vertAlign w:val="baseline"/>
          <w:lang w:val="en-US" w:eastAsia="zh-CN" w:bidi="ar"/>
        </w:rPr>
        <w:t>年。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OWViYTZmNDZkYTE0YTRjNWM4MWQwMGVlMmQxYTQifQ=="/>
  </w:docVars>
  <w:rsids>
    <w:rsidRoot w:val="0EAE5BDF"/>
    <w:rsid w:val="00494128"/>
    <w:rsid w:val="00E465C7"/>
    <w:rsid w:val="010D729C"/>
    <w:rsid w:val="010F2B28"/>
    <w:rsid w:val="01277435"/>
    <w:rsid w:val="01372BE1"/>
    <w:rsid w:val="01DD03A7"/>
    <w:rsid w:val="0204563C"/>
    <w:rsid w:val="023D5EE8"/>
    <w:rsid w:val="027008D1"/>
    <w:rsid w:val="027502C0"/>
    <w:rsid w:val="029478DD"/>
    <w:rsid w:val="0296622B"/>
    <w:rsid w:val="02966B90"/>
    <w:rsid w:val="02A958D5"/>
    <w:rsid w:val="02AB5151"/>
    <w:rsid w:val="02B77D1B"/>
    <w:rsid w:val="02C7085C"/>
    <w:rsid w:val="02D13C56"/>
    <w:rsid w:val="02E70DC6"/>
    <w:rsid w:val="02F4037A"/>
    <w:rsid w:val="030A7DE6"/>
    <w:rsid w:val="035E503F"/>
    <w:rsid w:val="039F3F8C"/>
    <w:rsid w:val="03DB49CE"/>
    <w:rsid w:val="03F43A6F"/>
    <w:rsid w:val="03FD7A20"/>
    <w:rsid w:val="04017B9A"/>
    <w:rsid w:val="040868AB"/>
    <w:rsid w:val="041E4816"/>
    <w:rsid w:val="044106F9"/>
    <w:rsid w:val="04526DB0"/>
    <w:rsid w:val="04684D4A"/>
    <w:rsid w:val="048644E2"/>
    <w:rsid w:val="04D532F8"/>
    <w:rsid w:val="04D5432D"/>
    <w:rsid w:val="04D70A85"/>
    <w:rsid w:val="04E36DC1"/>
    <w:rsid w:val="056F0EE4"/>
    <w:rsid w:val="05B56CA8"/>
    <w:rsid w:val="05DB2620"/>
    <w:rsid w:val="07462E87"/>
    <w:rsid w:val="0757364D"/>
    <w:rsid w:val="076411E8"/>
    <w:rsid w:val="07890F0F"/>
    <w:rsid w:val="07CC32F3"/>
    <w:rsid w:val="07E34309"/>
    <w:rsid w:val="07E82D2D"/>
    <w:rsid w:val="080E586E"/>
    <w:rsid w:val="083F41BF"/>
    <w:rsid w:val="086D6C9B"/>
    <w:rsid w:val="089504E5"/>
    <w:rsid w:val="09311E27"/>
    <w:rsid w:val="094E520E"/>
    <w:rsid w:val="0A17153E"/>
    <w:rsid w:val="0A692CCF"/>
    <w:rsid w:val="0A6F4A86"/>
    <w:rsid w:val="0A756591"/>
    <w:rsid w:val="0AEC754A"/>
    <w:rsid w:val="0AF8086D"/>
    <w:rsid w:val="0B4C0900"/>
    <w:rsid w:val="0B6C7FE1"/>
    <w:rsid w:val="0B762013"/>
    <w:rsid w:val="0C140E10"/>
    <w:rsid w:val="0C1F3E7A"/>
    <w:rsid w:val="0C454D46"/>
    <w:rsid w:val="0C7510B2"/>
    <w:rsid w:val="0CB15382"/>
    <w:rsid w:val="0CEE0438"/>
    <w:rsid w:val="0D236EFE"/>
    <w:rsid w:val="0D7C531F"/>
    <w:rsid w:val="0D939799"/>
    <w:rsid w:val="0DBB3E4D"/>
    <w:rsid w:val="0DEC7F4A"/>
    <w:rsid w:val="0E481E7D"/>
    <w:rsid w:val="0E4A7635"/>
    <w:rsid w:val="0EAE5BDF"/>
    <w:rsid w:val="0EB74D60"/>
    <w:rsid w:val="0F396D6B"/>
    <w:rsid w:val="0F573C3A"/>
    <w:rsid w:val="0F6B3A02"/>
    <w:rsid w:val="0FAA5847"/>
    <w:rsid w:val="0FB33F99"/>
    <w:rsid w:val="0FFDDA87"/>
    <w:rsid w:val="104F2350"/>
    <w:rsid w:val="1052055D"/>
    <w:rsid w:val="10B54826"/>
    <w:rsid w:val="10EC5FCE"/>
    <w:rsid w:val="11485676"/>
    <w:rsid w:val="11660F06"/>
    <w:rsid w:val="116D0998"/>
    <w:rsid w:val="118C1FC4"/>
    <w:rsid w:val="11D55125"/>
    <w:rsid w:val="11E85E9C"/>
    <w:rsid w:val="120C68C7"/>
    <w:rsid w:val="121D13E4"/>
    <w:rsid w:val="12940210"/>
    <w:rsid w:val="12FF2D97"/>
    <w:rsid w:val="12FF7805"/>
    <w:rsid w:val="137C46EC"/>
    <w:rsid w:val="137D60E7"/>
    <w:rsid w:val="139A572A"/>
    <w:rsid w:val="13BC4281"/>
    <w:rsid w:val="145C7222"/>
    <w:rsid w:val="145F6C31"/>
    <w:rsid w:val="147A770C"/>
    <w:rsid w:val="148A77CF"/>
    <w:rsid w:val="149200B7"/>
    <w:rsid w:val="14B32A65"/>
    <w:rsid w:val="14D76D19"/>
    <w:rsid w:val="14F17BD5"/>
    <w:rsid w:val="15030E2D"/>
    <w:rsid w:val="152B50D6"/>
    <w:rsid w:val="15B04F78"/>
    <w:rsid w:val="162F057F"/>
    <w:rsid w:val="163452D0"/>
    <w:rsid w:val="16794CA0"/>
    <w:rsid w:val="169D6539"/>
    <w:rsid w:val="16E10B08"/>
    <w:rsid w:val="17466CF1"/>
    <w:rsid w:val="174C76FD"/>
    <w:rsid w:val="17DA3314"/>
    <w:rsid w:val="17F662DF"/>
    <w:rsid w:val="181D750B"/>
    <w:rsid w:val="182D6CB3"/>
    <w:rsid w:val="187A3B08"/>
    <w:rsid w:val="189F1BF4"/>
    <w:rsid w:val="18D26EAB"/>
    <w:rsid w:val="18D41CE1"/>
    <w:rsid w:val="18E769F3"/>
    <w:rsid w:val="19134EDE"/>
    <w:rsid w:val="1928203D"/>
    <w:rsid w:val="19690645"/>
    <w:rsid w:val="19A447CD"/>
    <w:rsid w:val="19C86DE7"/>
    <w:rsid w:val="19CC43B9"/>
    <w:rsid w:val="1A637FC0"/>
    <w:rsid w:val="1AD814AF"/>
    <w:rsid w:val="1B882F3A"/>
    <w:rsid w:val="1BA47324"/>
    <w:rsid w:val="1BAB3351"/>
    <w:rsid w:val="1C6633A7"/>
    <w:rsid w:val="1C9630AE"/>
    <w:rsid w:val="1CE12250"/>
    <w:rsid w:val="1CF76DA6"/>
    <w:rsid w:val="1D5036CE"/>
    <w:rsid w:val="1D8F14E9"/>
    <w:rsid w:val="1D9316A1"/>
    <w:rsid w:val="1E1F4806"/>
    <w:rsid w:val="1E2F41A1"/>
    <w:rsid w:val="1E415198"/>
    <w:rsid w:val="1E641980"/>
    <w:rsid w:val="1E8B2AE5"/>
    <w:rsid w:val="1EBE0637"/>
    <w:rsid w:val="1F0E7167"/>
    <w:rsid w:val="1F1A2FF9"/>
    <w:rsid w:val="1F1B5282"/>
    <w:rsid w:val="1F400002"/>
    <w:rsid w:val="1F424E1F"/>
    <w:rsid w:val="1F4D39D0"/>
    <w:rsid w:val="1F550CF7"/>
    <w:rsid w:val="1F7637D4"/>
    <w:rsid w:val="1F9B1A75"/>
    <w:rsid w:val="1FAA0C4D"/>
    <w:rsid w:val="1FBA1EAE"/>
    <w:rsid w:val="20191535"/>
    <w:rsid w:val="20823B97"/>
    <w:rsid w:val="20884C00"/>
    <w:rsid w:val="20B53DA5"/>
    <w:rsid w:val="20B83E12"/>
    <w:rsid w:val="21293E12"/>
    <w:rsid w:val="213A2688"/>
    <w:rsid w:val="21434700"/>
    <w:rsid w:val="21A05506"/>
    <w:rsid w:val="21A3303B"/>
    <w:rsid w:val="21E16C9E"/>
    <w:rsid w:val="22405E02"/>
    <w:rsid w:val="22B775C0"/>
    <w:rsid w:val="22BB55C6"/>
    <w:rsid w:val="2345149E"/>
    <w:rsid w:val="23552214"/>
    <w:rsid w:val="23DA1BAF"/>
    <w:rsid w:val="23F24F39"/>
    <w:rsid w:val="24136376"/>
    <w:rsid w:val="243A5309"/>
    <w:rsid w:val="24553EF8"/>
    <w:rsid w:val="24712A1B"/>
    <w:rsid w:val="248C1E19"/>
    <w:rsid w:val="24CB5479"/>
    <w:rsid w:val="24DA5BF1"/>
    <w:rsid w:val="24E87A48"/>
    <w:rsid w:val="24EA579E"/>
    <w:rsid w:val="250036DE"/>
    <w:rsid w:val="254D78C4"/>
    <w:rsid w:val="25517CAB"/>
    <w:rsid w:val="25CC081D"/>
    <w:rsid w:val="25DE17B2"/>
    <w:rsid w:val="2623473D"/>
    <w:rsid w:val="26701599"/>
    <w:rsid w:val="26DD3B96"/>
    <w:rsid w:val="26FB7C57"/>
    <w:rsid w:val="2784156A"/>
    <w:rsid w:val="278E145F"/>
    <w:rsid w:val="280D3EFF"/>
    <w:rsid w:val="282B12D5"/>
    <w:rsid w:val="28340F63"/>
    <w:rsid w:val="286B5CF9"/>
    <w:rsid w:val="28881068"/>
    <w:rsid w:val="28C05A52"/>
    <w:rsid w:val="28F71A59"/>
    <w:rsid w:val="29281A5F"/>
    <w:rsid w:val="293075A5"/>
    <w:rsid w:val="295B55BD"/>
    <w:rsid w:val="296369DF"/>
    <w:rsid w:val="2965065A"/>
    <w:rsid w:val="29A12D65"/>
    <w:rsid w:val="29AB1FA0"/>
    <w:rsid w:val="29B82379"/>
    <w:rsid w:val="29C431B9"/>
    <w:rsid w:val="29CD0384"/>
    <w:rsid w:val="2A4B088A"/>
    <w:rsid w:val="2AB625E4"/>
    <w:rsid w:val="2AB64A80"/>
    <w:rsid w:val="2AC12CCF"/>
    <w:rsid w:val="2B646385"/>
    <w:rsid w:val="2B6745CF"/>
    <w:rsid w:val="2B89661A"/>
    <w:rsid w:val="2BC35801"/>
    <w:rsid w:val="2BE04138"/>
    <w:rsid w:val="2C1D7B35"/>
    <w:rsid w:val="2C4A3165"/>
    <w:rsid w:val="2C74649C"/>
    <w:rsid w:val="2D680D2D"/>
    <w:rsid w:val="2D856DC3"/>
    <w:rsid w:val="2DBA1860"/>
    <w:rsid w:val="2DF351E2"/>
    <w:rsid w:val="2E1E751F"/>
    <w:rsid w:val="2E61276B"/>
    <w:rsid w:val="2E9C70F4"/>
    <w:rsid w:val="2ECD2316"/>
    <w:rsid w:val="2ED2364E"/>
    <w:rsid w:val="2EE223D2"/>
    <w:rsid w:val="2EE63663"/>
    <w:rsid w:val="2F011924"/>
    <w:rsid w:val="2F052E6C"/>
    <w:rsid w:val="2F337EBE"/>
    <w:rsid w:val="2F4C6EC6"/>
    <w:rsid w:val="2F5D5384"/>
    <w:rsid w:val="301C6D7F"/>
    <w:rsid w:val="3059079A"/>
    <w:rsid w:val="30671408"/>
    <w:rsid w:val="307E5988"/>
    <w:rsid w:val="309C4EE6"/>
    <w:rsid w:val="30AA43D6"/>
    <w:rsid w:val="313738E6"/>
    <w:rsid w:val="313851F3"/>
    <w:rsid w:val="314A1709"/>
    <w:rsid w:val="320E4AFD"/>
    <w:rsid w:val="32266209"/>
    <w:rsid w:val="33182F03"/>
    <w:rsid w:val="339670D9"/>
    <w:rsid w:val="33B46216"/>
    <w:rsid w:val="344C75F7"/>
    <w:rsid w:val="349123DA"/>
    <w:rsid w:val="349705CC"/>
    <w:rsid w:val="34B2179C"/>
    <w:rsid w:val="34EE488D"/>
    <w:rsid w:val="35472EAF"/>
    <w:rsid w:val="3582404A"/>
    <w:rsid w:val="35C2735F"/>
    <w:rsid w:val="360140DE"/>
    <w:rsid w:val="3651036E"/>
    <w:rsid w:val="366601CE"/>
    <w:rsid w:val="36F64700"/>
    <w:rsid w:val="370656DF"/>
    <w:rsid w:val="381062FC"/>
    <w:rsid w:val="386D4A16"/>
    <w:rsid w:val="388D45F1"/>
    <w:rsid w:val="38A44215"/>
    <w:rsid w:val="390F0289"/>
    <w:rsid w:val="391A4D30"/>
    <w:rsid w:val="392C6265"/>
    <w:rsid w:val="39B13DFE"/>
    <w:rsid w:val="39C03D8D"/>
    <w:rsid w:val="39CE1B77"/>
    <w:rsid w:val="39D0107B"/>
    <w:rsid w:val="3A4A73BF"/>
    <w:rsid w:val="3AFE52FD"/>
    <w:rsid w:val="3B357561"/>
    <w:rsid w:val="3B3D117E"/>
    <w:rsid w:val="3B4931A9"/>
    <w:rsid w:val="3B615076"/>
    <w:rsid w:val="3B65286A"/>
    <w:rsid w:val="3B685FA1"/>
    <w:rsid w:val="3BAFD0D2"/>
    <w:rsid w:val="3BE26753"/>
    <w:rsid w:val="3C4C149F"/>
    <w:rsid w:val="3C7402B3"/>
    <w:rsid w:val="3CB76C73"/>
    <w:rsid w:val="3DA339B9"/>
    <w:rsid w:val="3DB059C7"/>
    <w:rsid w:val="3DC5376E"/>
    <w:rsid w:val="3E2A1A7C"/>
    <w:rsid w:val="3E4D1814"/>
    <w:rsid w:val="3E8D696E"/>
    <w:rsid w:val="3ED03B6D"/>
    <w:rsid w:val="3EE23CFA"/>
    <w:rsid w:val="3EFDCA8F"/>
    <w:rsid w:val="3F4D7C0F"/>
    <w:rsid w:val="3F5309CC"/>
    <w:rsid w:val="3F68295C"/>
    <w:rsid w:val="3F9C1950"/>
    <w:rsid w:val="3FB11925"/>
    <w:rsid w:val="4004285E"/>
    <w:rsid w:val="400E49F6"/>
    <w:rsid w:val="401C2792"/>
    <w:rsid w:val="40402AA5"/>
    <w:rsid w:val="406D1411"/>
    <w:rsid w:val="407A52DA"/>
    <w:rsid w:val="40A67599"/>
    <w:rsid w:val="40FD3945"/>
    <w:rsid w:val="417F4735"/>
    <w:rsid w:val="418C71AC"/>
    <w:rsid w:val="41B74337"/>
    <w:rsid w:val="41B74BCD"/>
    <w:rsid w:val="41BB1198"/>
    <w:rsid w:val="422C6454"/>
    <w:rsid w:val="428743D2"/>
    <w:rsid w:val="42B922F2"/>
    <w:rsid w:val="42D7312E"/>
    <w:rsid w:val="43A3020E"/>
    <w:rsid w:val="43F56D6D"/>
    <w:rsid w:val="43FB5213"/>
    <w:rsid w:val="44514DEA"/>
    <w:rsid w:val="44516823"/>
    <w:rsid w:val="44D40BF0"/>
    <w:rsid w:val="44F634CB"/>
    <w:rsid w:val="45322BA9"/>
    <w:rsid w:val="455F237F"/>
    <w:rsid w:val="456A1A1D"/>
    <w:rsid w:val="45926A85"/>
    <w:rsid w:val="45AA4F92"/>
    <w:rsid w:val="467F6C50"/>
    <w:rsid w:val="46DD3F28"/>
    <w:rsid w:val="473C79F6"/>
    <w:rsid w:val="474202BD"/>
    <w:rsid w:val="47506B08"/>
    <w:rsid w:val="47640DD2"/>
    <w:rsid w:val="47F03F18"/>
    <w:rsid w:val="47FD1F29"/>
    <w:rsid w:val="48185338"/>
    <w:rsid w:val="48606407"/>
    <w:rsid w:val="48702A89"/>
    <w:rsid w:val="48816C2B"/>
    <w:rsid w:val="488C2DB9"/>
    <w:rsid w:val="48B52BC2"/>
    <w:rsid w:val="49270948"/>
    <w:rsid w:val="49420B8F"/>
    <w:rsid w:val="49974F46"/>
    <w:rsid w:val="4A2D4617"/>
    <w:rsid w:val="4A2E0893"/>
    <w:rsid w:val="4A4E10DF"/>
    <w:rsid w:val="4A834F5C"/>
    <w:rsid w:val="4A8D20EB"/>
    <w:rsid w:val="4AE76C68"/>
    <w:rsid w:val="4AF9258A"/>
    <w:rsid w:val="4B2F54F5"/>
    <w:rsid w:val="4B371347"/>
    <w:rsid w:val="4B4552C9"/>
    <w:rsid w:val="4B912E46"/>
    <w:rsid w:val="4BEF0186"/>
    <w:rsid w:val="4C564E2C"/>
    <w:rsid w:val="4C6060E7"/>
    <w:rsid w:val="4C832A0F"/>
    <w:rsid w:val="4C9646F8"/>
    <w:rsid w:val="4CA416BD"/>
    <w:rsid w:val="4CE251E5"/>
    <w:rsid w:val="4D4A7F7F"/>
    <w:rsid w:val="4DCA3B1F"/>
    <w:rsid w:val="4DFB676B"/>
    <w:rsid w:val="4E29087A"/>
    <w:rsid w:val="4E3B3967"/>
    <w:rsid w:val="4E8A5413"/>
    <w:rsid w:val="4F0A4577"/>
    <w:rsid w:val="4F214010"/>
    <w:rsid w:val="4F365F80"/>
    <w:rsid w:val="4F41067F"/>
    <w:rsid w:val="4F872991"/>
    <w:rsid w:val="4F9E70C8"/>
    <w:rsid w:val="4FBC434D"/>
    <w:rsid w:val="4FC4191F"/>
    <w:rsid w:val="4FF1FA51"/>
    <w:rsid w:val="506E65E5"/>
    <w:rsid w:val="50A430E2"/>
    <w:rsid w:val="50AC4533"/>
    <w:rsid w:val="5183020C"/>
    <w:rsid w:val="51E63B9D"/>
    <w:rsid w:val="51E71D91"/>
    <w:rsid w:val="51FB42CB"/>
    <w:rsid w:val="520E1377"/>
    <w:rsid w:val="521306D1"/>
    <w:rsid w:val="522C32AD"/>
    <w:rsid w:val="52A15109"/>
    <w:rsid w:val="52E7678C"/>
    <w:rsid w:val="53227C3B"/>
    <w:rsid w:val="539270C2"/>
    <w:rsid w:val="53A86D1A"/>
    <w:rsid w:val="53CE5A91"/>
    <w:rsid w:val="541812EB"/>
    <w:rsid w:val="542803FC"/>
    <w:rsid w:val="54AC1D1E"/>
    <w:rsid w:val="54D92F95"/>
    <w:rsid w:val="54EA7704"/>
    <w:rsid w:val="55154DDA"/>
    <w:rsid w:val="55356EFF"/>
    <w:rsid w:val="5605325D"/>
    <w:rsid w:val="56125DDF"/>
    <w:rsid w:val="56466D21"/>
    <w:rsid w:val="567E2F3F"/>
    <w:rsid w:val="56837D43"/>
    <w:rsid w:val="56AD23B9"/>
    <w:rsid w:val="56AF1635"/>
    <w:rsid w:val="56BA2F50"/>
    <w:rsid w:val="56CA13E0"/>
    <w:rsid w:val="56CC477F"/>
    <w:rsid w:val="57141A54"/>
    <w:rsid w:val="57596CA1"/>
    <w:rsid w:val="57D6281E"/>
    <w:rsid w:val="57E20D87"/>
    <w:rsid w:val="5853141A"/>
    <w:rsid w:val="586C403B"/>
    <w:rsid w:val="5882539B"/>
    <w:rsid w:val="58A37246"/>
    <w:rsid w:val="59197E3F"/>
    <w:rsid w:val="59464DFD"/>
    <w:rsid w:val="5977790D"/>
    <w:rsid w:val="5987465C"/>
    <w:rsid w:val="59897A7D"/>
    <w:rsid w:val="59D80616"/>
    <w:rsid w:val="59FD08AF"/>
    <w:rsid w:val="5A2137AD"/>
    <w:rsid w:val="5A660EF9"/>
    <w:rsid w:val="5A9F7FBF"/>
    <w:rsid w:val="5AA91374"/>
    <w:rsid w:val="5AB741DE"/>
    <w:rsid w:val="5AC74660"/>
    <w:rsid w:val="5AD918E3"/>
    <w:rsid w:val="5AEB28D6"/>
    <w:rsid w:val="5AFE7E1B"/>
    <w:rsid w:val="5B6212ED"/>
    <w:rsid w:val="5B77192B"/>
    <w:rsid w:val="5BA368E1"/>
    <w:rsid w:val="5BBF4592"/>
    <w:rsid w:val="5BFF1A08"/>
    <w:rsid w:val="5C7322B3"/>
    <w:rsid w:val="5CF3160F"/>
    <w:rsid w:val="5D6675A0"/>
    <w:rsid w:val="5D8040CF"/>
    <w:rsid w:val="5D8A4ABF"/>
    <w:rsid w:val="5D8F47F2"/>
    <w:rsid w:val="5DB11738"/>
    <w:rsid w:val="5DF9EF67"/>
    <w:rsid w:val="5DFD25CA"/>
    <w:rsid w:val="5E017E63"/>
    <w:rsid w:val="5E185666"/>
    <w:rsid w:val="5E867860"/>
    <w:rsid w:val="5EBF31DF"/>
    <w:rsid w:val="5F001BFB"/>
    <w:rsid w:val="5F010D61"/>
    <w:rsid w:val="5F304973"/>
    <w:rsid w:val="5F37698D"/>
    <w:rsid w:val="5F3C40E3"/>
    <w:rsid w:val="5FF8EA0A"/>
    <w:rsid w:val="5FFB07F8"/>
    <w:rsid w:val="601E2F97"/>
    <w:rsid w:val="60AA3876"/>
    <w:rsid w:val="60B27536"/>
    <w:rsid w:val="60D05AB7"/>
    <w:rsid w:val="60D24325"/>
    <w:rsid w:val="6136718C"/>
    <w:rsid w:val="613C0249"/>
    <w:rsid w:val="619701EB"/>
    <w:rsid w:val="6218508C"/>
    <w:rsid w:val="621A2C0C"/>
    <w:rsid w:val="62311113"/>
    <w:rsid w:val="62C739F6"/>
    <w:rsid w:val="62F24C98"/>
    <w:rsid w:val="630C2E4E"/>
    <w:rsid w:val="63722FBE"/>
    <w:rsid w:val="63C22DE5"/>
    <w:rsid w:val="63FA1D44"/>
    <w:rsid w:val="648063A1"/>
    <w:rsid w:val="64A3341A"/>
    <w:rsid w:val="64AB68A1"/>
    <w:rsid w:val="64AE75BB"/>
    <w:rsid w:val="64B47216"/>
    <w:rsid w:val="64CD6A5F"/>
    <w:rsid w:val="64D7547D"/>
    <w:rsid w:val="64DF3207"/>
    <w:rsid w:val="652C03ED"/>
    <w:rsid w:val="654156D9"/>
    <w:rsid w:val="65BC23E1"/>
    <w:rsid w:val="65FC6473"/>
    <w:rsid w:val="66192E5A"/>
    <w:rsid w:val="66232A73"/>
    <w:rsid w:val="66FB7EB6"/>
    <w:rsid w:val="671629BB"/>
    <w:rsid w:val="671E4BFE"/>
    <w:rsid w:val="67F850CC"/>
    <w:rsid w:val="67FD327B"/>
    <w:rsid w:val="684755E5"/>
    <w:rsid w:val="68EF26DD"/>
    <w:rsid w:val="68FBD558"/>
    <w:rsid w:val="69046E59"/>
    <w:rsid w:val="692F5D6F"/>
    <w:rsid w:val="6930484D"/>
    <w:rsid w:val="69346095"/>
    <w:rsid w:val="69512717"/>
    <w:rsid w:val="695F6FA6"/>
    <w:rsid w:val="696D1987"/>
    <w:rsid w:val="69B72631"/>
    <w:rsid w:val="69C83661"/>
    <w:rsid w:val="69CBC31D"/>
    <w:rsid w:val="69CF2BE4"/>
    <w:rsid w:val="69F71B0C"/>
    <w:rsid w:val="6A14014E"/>
    <w:rsid w:val="6A4A6CC6"/>
    <w:rsid w:val="6A9E4BFD"/>
    <w:rsid w:val="6AD035E4"/>
    <w:rsid w:val="6AE47BA6"/>
    <w:rsid w:val="6AE9122A"/>
    <w:rsid w:val="6B273DA4"/>
    <w:rsid w:val="6B4428C9"/>
    <w:rsid w:val="6B471D27"/>
    <w:rsid w:val="6B8B48F7"/>
    <w:rsid w:val="6BE613A6"/>
    <w:rsid w:val="6BEF6A0F"/>
    <w:rsid w:val="6BF80043"/>
    <w:rsid w:val="6C5B2637"/>
    <w:rsid w:val="6C890625"/>
    <w:rsid w:val="6C9C4CE6"/>
    <w:rsid w:val="6CE37A90"/>
    <w:rsid w:val="6CE46682"/>
    <w:rsid w:val="6DB346FA"/>
    <w:rsid w:val="6E126C9E"/>
    <w:rsid w:val="6E431753"/>
    <w:rsid w:val="6E5035C7"/>
    <w:rsid w:val="6E50717A"/>
    <w:rsid w:val="6EEF9EBB"/>
    <w:rsid w:val="6FCC7FB9"/>
    <w:rsid w:val="6FE86EEC"/>
    <w:rsid w:val="701412D8"/>
    <w:rsid w:val="705E7025"/>
    <w:rsid w:val="70C9739E"/>
    <w:rsid w:val="7135343E"/>
    <w:rsid w:val="7137231E"/>
    <w:rsid w:val="715E2308"/>
    <w:rsid w:val="7162180C"/>
    <w:rsid w:val="71743F3E"/>
    <w:rsid w:val="71BF2177"/>
    <w:rsid w:val="71C72E70"/>
    <w:rsid w:val="71F5216A"/>
    <w:rsid w:val="721D0E3F"/>
    <w:rsid w:val="722F5E61"/>
    <w:rsid w:val="725B4E3F"/>
    <w:rsid w:val="726E30F7"/>
    <w:rsid w:val="727E449B"/>
    <w:rsid w:val="72AD047C"/>
    <w:rsid w:val="72C5602D"/>
    <w:rsid w:val="7333063A"/>
    <w:rsid w:val="734C5CCF"/>
    <w:rsid w:val="73516E8A"/>
    <w:rsid w:val="73986934"/>
    <w:rsid w:val="73FFB84C"/>
    <w:rsid w:val="741160C0"/>
    <w:rsid w:val="746C6D4C"/>
    <w:rsid w:val="74857A15"/>
    <w:rsid w:val="74BF1041"/>
    <w:rsid w:val="74F9468F"/>
    <w:rsid w:val="7520180E"/>
    <w:rsid w:val="753447A0"/>
    <w:rsid w:val="755B222A"/>
    <w:rsid w:val="75697370"/>
    <w:rsid w:val="75996033"/>
    <w:rsid w:val="75A0544D"/>
    <w:rsid w:val="75D16776"/>
    <w:rsid w:val="75F77FA2"/>
    <w:rsid w:val="7602715E"/>
    <w:rsid w:val="7605528B"/>
    <w:rsid w:val="76373333"/>
    <w:rsid w:val="76EE55F6"/>
    <w:rsid w:val="76F343E7"/>
    <w:rsid w:val="76FF8D75"/>
    <w:rsid w:val="773B6C35"/>
    <w:rsid w:val="778FCEBA"/>
    <w:rsid w:val="77A25FDF"/>
    <w:rsid w:val="77A4140B"/>
    <w:rsid w:val="77C74A05"/>
    <w:rsid w:val="77FD5EE0"/>
    <w:rsid w:val="78480A00"/>
    <w:rsid w:val="78544C82"/>
    <w:rsid w:val="78B12A25"/>
    <w:rsid w:val="78D61650"/>
    <w:rsid w:val="7A0C0044"/>
    <w:rsid w:val="7A1E099B"/>
    <w:rsid w:val="7A6A297F"/>
    <w:rsid w:val="7A6F0DD0"/>
    <w:rsid w:val="7A757FBB"/>
    <w:rsid w:val="7A7876C0"/>
    <w:rsid w:val="7A9F01D2"/>
    <w:rsid w:val="7ACB5CA8"/>
    <w:rsid w:val="7ACFE788"/>
    <w:rsid w:val="7B2810AB"/>
    <w:rsid w:val="7B2C4406"/>
    <w:rsid w:val="7B637D4F"/>
    <w:rsid w:val="7B745860"/>
    <w:rsid w:val="7B795524"/>
    <w:rsid w:val="7BD33D2C"/>
    <w:rsid w:val="7BE73A86"/>
    <w:rsid w:val="7BE782E5"/>
    <w:rsid w:val="7BEE1509"/>
    <w:rsid w:val="7BFD5647"/>
    <w:rsid w:val="7BFFA85F"/>
    <w:rsid w:val="7C4D77E5"/>
    <w:rsid w:val="7C7C788F"/>
    <w:rsid w:val="7CA07B16"/>
    <w:rsid w:val="7D0B4053"/>
    <w:rsid w:val="7D177048"/>
    <w:rsid w:val="7D21760C"/>
    <w:rsid w:val="7D576572"/>
    <w:rsid w:val="7DA947FF"/>
    <w:rsid w:val="7DBE0479"/>
    <w:rsid w:val="7DC373DB"/>
    <w:rsid w:val="7DDD2C3D"/>
    <w:rsid w:val="7DE45813"/>
    <w:rsid w:val="7DEE6D55"/>
    <w:rsid w:val="7E795FC2"/>
    <w:rsid w:val="7E7BE8D8"/>
    <w:rsid w:val="7E7F7279"/>
    <w:rsid w:val="7EB9E0CF"/>
    <w:rsid w:val="7EFD321D"/>
    <w:rsid w:val="7F23D0D0"/>
    <w:rsid w:val="7F425811"/>
    <w:rsid w:val="7F4900EA"/>
    <w:rsid w:val="7F4A1687"/>
    <w:rsid w:val="7F63E55C"/>
    <w:rsid w:val="7F7C3EFA"/>
    <w:rsid w:val="7F81115E"/>
    <w:rsid w:val="7FC59F8B"/>
    <w:rsid w:val="7FFFC917"/>
    <w:rsid w:val="94FFC9E8"/>
    <w:rsid w:val="9DFA443F"/>
    <w:rsid w:val="9FEB5261"/>
    <w:rsid w:val="ABBE908F"/>
    <w:rsid w:val="B79FA739"/>
    <w:rsid w:val="B87DC3FF"/>
    <w:rsid w:val="BA9CC4DF"/>
    <w:rsid w:val="BBC75F1A"/>
    <w:rsid w:val="BC3FB32C"/>
    <w:rsid w:val="BFBC13BC"/>
    <w:rsid w:val="BFEFD61B"/>
    <w:rsid w:val="BFF6A9C4"/>
    <w:rsid w:val="BFFF1635"/>
    <w:rsid w:val="C4BFF25B"/>
    <w:rsid w:val="CBBDD131"/>
    <w:rsid w:val="D73F2184"/>
    <w:rsid w:val="D7F26A5A"/>
    <w:rsid w:val="D9EE8181"/>
    <w:rsid w:val="DD7FABB5"/>
    <w:rsid w:val="DDED0AFB"/>
    <w:rsid w:val="DDFF8489"/>
    <w:rsid w:val="DEEDAC46"/>
    <w:rsid w:val="DFAF874C"/>
    <w:rsid w:val="DFDD7E06"/>
    <w:rsid w:val="DFFF8231"/>
    <w:rsid w:val="E75FB2B9"/>
    <w:rsid w:val="E7CB15F6"/>
    <w:rsid w:val="EEA41CE7"/>
    <w:rsid w:val="EFBFCD5B"/>
    <w:rsid w:val="F5D17CC1"/>
    <w:rsid w:val="F75BB4E9"/>
    <w:rsid w:val="F7FBC446"/>
    <w:rsid w:val="F893578C"/>
    <w:rsid w:val="F96FFFD2"/>
    <w:rsid w:val="FB729563"/>
    <w:rsid w:val="FBFD4B3E"/>
    <w:rsid w:val="FBFF72ED"/>
    <w:rsid w:val="FDDF6E47"/>
    <w:rsid w:val="FEEFE40B"/>
    <w:rsid w:val="FF6F2507"/>
    <w:rsid w:val="FF780F1E"/>
    <w:rsid w:val="FFAF2341"/>
    <w:rsid w:val="FFD71116"/>
    <w:rsid w:val="FFF37E4A"/>
    <w:rsid w:val="FF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0" w:afterAutospacing="0" w:line="560" w:lineRule="exact"/>
      <w:ind w:firstLine="880" w:firstLineChars="200"/>
      <w:jc w:val="left"/>
      <w:outlineLvl w:val="1"/>
    </w:pPr>
    <w:rPr>
      <w:rFonts w:hint="eastAsia" w:ascii="黑体" w:hAnsi="黑体" w:eastAsia="黑体" w:cs="宋体"/>
      <w:kern w:val="0"/>
      <w:szCs w:val="36"/>
      <w:lang w:bidi="ar"/>
    </w:rPr>
  </w:style>
  <w:style w:type="paragraph" w:styleId="5">
    <w:name w:val="heading 3"/>
    <w:basedOn w:val="1"/>
    <w:next w:val="1"/>
    <w:link w:val="22"/>
    <w:unhideWhenUsed/>
    <w:qFormat/>
    <w:uiPriority w:val="0"/>
    <w:pPr>
      <w:keepNext/>
      <w:keepLines/>
      <w:ind w:firstLine="640"/>
      <w:outlineLvl w:val="2"/>
    </w:pPr>
    <w:rPr>
      <w:rFonts w:ascii="楷体_GB2312" w:hAnsi="楷体_GB2312" w:eastAsia="楷体_GB2312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Plain Text"/>
    <w:basedOn w:val="1"/>
    <w:qFormat/>
    <w:uiPriority w:val="0"/>
    <w:rPr>
      <w:rFonts w:ascii="宋体" w:hAnsi="Calibri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table of figures"/>
    <w:basedOn w:val="1"/>
    <w:next w:val="1"/>
    <w:qFormat/>
    <w:uiPriority w:val="0"/>
    <w:pPr>
      <w:spacing w:line="240" w:lineRule="auto"/>
      <w:ind w:leftChars="0" w:firstLine="0" w:firstLineChars="0"/>
      <w:jc w:val="center"/>
    </w:pPr>
    <w:rPr>
      <w:b/>
      <w:sz w:val="28"/>
    </w:rPr>
  </w:style>
  <w:style w:type="paragraph" w:styleId="13">
    <w:name w:val="toc 2"/>
    <w:basedOn w:val="1"/>
    <w:next w:val="1"/>
    <w:semiHidden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footnote reference"/>
    <w:basedOn w:val="18"/>
    <w:qFormat/>
    <w:uiPriority w:val="0"/>
    <w:rPr>
      <w:vertAlign w:val="superscript"/>
    </w:rPr>
  </w:style>
  <w:style w:type="character" w:customStyle="1" w:styleId="21">
    <w:name w:val="标题 1 Char"/>
    <w:link w:val="3"/>
    <w:qFormat/>
    <w:uiPriority w:val="0"/>
    <w:rPr>
      <w:rFonts w:ascii="方正小标宋简体" w:hAnsi="方正小标宋简体" w:eastAsia="方正小标宋简体" w:cstheme="minorBidi"/>
      <w:bCs/>
      <w:kern w:val="44"/>
      <w:sz w:val="44"/>
      <w:szCs w:val="44"/>
    </w:rPr>
  </w:style>
  <w:style w:type="character" w:customStyle="1" w:styleId="22">
    <w:name w:val="标题 3 Char"/>
    <w:link w:val="5"/>
    <w:qFormat/>
    <w:uiPriority w:val="0"/>
    <w:rPr>
      <w:rFonts w:ascii="楷体_GB2312" w:hAnsi="楷体_GB2312" w:eastAsia="楷体_GB2312"/>
      <w:b/>
      <w:bCs/>
      <w:kern w:val="2"/>
      <w:sz w:val="32"/>
      <w:szCs w:val="32"/>
    </w:rPr>
  </w:style>
  <w:style w:type="paragraph" w:customStyle="1" w:styleId="23">
    <w:name w:val="图表内容"/>
    <w:basedOn w:val="1"/>
    <w:qFormat/>
    <w:uiPriority w:val="0"/>
    <w:pPr>
      <w:spacing w:line="340" w:lineRule="exact"/>
      <w:ind w:firstLine="0" w:firstLineChars="0"/>
      <w:jc w:val="center"/>
    </w:pPr>
    <w:rPr>
      <w:sz w:val="21"/>
      <w:szCs w:val="21"/>
    </w:rPr>
  </w:style>
  <w:style w:type="paragraph" w:customStyle="1" w:styleId="24">
    <w:name w:val="公文标题1"/>
    <w:basedOn w:val="16"/>
    <w:qFormat/>
    <w:uiPriority w:val="0"/>
    <w:rPr>
      <w:rFonts w:ascii="Arial" w:hAnsi="Arial" w:eastAsia="方正小标宋_GBK" w:cs="Times New Roman"/>
      <w:sz w:val="44"/>
    </w:rPr>
  </w:style>
  <w:style w:type="paragraph" w:customStyle="1" w:styleId="25">
    <w:name w:val="公文1级标题"/>
    <w:basedOn w:val="2"/>
    <w:qFormat/>
    <w:uiPriority w:val="0"/>
    <w:rPr>
      <w:rFonts w:eastAsia="黑体" w:cs="Times New Roman"/>
    </w:rPr>
  </w:style>
  <w:style w:type="paragraph" w:customStyle="1" w:styleId="26">
    <w:name w:val="公文2级标题"/>
    <w:basedOn w:val="2"/>
    <w:qFormat/>
    <w:uiPriority w:val="0"/>
    <w:rPr>
      <w:rFonts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区科委</Company>
  <Pages>6</Pages>
  <Words>2854</Words>
  <Characters>2922</Characters>
  <Lines>0</Lines>
  <Paragraphs>0</Paragraphs>
  <TotalTime>0</TotalTime>
  <ScaleCrop>false</ScaleCrop>
  <LinksUpToDate>false</LinksUpToDate>
  <CharactersWithSpaces>2948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2024-08-25T23:48:00Z</dcterms:created>
  <dc:creator>hp</dc:creator>
  <cp:lastModifiedBy>user</cp:lastModifiedBy>
  <cp:lastPrinted>2025-02-26T03:46:00Z</cp:lastPrinted>
  <dcterms:modified xsi:type="dcterms:W3CDTF">2025-03-11T15:29:41Z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4075EAC4FD404BFAAADFD601CDB7C241_12</vt:lpwstr>
  </property>
  <property fmtid="{D5CDD505-2E9C-101B-9397-08002B2CF9AE}" pid="4" name="KSOTemplateDocerSaveRecord">
    <vt:lpwstr>eyJoZGlkIjoiYzFhZGM1MTZlYzFmYzA0NDYxODkzYzEyNDk5MzRiZmIiLCJ1c2VySWQiOiIxNTU4NDk5MzM5In0=</vt:lpwstr>
  </property>
</Properties>
</file>