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A5EBD">
      <w:pPr>
        <w:tabs>
          <w:tab w:val="left" w:pos="7560"/>
          <w:tab w:val="left" w:pos="8100"/>
          <w:tab w:val="left" w:pos="8280"/>
        </w:tabs>
        <w:adjustRightInd w:val="0"/>
        <w:snapToGrid w:val="0"/>
        <w:spacing w:line="560" w:lineRule="exact"/>
        <w:jc w:val="center"/>
        <w:rPr>
          <w:rFonts w:ascii="方正小标宋简体" w:hAnsi="方正小标宋简体" w:eastAsia="方正小标宋简体" w:cs="方正小标宋简体"/>
          <w:sz w:val="44"/>
          <w:szCs w:val="20"/>
        </w:rPr>
      </w:pPr>
      <w:r>
        <w:rPr>
          <w:rFonts w:hint="eastAsia" w:ascii="方正小标宋简体" w:hAnsi="方正小标宋简体" w:eastAsia="方正小标宋简体" w:cs="方正小标宋简体"/>
          <w:sz w:val="44"/>
          <w:szCs w:val="20"/>
        </w:rPr>
        <w:t>关于《房山区鲜果果园、花卉、苗圃设施</w:t>
      </w:r>
    </w:p>
    <w:p w14:paraId="3A7CF08C">
      <w:pPr>
        <w:tabs>
          <w:tab w:val="left" w:pos="7560"/>
          <w:tab w:val="left" w:pos="8100"/>
          <w:tab w:val="left" w:pos="8280"/>
        </w:tabs>
        <w:adjustRightInd w:val="0"/>
        <w:snapToGrid w:val="0"/>
        <w:spacing w:line="560" w:lineRule="exact"/>
        <w:jc w:val="center"/>
        <w:rPr>
          <w:rFonts w:ascii="方正小标宋简体" w:hAnsi="方正小标宋简体" w:eastAsia="方正小标宋简体" w:cs="方正小标宋简体"/>
          <w:sz w:val="44"/>
          <w:szCs w:val="20"/>
        </w:rPr>
      </w:pPr>
      <w:r>
        <w:rPr>
          <w:rFonts w:hint="eastAsia" w:ascii="方正小标宋简体" w:hAnsi="方正小标宋简体" w:eastAsia="方正小标宋简体" w:cs="方正小标宋简体"/>
          <w:sz w:val="44"/>
          <w:szCs w:val="20"/>
        </w:rPr>
        <w:t>用地导则（暂行）（征求意见稿）》的</w:t>
      </w:r>
    </w:p>
    <w:p w14:paraId="7E8838FB">
      <w:pPr>
        <w:tabs>
          <w:tab w:val="left" w:pos="7560"/>
          <w:tab w:val="left" w:pos="8100"/>
          <w:tab w:val="left" w:pos="8280"/>
        </w:tabs>
        <w:adjustRightInd w:val="0"/>
        <w:snapToGrid w:val="0"/>
        <w:spacing w:line="560" w:lineRule="exact"/>
        <w:jc w:val="center"/>
        <w:rPr>
          <w:rFonts w:ascii="方正小标宋简体" w:hAnsi="方正小标宋简体" w:eastAsia="方正小标宋简体" w:cs="方正小标宋简体"/>
          <w:sz w:val="44"/>
          <w:szCs w:val="20"/>
        </w:rPr>
      </w:pPr>
      <w:r>
        <w:rPr>
          <w:rFonts w:hint="eastAsia" w:ascii="方正小标宋简体" w:hAnsi="方正小标宋简体" w:eastAsia="方正小标宋简体" w:cs="方正小标宋简体"/>
          <w:sz w:val="44"/>
          <w:szCs w:val="20"/>
        </w:rPr>
        <w:t>起草说明</w:t>
      </w:r>
    </w:p>
    <w:p w14:paraId="03039713">
      <w:pPr>
        <w:widowControl/>
        <w:kinsoku w:val="0"/>
        <w:autoSpaceDE w:val="0"/>
        <w:autoSpaceDN w:val="0"/>
        <w:adjustRightInd w:val="0"/>
        <w:snapToGrid w:val="0"/>
        <w:spacing w:before="101" w:line="221" w:lineRule="auto"/>
        <w:ind w:firstLine="656" w:firstLineChars="200"/>
        <w:textAlignment w:val="baseline"/>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一、编制背景</w:t>
      </w:r>
    </w:p>
    <w:p w14:paraId="74F29653">
      <w:pPr>
        <w:adjustRightInd w:val="0"/>
        <w:snapToGrid w:val="0"/>
        <w:spacing w:line="560" w:lineRule="exact"/>
        <w:ind w:firstLine="640" w:firstLineChars="200"/>
        <w:rPr>
          <w:rFonts w:ascii="仿宋_GB2312" w:hAnsi="仿宋" w:eastAsia="仿宋_GB2312"/>
          <w:sz w:val="32"/>
          <w:szCs w:val="32"/>
        </w:rPr>
      </w:pPr>
      <w:r>
        <w:rPr>
          <w:rFonts w:hint="eastAsia" w:ascii="仿宋_GB2312" w:hAnsi="宋体" w:eastAsia="仿宋_GB2312" w:cs="宋体"/>
          <w:kern w:val="0"/>
          <w:sz w:val="32"/>
          <w:szCs w:val="32"/>
        </w:rPr>
        <w:t>为推进房山区设施农用地（林业部分）备案工作</w:t>
      </w:r>
      <w:r>
        <w:rPr>
          <w:rFonts w:hint="eastAsia" w:ascii="仿宋_GB2312" w:hAnsi="仿宋" w:eastAsia="仿宋_GB2312"/>
          <w:sz w:val="32"/>
          <w:szCs w:val="32"/>
        </w:rPr>
        <w:t>，</w:t>
      </w:r>
      <w:r>
        <w:rPr>
          <w:rFonts w:hint="eastAsia" w:ascii="仿宋_GB2312" w:hAnsi="宋体" w:eastAsia="仿宋_GB2312" w:cs="宋体"/>
          <w:kern w:val="0"/>
          <w:sz w:val="32"/>
          <w:szCs w:val="32"/>
        </w:rPr>
        <w:t>依据《关于加强和规范设施农业用地管理的通知》（</w:t>
      </w:r>
      <w:r>
        <w:rPr>
          <w:rFonts w:hint="eastAsia" w:ascii="仿宋_GB2312" w:eastAsia="仿宋_GB2312"/>
          <w:sz w:val="32"/>
          <w:szCs w:val="32"/>
        </w:rPr>
        <w:t>京规自发〔2021〕62号</w:t>
      </w:r>
      <w:r>
        <w:rPr>
          <w:rFonts w:hint="eastAsia" w:ascii="仿宋_GB2312" w:hAnsi="宋体" w:eastAsia="仿宋_GB2312" w:cs="宋体"/>
          <w:kern w:val="0"/>
          <w:sz w:val="32"/>
          <w:szCs w:val="32"/>
        </w:rPr>
        <w:t>）、</w:t>
      </w:r>
      <w:r>
        <w:rPr>
          <w:rFonts w:hint="eastAsia" w:ascii="仿宋_GB2312" w:eastAsia="仿宋_GB2312"/>
          <w:sz w:val="32"/>
          <w:szCs w:val="32"/>
        </w:rPr>
        <w:t>《土地利用现状分类》（GB/T 21010-2017）和北京市《地类认定规范》（DB11/T1108-2014）等有关文件</w:t>
      </w:r>
      <w:r>
        <w:rPr>
          <w:rFonts w:hint="eastAsia" w:ascii="仿宋_GB2312" w:hAnsi="仿宋" w:eastAsia="仿宋_GB2312"/>
          <w:sz w:val="32"/>
          <w:szCs w:val="32"/>
        </w:rPr>
        <w:t>，</w:t>
      </w:r>
      <w:r>
        <w:rPr>
          <w:rFonts w:hint="eastAsia" w:ascii="仿宋_GB2312" w:hAnsi="微软雅黑" w:eastAsia="仿宋_GB2312" w:cs="宋体"/>
          <w:kern w:val="0"/>
          <w:sz w:val="32"/>
          <w:szCs w:val="32"/>
        </w:rPr>
        <w:t>加强和规范房山区设施农业用地管理，促进林业健康发展，北京市房山区园林绿化局牵头组织编制了《房山区鲜果果园、花卉、苗圃设施用地导则（暂行）（征求意见稿）》</w:t>
      </w:r>
      <w:r>
        <w:rPr>
          <w:rFonts w:hint="eastAsia" w:ascii="仿宋_GB2312" w:hAnsi="仿宋" w:eastAsia="仿宋_GB2312"/>
          <w:sz w:val="32"/>
          <w:szCs w:val="32"/>
        </w:rPr>
        <w:t>（以下简称导则）</w:t>
      </w:r>
      <w:r>
        <w:rPr>
          <w:rFonts w:hint="eastAsia" w:ascii="仿宋_GB2312" w:hAnsi="微软雅黑" w:eastAsia="仿宋_GB2312" w:cs="宋体"/>
          <w:kern w:val="0"/>
          <w:sz w:val="32"/>
          <w:szCs w:val="32"/>
        </w:rPr>
        <w:t>。</w:t>
      </w:r>
    </w:p>
    <w:p w14:paraId="638F4AFD">
      <w:pPr>
        <w:tabs>
          <w:tab w:val="left" w:pos="7560"/>
          <w:tab w:val="left" w:pos="8100"/>
          <w:tab w:val="left" w:pos="8280"/>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二、编制依据</w:t>
      </w:r>
    </w:p>
    <w:p w14:paraId="10808178">
      <w:pPr>
        <w:ind w:firstLine="640" w:firstLineChars="200"/>
        <w:rPr>
          <w:rFonts w:ascii="Calibri" w:hAnsi="Calibri" w:eastAsia="宋体" w:cs="Times New Roman"/>
          <w:szCs w:val="21"/>
        </w:rPr>
      </w:pPr>
      <w:r>
        <w:rPr>
          <w:rFonts w:hint="eastAsia" w:ascii="仿宋_GB2312" w:hAnsi="仿宋" w:eastAsia="仿宋_GB2312"/>
          <w:sz w:val="32"/>
          <w:szCs w:val="32"/>
        </w:rPr>
        <w:t>导则编制主要依据</w:t>
      </w:r>
      <w:r>
        <w:rPr>
          <w:rFonts w:hint="eastAsia" w:ascii="仿宋_GB2312" w:hAnsi="宋体" w:eastAsia="仿宋_GB2312" w:cs="宋体"/>
          <w:kern w:val="0"/>
          <w:sz w:val="32"/>
          <w:szCs w:val="32"/>
        </w:rPr>
        <w:t>《关于加强和规范设施农业用地管理的通知》（</w:t>
      </w:r>
      <w:r>
        <w:rPr>
          <w:rFonts w:hint="eastAsia" w:ascii="仿宋_GB2312" w:eastAsia="仿宋_GB2312"/>
          <w:sz w:val="32"/>
          <w:szCs w:val="32"/>
        </w:rPr>
        <w:t>京规自发〔2021〕62号</w:t>
      </w:r>
      <w:r>
        <w:rPr>
          <w:rFonts w:hint="eastAsia" w:ascii="仿宋_GB2312" w:hAnsi="宋体" w:eastAsia="仿宋_GB2312" w:cs="宋体"/>
          <w:kern w:val="0"/>
          <w:sz w:val="32"/>
          <w:szCs w:val="32"/>
        </w:rPr>
        <w:t>）、</w:t>
      </w:r>
      <w:r>
        <w:rPr>
          <w:rFonts w:hint="eastAsia" w:ascii="仿宋_GB2312" w:eastAsia="仿宋_GB2312"/>
          <w:sz w:val="32"/>
          <w:szCs w:val="32"/>
        </w:rPr>
        <w:t>《土地利用现状分类》（GB/T 21010-2017）、北京市《地类认定规范》（DB11/T1108-2014）、《关于印发&lt;北京市设施农业用地导则（试行）&gt;的函》（京政农函〔2021〕73号）等有关文件和标准。</w:t>
      </w:r>
    </w:p>
    <w:p w14:paraId="364EC2BA">
      <w:pPr>
        <w:numPr>
          <w:ilvl w:val="0"/>
          <w:numId w:val="1"/>
        </w:numPr>
        <w:tabs>
          <w:tab w:val="left" w:pos="7560"/>
          <w:tab w:val="left" w:pos="8100"/>
          <w:tab w:val="left" w:pos="8280"/>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编制情况</w:t>
      </w:r>
    </w:p>
    <w:p w14:paraId="3FB58CA6">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导则编制坚持政府组织、部门合作、公众参与、科学决策的原则，</w:t>
      </w:r>
      <w:r>
        <w:rPr>
          <w:rFonts w:hint="eastAsia" w:ascii="仿宋_GB2312" w:hAnsi="仿宋" w:eastAsia="仿宋_GB2312"/>
          <w:sz w:val="32"/>
          <w:szCs w:val="32"/>
          <w:lang w:val="zh-TW"/>
        </w:rPr>
        <w:t>由</w:t>
      </w:r>
      <w:r>
        <w:rPr>
          <w:rFonts w:hint="eastAsia" w:ascii="仿宋_GB2312" w:hAnsi="仿宋" w:eastAsia="仿宋_GB2312"/>
          <w:sz w:val="32"/>
          <w:szCs w:val="32"/>
        </w:rPr>
        <w:t>房山区</w:t>
      </w:r>
      <w:r>
        <w:rPr>
          <w:rFonts w:hint="eastAsia" w:ascii="仿宋_GB2312" w:hAnsi="仿宋" w:eastAsia="仿宋_GB2312"/>
          <w:sz w:val="32"/>
          <w:szCs w:val="32"/>
          <w:lang w:val="zh-TW"/>
        </w:rPr>
        <w:t>园林绿化局负责</w:t>
      </w:r>
      <w:r>
        <w:rPr>
          <w:rFonts w:hint="eastAsia" w:ascii="仿宋_GB2312" w:hAnsi="仿宋" w:eastAsia="仿宋_GB2312"/>
          <w:sz w:val="32"/>
          <w:szCs w:val="32"/>
        </w:rPr>
        <w:t>组织实施</w:t>
      </w:r>
      <w:r>
        <w:rPr>
          <w:rFonts w:hint="eastAsia" w:ascii="仿宋_GB2312" w:hAnsi="仿宋" w:eastAsia="仿宋_GB2312"/>
          <w:sz w:val="32"/>
          <w:szCs w:val="32"/>
          <w:lang w:val="zh-TW"/>
        </w:rPr>
        <w:t>，</w:t>
      </w:r>
      <w:r>
        <w:rPr>
          <w:rFonts w:hint="eastAsia" w:ascii="仿宋_GB2312" w:hAnsi="仿宋" w:eastAsia="仿宋_GB2312"/>
          <w:sz w:val="32"/>
          <w:szCs w:val="32"/>
        </w:rPr>
        <w:t>承担编制的具体工作。按照风险评估、征求意见、组织专家评审等步骤开展工作。</w:t>
      </w:r>
    </w:p>
    <w:p w14:paraId="25426843">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一是编制阶段。成立导则编制组，明确分工责任，通过收集资料、召开座谈会等形式，开展导则的编制工作，包括导则文本和附件数据等，完成初稿。</w:t>
      </w:r>
    </w:p>
    <w:p w14:paraId="2B46FD77">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二是编制成果征求意见阶段。向主管局长汇报成果，同时征求各相关部门及乡镇街道意见，对初稿进行修改完善。</w:t>
      </w:r>
    </w:p>
    <w:p w14:paraId="6F353E70">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是编制成果评审论证阶段。初稿修改完善后，组织专家对导则待审稿进行评审论证。专家组认真审阅导则文本，听取编制小组的汇报后，一致同意本导则通过评审。区园林绿化局依据专家意见对编制成果进一步完善。</w:t>
      </w:r>
    </w:p>
    <w:p w14:paraId="6F2D584F">
      <w:pPr>
        <w:tabs>
          <w:tab w:val="left" w:pos="7560"/>
          <w:tab w:val="left" w:pos="8100"/>
          <w:tab w:val="left" w:pos="8280"/>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四、主要内容</w:t>
      </w:r>
    </w:p>
    <w:p w14:paraId="183CC2B9">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《导则》共六部分内容。</w:t>
      </w:r>
    </w:p>
    <w:p w14:paraId="515E9976">
      <w:pPr>
        <w:spacing w:line="560" w:lineRule="exact"/>
        <w:ind w:firstLine="667"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一是总则。</w:t>
      </w:r>
      <w:r>
        <w:rPr>
          <w:rFonts w:hint="eastAsia" w:ascii="仿宋_GB2312" w:hAnsi="仿宋_GB2312" w:eastAsia="仿宋_GB2312" w:cs="仿宋_GB2312"/>
          <w:spacing w:val="6"/>
          <w:sz w:val="32"/>
          <w:szCs w:val="32"/>
        </w:rPr>
        <w:t>包含依据和适用性等相关要求。</w:t>
      </w:r>
    </w:p>
    <w:p w14:paraId="4C30EBA3">
      <w:pPr>
        <w:numPr>
          <w:ilvl w:val="0"/>
          <w:numId w:val="2"/>
        </w:numPr>
        <w:spacing w:line="560" w:lineRule="exact"/>
        <w:ind w:firstLine="664" w:firstLineChars="200"/>
        <w:rPr>
          <w:rFonts w:ascii="楷体" w:hAnsi="楷体" w:eastAsia="楷体" w:cs="楷体"/>
          <w:spacing w:val="6"/>
          <w:sz w:val="32"/>
          <w:szCs w:val="32"/>
        </w:rPr>
      </w:pPr>
      <w:r>
        <w:rPr>
          <w:rFonts w:hint="eastAsia" w:ascii="楷体" w:hAnsi="楷体" w:eastAsia="楷体" w:cs="楷体"/>
          <w:spacing w:val="6"/>
          <w:sz w:val="32"/>
          <w:szCs w:val="32"/>
        </w:rPr>
        <w:t>依据</w:t>
      </w:r>
    </w:p>
    <w:p w14:paraId="118FF5F4">
      <w:pPr>
        <w:ind w:firstLine="640" w:firstLineChars="200"/>
        <w:rPr>
          <w:rFonts w:ascii="Calibri" w:hAnsi="Calibri" w:eastAsia="宋体" w:cs="Times New Roman"/>
          <w:szCs w:val="21"/>
        </w:rPr>
      </w:pPr>
      <w:r>
        <w:rPr>
          <w:rFonts w:hint="eastAsia" w:ascii="仿宋_GB2312" w:eastAsia="仿宋_GB2312"/>
          <w:sz w:val="32"/>
          <w:szCs w:val="32"/>
        </w:rPr>
        <w:t>本导则依据《关于加强和规范设施农业用地管理的通知》（京规自发〔2021〕62号）、《土地利用现状分类》（GB/T 21010-2017）、北京市《地类认定规范》（DB11/T1108-2014）、《关于印发&lt;北京市设施农业用地导则（试行）&gt;的函》（京政农函〔2021〕73号）等有关文件和标准制定。</w:t>
      </w:r>
    </w:p>
    <w:p w14:paraId="091C6AD4">
      <w:pPr>
        <w:numPr>
          <w:ilvl w:val="0"/>
          <w:numId w:val="2"/>
        </w:numPr>
        <w:spacing w:line="560" w:lineRule="exact"/>
        <w:ind w:firstLine="664" w:firstLineChars="200"/>
        <w:rPr>
          <w:rFonts w:ascii="楷体" w:hAnsi="楷体" w:eastAsia="楷体" w:cs="楷体"/>
          <w:spacing w:val="6"/>
          <w:sz w:val="32"/>
          <w:szCs w:val="32"/>
        </w:rPr>
      </w:pPr>
      <w:r>
        <w:rPr>
          <w:rFonts w:hint="eastAsia" w:ascii="楷体" w:hAnsi="楷体" w:eastAsia="楷体" w:cs="楷体"/>
          <w:spacing w:val="6"/>
          <w:sz w:val="32"/>
          <w:szCs w:val="32"/>
        </w:rPr>
        <w:t>适用性</w:t>
      </w:r>
    </w:p>
    <w:p w14:paraId="4614F88A">
      <w:pPr>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eastAsia="仿宋_GB2312"/>
          <w:sz w:val="32"/>
          <w:szCs w:val="32"/>
        </w:rPr>
        <w:t>本导则仅适用于30亩及以上鲜果果园的新建辅助设施；花卉设施新建生产和辅助设施；80亩及以上苗圃的新建辅助设施。本导则适用于北京市房山区鲜果果园、花卉、苗圃设施建设有关用地的规模控制，各类设施用地规模参考本导则中所列的限值，辅助设施用地总规模不得超过京规自发〔2021〕62号文件的规定。</w:t>
      </w:r>
    </w:p>
    <w:p w14:paraId="36A177F8">
      <w:pPr>
        <w:ind w:firstLine="667" w:firstLineChars="200"/>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二是规模化鲜果果园新建辅助设施用地。</w:t>
      </w:r>
      <w:r>
        <w:rPr>
          <w:rFonts w:hint="eastAsia" w:ascii="仿宋_GB2312" w:hAnsi="仿宋_GB2312" w:eastAsia="仿宋_GB2312" w:cs="仿宋_GB2312"/>
          <w:spacing w:val="6"/>
          <w:sz w:val="32"/>
          <w:szCs w:val="32"/>
        </w:rPr>
        <w:t>包括基本术语和基本规定。</w:t>
      </w:r>
    </w:p>
    <w:p w14:paraId="0C0D87EF">
      <w:pPr>
        <w:spacing w:line="560" w:lineRule="exact"/>
        <w:ind w:firstLine="667"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三是花卉设施新建生产和辅助设施用地。</w:t>
      </w:r>
      <w:r>
        <w:rPr>
          <w:rFonts w:hint="eastAsia" w:ascii="仿宋_GB2312" w:hAnsi="仿宋_GB2312" w:eastAsia="仿宋_GB2312" w:cs="仿宋_GB2312"/>
          <w:spacing w:val="6"/>
          <w:sz w:val="32"/>
          <w:szCs w:val="32"/>
        </w:rPr>
        <w:t>包括基本术语和基本规定。</w:t>
      </w:r>
    </w:p>
    <w:p w14:paraId="613D16D3">
      <w:pPr>
        <w:adjustRightInd w:val="0"/>
        <w:snapToGrid w:val="0"/>
        <w:spacing w:line="560" w:lineRule="exact"/>
        <w:ind w:firstLine="667"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四是苗圃新建辅助设施用地。</w:t>
      </w:r>
      <w:r>
        <w:rPr>
          <w:rFonts w:hint="eastAsia" w:ascii="仿宋_GB2312" w:hAnsi="仿宋_GB2312" w:eastAsia="仿宋_GB2312" w:cs="仿宋_GB2312"/>
          <w:spacing w:val="6"/>
          <w:sz w:val="32"/>
          <w:szCs w:val="32"/>
        </w:rPr>
        <w:t>包括80亩及以上露天种植以苗木为主的苗圃（需具备《林草种子生产经营许可证》，有生产用地，只经营的除外），按照本导则第二款“规模化鲜果果园新建辅助设施”用地相关标准。</w:t>
      </w:r>
    </w:p>
    <w:p w14:paraId="25FAC619">
      <w:pPr>
        <w:pStyle w:val="2"/>
        <w:ind w:firstLine="667" w:firstLineChars="200"/>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五是明确职责，加强监管。</w:t>
      </w:r>
      <w:r>
        <w:rPr>
          <w:rFonts w:hint="eastAsia" w:ascii="仿宋_GB2312" w:hAnsi="仿宋_GB2312" w:eastAsia="仿宋_GB2312" w:cs="仿宋_GB2312"/>
          <w:spacing w:val="6"/>
          <w:sz w:val="32"/>
          <w:szCs w:val="32"/>
        </w:rPr>
        <w:t>包括市</w:t>
      </w:r>
      <w:r>
        <w:rPr>
          <w:rFonts w:hint="eastAsia" w:ascii="仿宋_GB2312" w:hAnsi="仿宋_GB2312" w:eastAsia="仿宋_GB2312" w:cs="仿宋_GB2312"/>
          <w:spacing w:val="6"/>
          <w:sz w:val="32"/>
          <w:szCs w:val="32"/>
          <w:lang w:val="en-US" w:eastAsia="zh-CN"/>
        </w:rPr>
        <w:t>规划自然资源</w:t>
      </w:r>
      <w:bookmarkStart w:id="0" w:name="_GoBack"/>
      <w:bookmarkEnd w:id="0"/>
      <w:r>
        <w:rPr>
          <w:rFonts w:hint="eastAsia" w:ascii="仿宋_GB2312" w:hAnsi="仿宋_GB2312" w:eastAsia="仿宋_GB2312" w:cs="仿宋_GB2312"/>
          <w:spacing w:val="6"/>
          <w:sz w:val="32"/>
          <w:szCs w:val="32"/>
        </w:rPr>
        <w:t>委房山分局、区园林绿化局、区农业农村局、其他相关单位和部门、各乡镇（街道）和生产经营主体的职责。</w:t>
      </w:r>
    </w:p>
    <w:p w14:paraId="099B1D34">
      <w:pPr>
        <w:ind w:firstLine="667" w:firstLineChars="200"/>
      </w:pPr>
      <w:r>
        <w:rPr>
          <w:rFonts w:hint="eastAsia" w:ascii="仿宋_GB2312" w:hAnsi="仿宋_GB2312" w:eastAsia="仿宋_GB2312" w:cs="仿宋_GB2312"/>
          <w:b/>
          <w:bCs/>
          <w:spacing w:val="6"/>
          <w:sz w:val="32"/>
          <w:szCs w:val="32"/>
        </w:rPr>
        <w:t>六是附件1和附件2</w:t>
      </w:r>
      <w:r>
        <w:rPr>
          <w:rFonts w:ascii="仿宋_GB2312" w:hAnsi="仿宋_GB2312" w:eastAsia="仿宋_GB2312" w:cs="仿宋_GB2312"/>
          <w:b/>
          <w:bCs/>
          <w:spacing w:val="6"/>
          <w:sz w:val="32"/>
          <w:szCs w:val="32"/>
        </w:rPr>
        <w:t>。</w:t>
      </w:r>
      <w:r>
        <w:rPr>
          <w:rFonts w:hint="eastAsia" w:ascii="仿宋_GB2312" w:hAnsi="仿宋_GB2312" w:eastAsia="仿宋_GB2312" w:cs="仿宋_GB2312"/>
          <w:spacing w:val="6"/>
          <w:sz w:val="32"/>
          <w:szCs w:val="32"/>
        </w:rPr>
        <w:t>包括房山区规模化鲜果果园辅助设施用地标准和房山区设施花卉生产和辅助设施用地标准。</w:t>
      </w:r>
    </w:p>
    <w:p w14:paraId="1F5B8A44"/>
    <w:p w14:paraId="0B8FE951"/>
    <w:p w14:paraId="78AD2E9E">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AA972"/>
    <w:multiLevelType w:val="singleLevel"/>
    <w:tmpl w:val="950AA972"/>
    <w:lvl w:ilvl="0" w:tentative="0">
      <w:start w:val="1"/>
      <w:numFmt w:val="chineseCounting"/>
      <w:suff w:val="nothing"/>
      <w:lvlText w:val="（%1）"/>
      <w:lvlJc w:val="left"/>
      <w:rPr>
        <w:rFonts w:hint="eastAsia"/>
      </w:rPr>
    </w:lvl>
  </w:abstractNum>
  <w:abstractNum w:abstractNumId="1">
    <w:nsid w:val="11A7D2E1"/>
    <w:multiLevelType w:val="singleLevel"/>
    <w:tmpl w:val="11A7D2E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00E97977"/>
    <w:rsid w:val="00095BD9"/>
    <w:rsid w:val="00124A5D"/>
    <w:rsid w:val="00381AC5"/>
    <w:rsid w:val="00512F99"/>
    <w:rsid w:val="00727418"/>
    <w:rsid w:val="0089603D"/>
    <w:rsid w:val="00942D39"/>
    <w:rsid w:val="00946388"/>
    <w:rsid w:val="00A8745B"/>
    <w:rsid w:val="00AF5EC7"/>
    <w:rsid w:val="00D67C06"/>
    <w:rsid w:val="00DE496D"/>
    <w:rsid w:val="00E97977"/>
    <w:rsid w:val="00F15BB3"/>
    <w:rsid w:val="00FE5288"/>
    <w:rsid w:val="06784D71"/>
    <w:rsid w:val="08DE5C08"/>
    <w:rsid w:val="1F227D2F"/>
    <w:rsid w:val="20E34181"/>
    <w:rsid w:val="2A4A0BFF"/>
    <w:rsid w:val="2AC471FC"/>
    <w:rsid w:val="2E2A07B5"/>
    <w:rsid w:val="36515DC5"/>
    <w:rsid w:val="39AF7CB0"/>
    <w:rsid w:val="3CE4494F"/>
    <w:rsid w:val="446F59B2"/>
    <w:rsid w:val="49220911"/>
    <w:rsid w:val="4E573B1D"/>
    <w:rsid w:val="52263A23"/>
    <w:rsid w:val="52AE09D8"/>
    <w:rsid w:val="594F0101"/>
    <w:rsid w:val="5C104619"/>
    <w:rsid w:val="5CD72D3B"/>
    <w:rsid w:val="70FC100A"/>
    <w:rsid w:val="72F42011"/>
    <w:rsid w:val="74874525"/>
    <w:rsid w:val="751334B7"/>
    <w:rsid w:val="7C53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szCs w:val="20"/>
    </w:rPr>
  </w:style>
  <w:style w:type="paragraph" w:styleId="3">
    <w:name w:val="Body Text"/>
    <w:basedOn w:val="1"/>
    <w:next w:val="1"/>
    <w:semiHidden/>
    <w:qFormat/>
    <w:uiPriority w:val="0"/>
    <w:rPr>
      <w:rFonts w:ascii="仿宋" w:hAnsi="仿宋" w:eastAsia="仿宋" w:cs="仿宋"/>
      <w:sz w:val="31"/>
      <w:szCs w:val="31"/>
      <w:lang w:eastAsia="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List"/>
    <w:basedOn w:val="1"/>
    <w:qFormat/>
    <w:uiPriority w:val="0"/>
    <w:pPr>
      <w:ind w:left="200" w:hanging="200" w:hangingChars="200"/>
      <w:contextualSpacing/>
    </w:pPr>
  </w:style>
  <w:style w:type="paragraph" w:styleId="6">
    <w:name w:val="Title"/>
    <w:basedOn w:val="1"/>
    <w:next w:val="1"/>
    <w:qFormat/>
    <w:uiPriority w:val="0"/>
    <w:pPr>
      <w:spacing w:before="240" w:after="60"/>
      <w:jc w:val="center"/>
      <w:outlineLvl w:val="0"/>
    </w:pPr>
    <w:rPr>
      <w:rFonts w:ascii="Calibri Light" w:hAnsi="Calibri Light" w:eastAsia="宋体" w:cs="宋体"/>
      <w:sz w:val="32"/>
      <w:szCs w:val="32"/>
    </w:rPr>
  </w:style>
  <w:style w:type="paragraph" w:customStyle="1" w:styleId="9">
    <w:name w:val="WB正文"/>
    <w:basedOn w:val="1"/>
    <w:qFormat/>
    <w:uiPriority w:val="0"/>
    <w:pPr>
      <w:spacing w:line="360" w:lineRule="auto"/>
      <w:ind w:firstLine="560" w:firstLineChars="200"/>
    </w:pPr>
  </w:style>
  <w:style w:type="paragraph" w:customStyle="1" w:styleId="10">
    <w:name w:val="6-正文"/>
    <w:basedOn w:val="1"/>
    <w:qFormat/>
    <w:uiPriority w:val="0"/>
    <w:pPr>
      <w:spacing w:line="560" w:lineRule="exact"/>
      <w:ind w:firstLine="560"/>
    </w:pPr>
    <w:rPr>
      <w:rFonts w:ascii="Times New Roman" w:hAnsi="Times New Roman" w:eastAsia="仿宋"/>
      <w:szCs w:val="28"/>
    </w:rPr>
  </w:style>
  <w:style w:type="paragraph" w:customStyle="1" w:styleId="11">
    <w:name w:val="WB第一章"/>
    <w:basedOn w:val="1"/>
    <w:qFormat/>
    <w:uiPriority w:val="0"/>
    <w:pPr>
      <w:widowControl/>
      <w:spacing w:line="360" w:lineRule="auto"/>
      <w:jc w:val="center"/>
      <w:outlineLvl w:val="0"/>
    </w:pPr>
    <w:rPr>
      <w:rFonts w:ascii="黑体" w:hAnsi="黑体" w:eastAsia="黑体" w:cs="宋体"/>
      <w:sz w:val="32"/>
      <w:szCs w:val="32"/>
    </w:rPr>
  </w:style>
  <w:style w:type="paragraph" w:customStyle="1" w:styleId="12">
    <w:name w:val="WB楷体"/>
    <w:basedOn w:val="1"/>
    <w:qFormat/>
    <w:uiPriority w:val="0"/>
    <w:pPr>
      <w:spacing w:line="360" w:lineRule="auto"/>
      <w:ind w:firstLine="562" w:firstLineChars="200"/>
    </w:pPr>
    <w:rPr>
      <w:rFonts w:ascii="楷体" w:hAnsi="楷体" w:eastAsia="楷体"/>
    </w:rPr>
  </w:style>
  <w:style w:type="paragraph" w:customStyle="1" w:styleId="13">
    <w:name w:val="第一章"/>
    <w:basedOn w:val="6"/>
    <w:next w:val="14"/>
    <w:qFormat/>
    <w:uiPriority w:val="0"/>
    <w:pPr>
      <w:widowControl/>
      <w:spacing w:before="0" w:after="0"/>
    </w:pPr>
    <w:rPr>
      <w:rFonts w:ascii="黑体" w:hAnsi="黑体" w:eastAsia="黑体"/>
      <w:b/>
    </w:rPr>
  </w:style>
  <w:style w:type="paragraph" w:customStyle="1" w:styleId="14">
    <w:name w:val="第1条"/>
    <w:basedOn w:val="5"/>
    <w:qFormat/>
    <w:uiPriority w:val="0"/>
    <w:pPr>
      <w:widowControl/>
      <w:spacing w:before="240"/>
      <w:jc w:val="left"/>
    </w:pPr>
    <w:rPr>
      <w:rFonts w:ascii="仿宋_GB2312" w:hAnsi="Calibri" w:eastAsia="仿宋_GB231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1200</Words>
  <Characters>1305</Characters>
  <Lines>9</Lines>
  <Paragraphs>2</Paragraphs>
  <TotalTime>48</TotalTime>
  <ScaleCrop>false</ScaleCrop>
  <LinksUpToDate>false</LinksUpToDate>
  <CharactersWithSpaces>1308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2024-04-18T03:38:00Z</dcterms:created>
  <dc:creator>xyn</dc:creator>
  <cp:lastModifiedBy>孙彤</cp:lastModifiedBy>
  <dcterms:modified xsi:type="dcterms:W3CDTF">2025-03-04T08:29:19Z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F22AFCFD968D44E0B54940AE7F1A54F3_13</vt:lpwstr>
  </property>
</Properties>
</file>