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C8EA" w14:textId="6D2BA83C" w:rsidR="005A3A75" w:rsidRPr="005A3A75" w:rsidRDefault="005A3A75" w:rsidP="005A3A75">
      <w:pPr>
        <w:widowControl w:val="0"/>
        <w:spacing w:line="560" w:lineRule="exact"/>
        <w:contextualSpacing/>
        <w:rPr>
          <w:rFonts w:ascii="黑体" w:eastAsia="黑体" w:hAnsi="黑体"/>
          <w:sz w:val="32"/>
          <w:szCs w:val="32"/>
        </w:rPr>
      </w:pPr>
      <w:r w:rsidRPr="005A3A75">
        <w:rPr>
          <w:rFonts w:ascii="黑体" w:eastAsia="黑体" w:hAnsi="黑体" w:hint="eastAsia"/>
          <w:sz w:val="32"/>
          <w:szCs w:val="32"/>
        </w:rPr>
        <w:t>附件1</w:t>
      </w:r>
    </w:p>
    <w:p w14:paraId="3EE202C7" w14:textId="77777777" w:rsidR="005A3A75" w:rsidRDefault="005A3A75" w:rsidP="005A3A75">
      <w:pPr>
        <w:widowControl w:val="0"/>
        <w:spacing w:line="560" w:lineRule="exact"/>
        <w:contextualSpacing/>
        <w:rPr>
          <w:rFonts w:ascii="方正小标宋简体" w:eastAsia="方正小标宋简体"/>
          <w:sz w:val="44"/>
          <w:szCs w:val="44"/>
        </w:rPr>
      </w:pPr>
    </w:p>
    <w:p w14:paraId="74DEF7A2" w14:textId="7E069F03" w:rsidR="009D771F" w:rsidRDefault="009D771F" w:rsidP="001F651B">
      <w:pPr>
        <w:widowControl w:val="0"/>
        <w:spacing w:line="560" w:lineRule="exact"/>
        <w:contextualSpacing/>
        <w:jc w:val="center"/>
        <w:rPr>
          <w:rFonts w:ascii="方正小标宋简体" w:eastAsia="方正小标宋简体"/>
          <w:sz w:val="44"/>
          <w:szCs w:val="44"/>
        </w:rPr>
      </w:pPr>
      <w:r w:rsidRPr="009D771F">
        <w:rPr>
          <w:rFonts w:ascii="方正小标宋简体" w:eastAsia="方正小标宋简体" w:hint="eastAsia"/>
          <w:sz w:val="44"/>
          <w:szCs w:val="44"/>
        </w:rPr>
        <w:t>海淀</w:t>
      </w:r>
      <w:proofErr w:type="gramStart"/>
      <w:r w:rsidRPr="009D771F">
        <w:rPr>
          <w:rFonts w:ascii="方正小标宋简体" w:eastAsia="方正小标宋简体" w:hint="eastAsia"/>
          <w:sz w:val="44"/>
          <w:szCs w:val="44"/>
        </w:rPr>
        <w:t>区支持</w:t>
      </w:r>
      <w:proofErr w:type="gramEnd"/>
      <w:r w:rsidRPr="009D771F">
        <w:rPr>
          <w:rFonts w:ascii="方正小标宋简体" w:eastAsia="方正小标宋简体" w:hint="eastAsia"/>
          <w:sz w:val="44"/>
          <w:szCs w:val="44"/>
        </w:rPr>
        <w:t>科技中小企业创新发展的若干</w:t>
      </w:r>
    </w:p>
    <w:p w14:paraId="516026F8" w14:textId="5BC7E2DF" w:rsidR="001F651B" w:rsidRPr="001F651B" w:rsidRDefault="00AF6200" w:rsidP="001F651B">
      <w:pPr>
        <w:widowControl w:val="0"/>
        <w:spacing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措施</w:t>
      </w:r>
      <w:r>
        <w:rPr>
          <w:rFonts w:ascii="方正小标宋简体" w:eastAsia="方正小标宋简体" w:hint="eastAsia"/>
          <w:sz w:val="44"/>
          <w:szCs w:val="48"/>
        </w:rPr>
        <w:t>（修订）</w:t>
      </w:r>
      <w:r w:rsidR="009D771F" w:rsidRPr="009D771F">
        <w:rPr>
          <w:rFonts w:ascii="方正小标宋简体" w:eastAsia="方正小标宋简体" w:hint="eastAsia"/>
          <w:sz w:val="44"/>
          <w:szCs w:val="44"/>
        </w:rPr>
        <w:t>（征求意见稿）</w:t>
      </w:r>
    </w:p>
    <w:p w14:paraId="70C3E796" w14:textId="77777777" w:rsidR="001F651B" w:rsidRPr="001F651B" w:rsidRDefault="001F651B" w:rsidP="001F651B">
      <w:pPr>
        <w:widowControl w:val="0"/>
        <w:spacing w:line="560" w:lineRule="exact"/>
        <w:ind w:firstLineChars="200" w:firstLine="640"/>
        <w:contextualSpacing/>
        <w:jc w:val="both"/>
        <w:rPr>
          <w:rFonts w:ascii="仿宋_GB2312" w:eastAsia="仿宋_GB2312"/>
          <w:sz w:val="32"/>
          <w:szCs w:val="32"/>
        </w:rPr>
      </w:pPr>
    </w:p>
    <w:p w14:paraId="08260E37"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为深入贯彻党中央、国务院关于支持中小企业发展的决策部署，大力推进北京国际科技创新中心核心区建设，打造海淀高质量发展引擎，培育具有持续创新力和竞争力的中小企业群体，特制定本措施。</w:t>
      </w:r>
    </w:p>
    <w:p w14:paraId="36FBFB65"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一、引导企业提质升级</w:t>
      </w:r>
    </w:p>
    <w:p w14:paraId="7BE819FE"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（一）支持企业快速发展</w:t>
      </w:r>
    </w:p>
    <w:p w14:paraId="123A3058"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支持企业提升创新能力加快产业化进程，促进科技中小企业“升</w:t>
      </w:r>
      <w:proofErr w:type="gramStart"/>
      <w:r>
        <w:rPr>
          <w:rFonts w:ascii="仿宋_GB2312" w:eastAsia="仿宋_GB2312" w:hint="eastAsia"/>
          <w:sz w:val="32"/>
          <w:szCs w:val="32"/>
        </w:rPr>
        <w:t>规</w:t>
      </w:r>
      <w:proofErr w:type="gramEnd"/>
      <w:r>
        <w:rPr>
          <w:rFonts w:ascii="仿宋_GB2312" w:eastAsia="仿宋_GB2312" w:hint="eastAsia"/>
          <w:sz w:val="32"/>
          <w:szCs w:val="32"/>
        </w:rPr>
        <w:t>纳统”，对首次成长为规模以上企业</w:t>
      </w:r>
      <w:proofErr w:type="gramStart"/>
      <w:r>
        <w:rPr>
          <w:rFonts w:ascii="仿宋_GB2312" w:eastAsia="仿宋_GB2312" w:hint="eastAsia"/>
          <w:sz w:val="32"/>
          <w:szCs w:val="32"/>
        </w:rPr>
        <w:t>并纳统的</w:t>
      </w:r>
      <w:proofErr w:type="gramEnd"/>
      <w:r>
        <w:rPr>
          <w:rFonts w:ascii="仿宋_GB2312" w:eastAsia="仿宋_GB2312" w:hint="eastAsia"/>
          <w:sz w:val="32"/>
          <w:szCs w:val="32"/>
        </w:rPr>
        <w:t>中小企业，给予一次性30万元支持。</w:t>
      </w:r>
    </w:p>
    <w:p w14:paraId="5D5D583D"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（二）支持企业</w:t>
      </w:r>
      <w:proofErr w:type="gramStart"/>
      <w:r>
        <w:rPr>
          <w:rFonts w:ascii="楷体_GB2312" w:eastAsia="楷体_GB2312" w:hint="eastAsia"/>
          <w:sz w:val="32"/>
          <w:szCs w:val="32"/>
        </w:rPr>
        <w:t>做优做</w:t>
      </w:r>
      <w:proofErr w:type="gramEnd"/>
      <w:r>
        <w:rPr>
          <w:rFonts w:ascii="楷体_GB2312" w:eastAsia="楷体_GB2312" w:hint="eastAsia"/>
          <w:sz w:val="32"/>
          <w:szCs w:val="32"/>
        </w:rPr>
        <w:t>强</w:t>
      </w:r>
    </w:p>
    <w:p w14:paraId="610F05CF"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支持中小企业持续发展，对中小企业获得专精特新“小巨人”企业认定的给予50万元一次性资金支持，获得隐形冠军、制造业单项冠军认定的给予200万元一次性资金支持。</w:t>
      </w:r>
    </w:p>
    <w:p w14:paraId="185EB463"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二、加强潜力企业培育</w:t>
      </w:r>
    </w:p>
    <w:p w14:paraId="043AF9CF"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（三）支持优质项目转化</w:t>
      </w:r>
    </w:p>
    <w:p w14:paraId="658E2462"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支持高水平创新创业赛事获奖项目转化，鼓励“创客中国”、“中关村国际前沿大赛”、“HICOOL全球创业大赛”等赛事获奖项</w:t>
      </w:r>
      <w:r>
        <w:rPr>
          <w:rFonts w:ascii="仿宋_GB2312" w:eastAsia="仿宋_GB2312" w:hint="eastAsia"/>
          <w:sz w:val="32"/>
          <w:szCs w:val="32"/>
        </w:rPr>
        <w:lastRenderedPageBreak/>
        <w:t>目在海淀区发展经营，给予最高50万元资金支持。</w:t>
      </w:r>
    </w:p>
    <w:p w14:paraId="1916A78F"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（四）支持企业融资发展</w:t>
      </w:r>
    </w:p>
    <w:p w14:paraId="1526D844"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支持更多发展潜力大、成长性强的科技企业通过资本赋能加速业务发展，对新增股权融资达到一定标准的初创企业分梯度给予最高50万元资金支持。</w:t>
      </w:r>
    </w:p>
    <w:p w14:paraId="0E436ED7"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（五）支持企业创新研发</w:t>
      </w:r>
    </w:p>
    <w:p w14:paraId="4BFFE22E"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加大对中小企业研发环节资金引导力度，支持中小企业加强关键核心技术创新，对上一年度研发投入达到一定金额且保持较高增长率的企业给予最高50万元资金支持。</w:t>
      </w:r>
    </w:p>
    <w:p w14:paraId="3294E1C4"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三、强化企业权益保障</w:t>
      </w:r>
    </w:p>
    <w:p w14:paraId="14A5FAFE"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（六）加大清欠力度</w:t>
      </w:r>
    </w:p>
    <w:p w14:paraId="3E9A8D22"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防范和化解拖欠中小企业款项问题，持续推进清理拖欠企业</w:t>
      </w:r>
      <w:proofErr w:type="gramStart"/>
      <w:r>
        <w:rPr>
          <w:rFonts w:ascii="仿宋_GB2312" w:eastAsia="仿宋_GB2312" w:hint="eastAsia"/>
          <w:sz w:val="32"/>
          <w:szCs w:val="32"/>
        </w:rPr>
        <w:t>账款专项</w:t>
      </w:r>
      <w:proofErr w:type="gramEnd"/>
      <w:r>
        <w:rPr>
          <w:rFonts w:ascii="仿宋_GB2312" w:eastAsia="仿宋_GB2312" w:hint="eastAsia"/>
          <w:sz w:val="32"/>
          <w:szCs w:val="32"/>
        </w:rPr>
        <w:t>行动，健全清欠长效机制，依靠法治化手段、制度化措施预防和遏制新增拖欠，完善防范化解拖欠企业账款长效机制。将相关单位中小企业清欠工作情况纳入监测体系，适度对机关、事业单位、国有企业等逾期未支付中小企业账款信息进行披露。</w:t>
      </w:r>
    </w:p>
    <w:p w14:paraId="4A25274B"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（七）实施差异化监管</w:t>
      </w:r>
    </w:p>
    <w:p w14:paraId="0E614F33"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深化风险分类结果在监管中的运用，对信用风险低的优质中小企业合理降低市场监管抽查比例和频次。支持将污染物排放量小、环境风险低的国家高新技术企业、专精特新企业纳入生态环境监督执法正面清单，推行差异化监管。</w:t>
      </w:r>
    </w:p>
    <w:p w14:paraId="46282108"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四、创新要素资源配置</w:t>
      </w:r>
    </w:p>
    <w:p w14:paraId="0C881104"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lastRenderedPageBreak/>
        <w:t>（八）构建人才支持体系</w:t>
      </w:r>
    </w:p>
    <w:p w14:paraId="5B018983"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用好市区两级人才支持政策，支持有条件的“小巨人”企业设立博士后工作站。优先推荐参加“薪火共燃”、“海英人才”等项目，对符合条件的国家高新技术企业、专精特新企业优先给予人才引进、公租房等支持。开展中小企业网上招聘、专场招聘活动，加强校企对接，</w:t>
      </w:r>
      <w:proofErr w:type="gramStart"/>
      <w:r>
        <w:rPr>
          <w:rFonts w:ascii="仿宋_GB2312" w:eastAsia="仿宋_GB2312" w:hint="eastAsia"/>
          <w:sz w:val="32"/>
          <w:szCs w:val="32"/>
        </w:rPr>
        <w:t>推动人岗精准</w:t>
      </w:r>
      <w:proofErr w:type="gramEnd"/>
      <w:r>
        <w:rPr>
          <w:rFonts w:ascii="仿宋_GB2312" w:eastAsia="仿宋_GB2312" w:hint="eastAsia"/>
          <w:sz w:val="32"/>
          <w:szCs w:val="32"/>
        </w:rPr>
        <w:t>适配。</w:t>
      </w:r>
    </w:p>
    <w:p w14:paraId="6505563B"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（九）加强企业金融服务</w:t>
      </w:r>
    </w:p>
    <w:p w14:paraId="18CA0800"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优先推荐国家高新技术企业、专精特新企业纳入市级政府投资基金储备项目库，择优通过中关村科学城科技成长基金或合作基金进行支持。引导政府性融资担保机构、创业投资机构为国家高新技术企业、专精特新企业提供批量化高效服务。依托中关村</w:t>
      </w:r>
      <w:proofErr w:type="gramStart"/>
      <w:r>
        <w:rPr>
          <w:rFonts w:ascii="仿宋_GB2312" w:eastAsia="仿宋_GB2312" w:hint="eastAsia"/>
          <w:sz w:val="32"/>
          <w:szCs w:val="32"/>
        </w:rPr>
        <w:t>科创金融</w:t>
      </w:r>
      <w:proofErr w:type="gramEnd"/>
      <w:r>
        <w:rPr>
          <w:rFonts w:ascii="仿宋_GB2312" w:eastAsia="仿宋_GB2312" w:hint="eastAsia"/>
          <w:sz w:val="32"/>
          <w:szCs w:val="32"/>
        </w:rPr>
        <w:t>服务中心，用好中关村版并购贷、科技人才贷、股权贷等金融产品。</w:t>
      </w:r>
    </w:p>
    <w:p w14:paraId="19A1B76D"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五、完善培育服务体系</w:t>
      </w:r>
    </w:p>
    <w:p w14:paraId="6C0698C0"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（十）优化企业服务网络</w:t>
      </w:r>
    </w:p>
    <w:p w14:paraId="541EFAE1"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优化中小企业培育服务体系，定期追踪企业运行、发展态势、发展诉求。依托专精特新特色园区和企业服务站，在市场拓展、合</w:t>
      </w:r>
      <w:proofErr w:type="gramStart"/>
      <w:r>
        <w:rPr>
          <w:rFonts w:ascii="仿宋_GB2312" w:eastAsia="仿宋_GB2312" w:hint="eastAsia"/>
          <w:sz w:val="32"/>
          <w:szCs w:val="32"/>
        </w:rPr>
        <w:t>规</w:t>
      </w:r>
      <w:proofErr w:type="gramEnd"/>
      <w:r>
        <w:rPr>
          <w:rFonts w:ascii="仿宋_GB2312" w:eastAsia="仿宋_GB2312" w:hint="eastAsia"/>
          <w:sz w:val="32"/>
          <w:szCs w:val="32"/>
        </w:rPr>
        <w:t>经营、投融资对接等方面提供精准化服务。定期走进孵化器、产业园区开展政策宣讲、面对面咨询等服务活动。举办大中小企业融通创新对接活动，推动驻区大企业向中小企业开放应用场景和创新资源。</w:t>
      </w:r>
    </w:p>
    <w:p w14:paraId="438B70C4" w14:textId="77777777" w:rsidR="00277C2C" w:rsidRDefault="00277C2C" w:rsidP="00277C2C">
      <w:pPr>
        <w:widowControl w:val="0"/>
        <w:spacing w:line="560" w:lineRule="exact"/>
        <w:ind w:firstLineChars="200" w:firstLine="640"/>
        <w:contextualSpacing/>
        <w:jc w:val="both"/>
        <w:rPr>
          <w:rFonts w:ascii="楷体_GB2312" w:eastAsia="楷体_GB2312"/>
          <w:sz w:val="32"/>
          <w:szCs w:val="32"/>
        </w:rPr>
      </w:pPr>
      <w:r>
        <w:rPr>
          <w:rFonts w:ascii="楷体_GB2312" w:eastAsia="楷体_GB2312" w:hint="eastAsia"/>
          <w:sz w:val="32"/>
          <w:szCs w:val="32"/>
        </w:rPr>
        <w:t>（十一）推动国际化发展</w:t>
      </w:r>
    </w:p>
    <w:p w14:paraId="5771DFAD"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lastRenderedPageBreak/>
        <w:t>支持中小企业“走出去”，提供APEC商务旅行卡办理服务。支持中小企业积极参与汉诺威工业博览会、美国国际消费电子展（CES展）、迪拜GITEX GLOBAL科技展等国际展览展会。</w:t>
      </w:r>
    </w:p>
    <w:p w14:paraId="469ECCD5" w14:textId="77777777" w:rsidR="00277C2C" w:rsidRDefault="00277C2C" w:rsidP="00277C2C">
      <w:pPr>
        <w:widowControl w:val="0"/>
        <w:spacing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六、附则</w:t>
      </w:r>
    </w:p>
    <w:p w14:paraId="5524F12D"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所支持的对象是指依法设立的中小企业，应具备有效期内的科技型中小企业、国家高新技术企业、创新型中小企业、专精特新中小企业资质（在海淀区新注册或落地不满两年的企业除外）。</w:t>
      </w:r>
    </w:p>
    <w:p w14:paraId="05453779"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除另有规定外，</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所涉及资金支持与我区其他同类政策按照“从优不重复”原则落实，企业自主选择。</w:t>
      </w:r>
    </w:p>
    <w:p w14:paraId="4B6DD48E" w14:textId="77777777" w:rsidR="00277C2C" w:rsidRDefault="00277C2C" w:rsidP="00277C2C">
      <w:pPr>
        <w:widowControl w:val="0"/>
        <w:spacing w:line="560" w:lineRule="exact"/>
        <w:ind w:firstLineChars="200" w:firstLine="640"/>
        <w:contextualSpacing/>
        <w:jc w:val="both"/>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自2025年3月15日起施行。</w:t>
      </w:r>
    </w:p>
    <w:p w14:paraId="4F801CE2" w14:textId="77777777" w:rsidR="00277C2C" w:rsidRDefault="00277C2C" w:rsidP="00277C2C">
      <w:pPr>
        <w:widowControl w:val="0"/>
        <w:spacing w:line="560" w:lineRule="exact"/>
        <w:contextualSpacing/>
        <w:jc w:val="both"/>
        <w:rPr>
          <w:rFonts w:ascii="仿宋_GB2312" w:eastAsia="仿宋_GB2312"/>
          <w:sz w:val="32"/>
          <w:szCs w:val="32"/>
        </w:rPr>
      </w:pPr>
    </w:p>
    <w:p w14:paraId="00E0E704" w14:textId="77777777" w:rsidR="00277C2C" w:rsidRDefault="00277C2C" w:rsidP="00277C2C">
      <w:pPr>
        <w:widowControl w:val="0"/>
        <w:spacing w:line="560" w:lineRule="exact"/>
        <w:contextualSpacing/>
        <w:jc w:val="both"/>
        <w:rPr>
          <w:rFonts w:ascii="仿宋_GB2312" w:eastAsia="仿宋_GB2312"/>
          <w:sz w:val="32"/>
          <w:szCs w:val="32"/>
        </w:rPr>
      </w:pPr>
    </w:p>
    <w:p w14:paraId="4F0B40EB" w14:textId="77777777" w:rsidR="00277C2C" w:rsidRDefault="00277C2C" w:rsidP="00277C2C">
      <w:pPr>
        <w:widowControl w:val="0"/>
        <w:spacing w:line="560" w:lineRule="exact"/>
        <w:contextualSpacing/>
        <w:jc w:val="both"/>
        <w:rPr>
          <w:rFonts w:ascii="仿宋_GB2312" w:eastAsia="仿宋_GB2312"/>
          <w:sz w:val="32"/>
          <w:szCs w:val="32"/>
        </w:rPr>
      </w:pPr>
    </w:p>
    <w:p w14:paraId="7DC6679D" w14:textId="77777777" w:rsidR="00277C2C" w:rsidRDefault="00277C2C" w:rsidP="00277C2C">
      <w:pPr>
        <w:widowControl w:val="0"/>
        <w:spacing w:line="560" w:lineRule="exact"/>
        <w:contextualSpacing/>
        <w:jc w:val="both"/>
        <w:rPr>
          <w:rFonts w:ascii="仿宋_GB2312" w:eastAsia="仿宋_GB2312"/>
          <w:sz w:val="32"/>
          <w:szCs w:val="32"/>
        </w:rPr>
      </w:pPr>
    </w:p>
    <w:p w14:paraId="3F81DB16" w14:textId="77777777" w:rsidR="00277C2C" w:rsidRDefault="00277C2C" w:rsidP="00277C2C">
      <w:pPr>
        <w:widowControl w:val="0"/>
        <w:spacing w:line="560" w:lineRule="exact"/>
        <w:contextualSpacing/>
        <w:jc w:val="both"/>
        <w:rPr>
          <w:rFonts w:ascii="仿宋_GB2312" w:eastAsia="仿宋_GB2312"/>
          <w:sz w:val="32"/>
          <w:szCs w:val="32"/>
        </w:rPr>
      </w:pPr>
    </w:p>
    <w:p w14:paraId="73BEA7F1" w14:textId="77777777" w:rsidR="00277C2C" w:rsidRDefault="00277C2C" w:rsidP="00277C2C">
      <w:pPr>
        <w:widowControl w:val="0"/>
        <w:spacing w:line="560" w:lineRule="exact"/>
        <w:contextualSpacing/>
        <w:jc w:val="both"/>
        <w:rPr>
          <w:rFonts w:ascii="仿宋_GB2312" w:eastAsia="仿宋_GB2312"/>
          <w:sz w:val="32"/>
          <w:szCs w:val="32"/>
        </w:rPr>
      </w:pPr>
    </w:p>
    <w:p w14:paraId="743DB74B" w14:textId="77777777" w:rsidR="00277C2C" w:rsidRDefault="00277C2C" w:rsidP="00277C2C">
      <w:pPr>
        <w:widowControl w:val="0"/>
        <w:spacing w:line="560" w:lineRule="exact"/>
        <w:contextualSpacing/>
        <w:jc w:val="both"/>
        <w:rPr>
          <w:rFonts w:ascii="仿宋_GB2312" w:eastAsia="仿宋_GB2312"/>
          <w:sz w:val="32"/>
          <w:szCs w:val="32"/>
        </w:rPr>
      </w:pPr>
    </w:p>
    <w:p w14:paraId="7EADA410" w14:textId="77777777" w:rsidR="00277C2C" w:rsidRDefault="00277C2C" w:rsidP="00277C2C">
      <w:pPr>
        <w:widowControl w:val="0"/>
        <w:spacing w:line="560" w:lineRule="exact"/>
        <w:contextualSpacing/>
        <w:jc w:val="both"/>
        <w:rPr>
          <w:rFonts w:ascii="仿宋_GB2312" w:eastAsia="仿宋_GB2312"/>
          <w:sz w:val="32"/>
          <w:szCs w:val="32"/>
        </w:rPr>
      </w:pPr>
    </w:p>
    <w:p w14:paraId="1247ADA2" w14:textId="77777777" w:rsidR="001F651B" w:rsidRDefault="001F651B" w:rsidP="001F651B">
      <w:pPr>
        <w:widowControl w:val="0"/>
        <w:spacing w:line="560" w:lineRule="exact"/>
        <w:contextualSpacing/>
        <w:jc w:val="both"/>
        <w:rPr>
          <w:rFonts w:ascii="仿宋_GB2312" w:eastAsia="仿宋_GB2312"/>
          <w:sz w:val="32"/>
          <w:szCs w:val="32"/>
        </w:rPr>
      </w:pPr>
    </w:p>
    <w:p w14:paraId="4C2E347D" w14:textId="77777777" w:rsidR="001F651B" w:rsidRDefault="001F651B" w:rsidP="001F651B">
      <w:pPr>
        <w:widowControl w:val="0"/>
        <w:spacing w:line="560" w:lineRule="exact"/>
        <w:contextualSpacing/>
        <w:jc w:val="both"/>
        <w:rPr>
          <w:rFonts w:ascii="仿宋_GB2312" w:eastAsia="仿宋_GB2312"/>
          <w:sz w:val="32"/>
          <w:szCs w:val="32"/>
        </w:rPr>
      </w:pPr>
    </w:p>
    <w:p w14:paraId="609A23ED" w14:textId="77777777" w:rsidR="001F651B" w:rsidRDefault="001F651B" w:rsidP="001F651B">
      <w:pPr>
        <w:widowControl w:val="0"/>
        <w:spacing w:line="560" w:lineRule="exact"/>
        <w:contextualSpacing/>
        <w:jc w:val="both"/>
        <w:rPr>
          <w:rFonts w:ascii="仿宋_GB2312" w:eastAsia="仿宋_GB2312"/>
          <w:sz w:val="32"/>
          <w:szCs w:val="32"/>
        </w:rPr>
      </w:pPr>
      <w:bookmarkStart w:id="0" w:name="_GoBack"/>
      <w:bookmarkEnd w:id="0"/>
    </w:p>
    <w:sectPr w:rsidR="001F651B" w:rsidSect="000F2DC6">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758BE" w14:textId="77777777" w:rsidR="005654DF" w:rsidRDefault="005654DF" w:rsidP="000F2DC6">
      <w:r>
        <w:separator/>
      </w:r>
    </w:p>
  </w:endnote>
  <w:endnote w:type="continuationSeparator" w:id="0">
    <w:p w14:paraId="55B88116" w14:textId="77777777" w:rsidR="005654DF" w:rsidRDefault="005654DF" w:rsidP="000F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0965"/>
      <w:docPartObj>
        <w:docPartGallery w:val="Page Numbers (Bottom of Page)"/>
        <w:docPartUnique/>
      </w:docPartObj>
    </w:sdtPr>
    <w:sdtEndPr>
      <w:rPr>
        <w:rFonts w:ascii="宋体" w:eastAsia="宋体" w:hAnsi="宋体"/>
        <w:sz w:val="28"/>
        <w:szCs w:val="28"/>
      </w:rPr>
    </w:sdtEndPr>
    <w:sdtContent>
      <w:p w14:paraId="10F9DAB0" w14:textId="6153A121" w:rsidR="000F2DC6" w:rsidRPr="000F2DC6" w:rsidRDefault="000F2DC6">
        <w:pPr>
          <w:pStyle w:val="ad"/>
          <w:rPr>
            <w:rFonts w:ascii="宋体" w:eastAsia="宋体" w:hAnsi="宋体"/>
            <w:sz w:val="28"/>
            <w:szCs w:val="28"/>
          </w:rPr>
        </w:pPr>
        <w:r w:rsidRPr="000F2DC6">
          <w:rPr>
            <w:rFonts w:ascii="宋体" w:eastAsia="宋体" w:hAnsi="宋体"/>
            <w:sz w:val="28"/>
            <w:szCs w:val="28"/>
          </w:rPr>
          <w:fldChar w:fldCharType="begin"/>
        </w:r>
        <w:r w:rsidRPr="000F2DC6">
          <w:rPr>
            <w:rFonts w:ascii="宋体" w:eastAsia="宋体" w:hAnsi="宋体"/>
            <w:sz w:val="28"/>
            <w:szCs w:val="28"/>
          </w:rPr>
          <w:instrText>PAGE   \* MERGEFORMAT</w:instrText>
        </w:r>
        <w:r w:rsidRPr="000F2DC6">
          <w:rPr>
            <w:rFonts w:ascii="宋体" w:eastAsia="宋体" w:hAnsi="宋体"/>
            <w:sz w:val="28"/>
            <w:szCs w:val="28"/>
          </w:rPr>
          <w:fldChar w:fldCharType="separate"/>
        </w:r>
        <w:r w:rsidR="005B3B14" w:rsidRPr="005B3B14">
          <w:rPr>
            <w:rFonts w:ascii="宋体" w:eastAsia="宋体" w:hAnsi="宋体"/>
            <w:noProof/>
            <w:sz w:val="28"/>
            <w:szCs w:val="28"/>
            <w:lang w:val="zh-CN"/>
          </w:rPr>
          <w:t>-</w:t>
        </w:r>
        <w:r w:rsidR="005B3B14">
          <w:rPr>
            <w:rFonts w:ascii="宋体" w:eastAsia="宋体" w:hAnsi="宋体"/>
            <w:noProof/>
            <w:sz w:val="28"/>
            <w:szCs w:val="28"/>
          </w:rPr>
          <w:t xml:space="preserve"> 2 -</w:t>
        </w:r>
        <w:r w:rsidRPr="000F2DC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72909"/>
      <w:docPartObj>
        <w:docPartGallery w:val="Page Numbers (Bottom of Page)"/>
        <w:docPartUnique/>
      </w:docPartObj>
    </w:sdtPr>
    <w:sdtEndPr>
      <w:rPr>
        <w:rFonts w:ascii="宋体" w:eastAsia="宋体" w:hAnsi="宋体"/>
        <w:sz w:val="28"/>
        <w:szCs w:val="28"/>
      </w:rPr>
    </w:sdtEndPr>
    <w:sdtContent>
      <w:p w14:paraId="35D15E96" w14:textId="495C8759" w:rsidR="000F2DC6" w:rsidRPr="000F2DC6" w:rsidRDefault="000F2DC6" w:rsidP="000F2DC6">
        <w:pPr>
          <w:pStyle w:val="ad"/>
          <w:jc w:val="right"/>
          <w:rPr>
            <w:rFonts w:ascii="宋体" w:eastAsia="宋体" w:hAnsi="宋体"/>
            <w:sz w:val="28"/>
            <w:szCs w:val="28"/>
          </w:rPr>
        </w:pPr>
        <w:r w:rsidRPr="000F2DC6">
          <w:rPr>
            <w:rFonts w:ascii="宋体" w:eastAsia="宋体" w:hAnsi="宋体"/>
            <w:sz w:val="28"/>
            <w:szCs w:val="28"/>
          </w:rPr>
          <w:fldChar w:fldCharType="begin"/>
        </w:r>
        <w:r w:rsidRPr="000F2DC6">
          <w:rPr>
            <w:rFonts w:ascii="宋体" w:eastAsia="宋体" w:hAnsi="宋体"/>
            <w:sz w:val="28"/>
            <w:szCs w:val="28"/>
          </w:rPr>
          <w:instrText>PAGE   \* MERGEFORMAT</w:instrText>
        </w:r>
        <w:r w:rsidRPr="000F2DC6">
          <w:rPr>
            <w:rFonts w:ascii="宋体" w:eastAsia="宋体" w:hAnsi="宋体"/>
            <w:sz w:val="28"/>
            <w:szCs w:val="28"/>
          </w:rPr>
          <w:fldChar w:fldCharType="separate"/>
        </w:r>
        <w:r w:rsidR="005B3B14" w:rsidRPr="005B3B14">
          <w:rPr>
            <w:rFonts w:ascii="宋体" w:eastAsia="宋体" w:hAnsi="宋体"/>
            <w:noProof/>
            <w:sz w:val="28"/>
            <w:szCs w:val="28"/>
            <w:lang w:val="zh-CN"/>
          </w:rPr>
          <w:t>-</w:t>
        </w:r>
        <w:r w:rsidR="005B3B14">
          <w:rPr>
            <w:rFonts w:ascii="宋体" w:eastAsia="宋体" w:hAnsi="宋体"/>
            <w:noProof/>
            <w:sz w:val="28"/>
            <w:szCs w:val="28"/>
          </w:rPr>
          <w:t xml:space="preserve"> 3 -</w:t>
        </w:r>
        <w:r w:rsidRPr="000F2DC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B701" w14:textId="77777777" w:rsidR="005654DF" w:rsidRDefault="005654DF" w:rsidP="000F2DC6">
      <w:r>
        <w:separator/>
      </w:r>
    </w:p>
  </w:footnote>
  <w:footnote w:type="continuationSeparator" w:id="0">
    <w:p w14:paraId="770C128B" w14:textId="77777777" w:rsidR="005654DF" w:rsidRDefault="005654DF" w:rsidP="000F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D"/>
    <w:rsid w:val="0002654A"/>
    <w:rsid w:val="00050BA2"/>
    <w:rsid w:val="000F2DC6"/>
    <w:rsid w:val="001544EC"/>
    <w:rsid w:val="00186A33"/>
    <w:rsid w:val="001C10EB"/>
    <w:rsid w:val="001F651B"/>
    <w:rsid w:val="002112DF"/>
    <w:rsid w:val="00277C2C"/>
    <w:rsid w:val="002870AC"/>
    <w:rsid w:val="002C1D19"/>
    <w:rsid w:val="00311B25"/>
    <w:rsid w:val="00333F1B"/>
    <w:rsid w:val="003F4548"/>
    <w:rsid w:val="00480055"/>
    <w:rsid w:val="004F2F03"/>
    <w:rsid w:val="00514927"/>
    <w:rsid w:val="00543B52"/>
    <w:rsid w:val="005515C8"/>
    <w:rsid w:val="00564C57"/>
    <w:rsid w:val="005654DF"/>
    <w:rsid w:val="005A3A75"/>
    <w:rsid w:val="005B3B14"/>
    <w:rsid w:val="0062669A"/>
    <w:rsid w:val="006944E6"/>
    <w:rsid w:val="006C29EE"/>
    <w:rsid w:val="006E6BF3"/>
    <w:rsid w:val="006F1D57"/>
    <w:rsid w:val="006F3718"/>
    <w:rsid w:val="007260BD"/>
    <w:rsid w:val="007C4FD1"/>
    <w:rsid w:val="007E0248"/>
    <w:rsid w:val="00836702"/>
    <w:rsid w:val="0087592D"/>
    <w:rsid w:val="0088548F"/>
    <w:rsid w:val="008A36AD"/>
    <w:rsid w:val="008B1B0F"/>
    <w:rsid w:val="008B4DA6"/>
    <w:rsid w:val="008D64A3"/>
    <w:rsid w:val="009821F4"/>
    <w:rsid w:val="009D771F"/>
    <w:rsid w:val="00A6688A"/>
    <w:rsid w:val="00AC5DCE"/>
    <w:rsid w:val="00AE566D"/>
    <w:rsid w:val="00AF6200"/>
    <w:rsid w:val="00B5783A"/>
    <w:rsid w:val="00B9609C"/>
    <w:rsid w:val="00BE555E"/>
    <w:rsid w:val="00C37FDF"/>
    <w:rsid w:val="00C45E9A"/>
    <w:rsid w:val="00D45393"/>
    <w:rsid w:val="00D64FA3"/>
    <w:rsid w:val="00D74709"/>
    <w:rsid w:val="00DE719E"/>
    <w:rsid w:val="00E1024F"/>
    <w:rsid w:val="00EB7A86"/>
    <w:rsid w:val="00EE2ABC"/>
    <w:rsid w:val="00EF78D8"/>
    <w:rsid w:val="00F05635"/>
    <w:rsid w:val="00F44877"/>
    <w:rsid w:val="00F64E7D"/>
    <w:rsid w:val="00F6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7BAE8"/>
  <w15:chartTrackingRefBased/>
  <w15:docId w15:val="{03C1A90C-00FB-4CD6-BF1A-18B09742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64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F64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F64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F64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F64E7D"/>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F64E7D"/>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F64E7D"/>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F64E7D"/>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F64E7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4E7D"/>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F64E7D"/>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F64E7D"/>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F64E7D"/>
    <w:rPr>
      <w:rFonts w:cstheme="majorBidi"/>
      <w:color w:val="2F5496" w:themeColor="accent1" w:themeShade="BF"/>
      <w:sz w:val="28"/>
      <w:szCs w:val="28"/>
    </w:rPr>
  </w:style>
  <w:style w:type="character" w:customStyle="1" w:styleId="5Char">
    <w:name w:val="标题 5 Char"/>
    <w:basedOn w:val="a0"/>
    <w:link w:val="5"/>
    <w:uiPriority w:val="9"/>
    <w:semiHidden/>
    <w:rsid w:val="00F64E7D"/>
    <w:rPr>
      <w:rFonts w:cstheme="majorBidi"/>
      <w:color w:val="2F5496" w:themeColor="accent1" w:themeShade="BF"/>
      <w:sz w:val="24"/>
    </w:rPr>
  </w:style>
  <w:style w:type="character" w:customStyle="1" w:styleId="6Char">
    <w:name w:val="标题 6 Char"/>
    <w:basedOn w:val="a0"/>
    <w:link w:val="6"/>
    <w:uiPriority w:val="9"/>
    <w:semiHidden/>
    <w:rsid w:val="00F64E7D"/>
    <w:rPr>
      <w:rFonts w:cstheme="majorBidi"/>
      <w:b/>
      <w:bCs/>
      <w:color w:val="2F5496" w:themeColor="accent1" w:themeShade="BF"/>
    </w:rPr>
  </w:style>
  <w:style w:type="character" w:customStyle="1" w:styleId="7Char">
    <w:name w:val="标题 7 Char"/>
    <w:basedOn w:val="a0"/>
    <w:link w:val="7"/>
    <w:uiPriority w:val="9"/>
    <w:semiHidden/>
    <w:rsid w:val="00F64E7D"/>
    <w:rPr>
      <w:rFonts w:cstheme="majorBidi"/>
      <w:b/>
      <w:bCs/>
      <w:color w:val="595959" w:themeColor="text1" w:themeTint="A6"/>
    </w:rPr>
  </w:style>
  <w:style w:type="character" w:customStyle="1" w:styleId="8Char">
    <w:name w:val="标题 8 Char"/>
    <w:basedOn w:val="a0"/>
    <w:link w:val="8"/>
    <w:uiPriority w:val="9"/>
    <w:semiHidden/>
    <w:rsid w:val="00F64E7D"/>
    <w:rPr>
      <w:rFonts w:cstheme="majorBidi"/>
      <w:color w:val="595959" w:themeColor="text1" w:themeTint="A6"/>
    </w:rPr>
  </w:style>
  <w:style w:type="character" w:customStyle="1" w:styleId="9Char">
    <w:name w:val="标题 9 Char"/>
    <w:basedOn w:val="a0"/>
    <w:link w:val="9"/>
    <w:uiPriority w:val="9"/>
    <w:semiHidden/>
    <w:rsid w:val="00F64E7D"/>
    <w:rPr>
      <w:rFonts w:eastAsiaTheme="majorEastAsia" w:cstheme="majorBidi"/>
      <w:color w:val="595959" w:themeColor="text1" w:themeTint="A6"/>
    </w:rPr>
  </w:style>
  <w:style w:type="paragraph" w:styleId="a3">
    <w:name w:val="Title"/>
    <w:basedOn w:val="a"/>
    <w:next w:val="a"/>
    <w:link w:val="Char"/>
    <w:uiPriority w:val="10"/>
    <w:qFormat/>
    <w:rsid w:val="00F64E7D"/>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F64E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4E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F64E7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64E7D"/>
    <w:pPr>
      <w:spacing w:before="160" w:after="160"/>
      <w:jc w:val="center"/>
    </w:pPr>
    <w:rPr>
      <w:i/>
      <w:iCs/>
      <w:color w:val="404040" w:themeColor="text1" w:themeTint="BF"/>
    </w:rPr>
  </w:style>
  <w:style w:type="character" w:customStyle="1" w:styleId="Char1">
    <w:name w:val="引用 Char"/>
    <w:basedOn w:val="a0"/>
    <w:link w:val="a5"/>
    <w:uiPriority w:val="29"/>
    <w:rsid w:val="00F64E7D"/>
    <w:rPr>
      <w:i/>
      <w:iCs/>
      <w:color w:val="404040" w:themeColor="text1" w:themeTint="BF"/>
    </w:rPr>
  </w:style>
  <w:style w:type="paragraph" w:styleId="a6">
    <w:name w:val="List Paragraph"/>
    <w:basedOn w:val="a"/>
    <w:uiPriority w:val="34"/>
    <w:qFormat/>
    <w:rsid w:val="00F64E7D"/>
    <w:pPr>
      <w:ind w:left="720"/>
      <w:contextualSpacing/>
    </w:pPr>
  </w:style>
  <w:style w:type="character" w:styleId="a7">
    <w:name w:val="Intense Emphasis"/>
    <w:basedOn w:val="a0"/>
    <w:uiPriority w:val="21"/>
    <w:qFormat/>
    <w:rsid w:val="00F64E7D"/>
    <w:rPr>
      <w:i/>
      <w:iCs/>
      <w:color w:val="2F5496" w:themeColor="accent1" w:themeShade="BF"/>
    </w:rPr>
  </w:style>
  <w:style w:type="paragraph" w:styleId="a8">
    <w:name w:val="Intense Quote"/>
    <w:basedOn w:val="a"/>
    <w:next w:val="a"/>
    <w:link w:val="Char2"/>
    <w:uiPriority w:val="30"/>
    <w:qFormat/>
    <w:rsid w:val="00F64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F64E7D"/>
    <w:rPr>
      <w:i/>
      <w:iCs/>
      <w:color w:val="2F5496" w:themeColor="accent1" w:themeShade="BF"/>
    </w:rPr>
  </w:style>
  <w:style w:type="character" w:styleId="a9">
    <w:name w:val="Intense Reference"/>
    <w:basedOn w:val="a0"/>
    <w:uiPriority w:val="32"/>
    <w:qFormat/>
    <w:rsid w:val="00F64E7D"/>
    <w:rPr>
      <w:b/>
      <w:bCs/>
      <w:smallCaps/>
      <w:color w:val="2F5496" w:themeColor="accent1" w:themeShade="BF"/>
      <w:spacing w:val="5"/>
    </w:rPr>
  </w:style>
  <w:style w:type="paragraph" w:styleId="aa">
    <w:name w:val="Body Text"/>
    <w:basedOn w:val="a"/>
    <w:link w:val="Char3"/>
    <w:uiPriority w:val="99"/>
    <w:unhideWhenUsed/>
    <w:qFormat/>
    <w:rsid w:val="00333F1B"/>
    <w:pPr>
      <w:widowControl w:val="0"/>
      <w:spacing w:after="120" w:line="560" w:lineRule="exact"/>
      <w:ind w:firstLineChars="200" w:firstLine="640"/>
      <w:jc w:val="both"/>
    </w:pPr>
    <w:rPr>
      <w:rFonts w:ascii="Times New Roman" w:eastAsia="仿宋_GB2312" w:hAnsi="Times New Roman" w:cs="宋体"/>
      <w:sz w:val="32"/>
      <w14:ligatures w14:val="none"/>
    </w:rPr>
  </w:style>
  <w:style w:type="character" w:customStyle="1" w:styleId="Char3">
    <w:name w:val="正文文本 Char"/>
    <w:basedOn w:val="a0"/>
    <w:link w:val="aa"/>
    <w:uiPriority w:val="99"/>
    <w:qFormat/>
    <w:rsid w:val="00333F1B"/>
    <w:rPr>
      <w:rFonts w:ascii="Times New Roman" w:eastAsia="仿宋_GB2312" w:hAnsi="Times New Roman" w:cs="宋体"/>
      <w:sz w:val="32"/>
      <w14:ligatures w14:val="none"/>
    </w:rPr>
  </w:style>
  <w:style w:type="table" w:customStyle="1" w:styleId="10">
    <w:name w:val="网格型1"/>
    <w:basedOn w:val="a1"/>
    <w:qFormat/>
    <w:rsid w:val="00333F1B"/>
    <w:rPr>
      <w:rFonts w:ascii="Calibri" w:eastAsia="宋体"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qFormat/>
    <w:rsid w:val="00D45393"/>
    <w:rPr>
      <w:rFonts w:ascii="Times New Roman" w:eastAsia="宋体"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qFormat/>
    <w:rsid w:val="00F652E2"/>
    <w:pPr>
      <w:widowControl w:val="0"/>
      <w:jc w:val="both"/>
    </w:pPr>
    <w:rPr>
      <w:rFonts w:ascii="Calibri" w:eastAsia="宋体"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4"/>
    <w:uiPriority w:val="99"/>
    <w:unhideWhenUsed/>
    <w:rsid w:val="000F2DC6"/>
    <w:pPr>
      <w:tabs>
        <w:tab w:val="center" w:pos="4153"/>
        <w:tab w:val="right" w:pos="8306"/>
      </w:tabs>
      <w:snapToGrid w:val="0"/>
      <w:jc w:val="center"/>
    </w:pPr>
    <w:rPr>
      <w:sz w:val="18"/>
      <w:szCs w:val="18"/>
    </w:rPr>
  </w:style>
  <w:style w:type="character" w:customStyle="1" w:styleId="Char4">
    <w:name w:val="页眉 Char"/>
    <w:basedOn w:val="a0"/>
    <w:link w:val="ac"/>
    <w:uiPriority w:val="99"/>
    <w:rsid w:val="000F2DC6"/>
    <w:rPr>
      <w:sz w:val="18"/>
      <w:szCs w:val="18"/>
    </w:rPr>
  </w:style>
  <w:style w:type="paragraph" w:styleId="ad">
    <w:name w:val="footer"/>
    <w:basedOn w:val="a"/>
    <w:link w:val="Char5"/>
    <w:uiPriority w:val="99"/>
    <w:unhideWhenUsed/>
    <w:rsid w:val="000F2DC6"/>
    <w:pPr>
      <w:tabs>
        <w:tab w:val="center" w:pos="4153"/>
        <w:tab w:val="right" w:pos="8306"/>
      </w:tabs>
      <w:snapToGrid w:val="0"/>
    </w:pPr>
    <w:rPr>
      <w:sz w:val="18"/>
      <w:szCs w:val="18"/>
    </w:rPr>
  </w:style>
  <w:style w:type="character" w:customStyle="1" w:styleId="Char5">
    <w:name w:val="页脚 Char"/>
    <w:basedOn w:val="a0"/>
    <w:link w:val="ad"/>
    <w:uiPriority w:val="99"/>
    <w:rsid w:val="000F2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6E65-C668-4033-B9B5-7EF1C1DF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刘宁</dc:creator>
  <cp:keywords/>
  <dc:description/>
  <cp:lastModifiedBy>赵振营</cp:lastModifiedBy>
  <cp:revision>7</cp:revision>
  <dcterms:created xsi:type="dcterms:W3CDTF">2025-02-20T06:36:00Z</dcterms:created>
  <dcterms:modified xsi:type="dcterms:W3CDTF">2025-02-25T02:56:00Z</dcterms:modified>
</cp:coreProperties>
</file>