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《中关村科学城加快建设具有全球影响力人工智能产业高地的若干措施》起草</w:t>
      </w:r>
      <w:r>
        <w:rPr>
          <w:rFonts w:hint="eastAsia" w:ascii="方正小标宋简体" w:eastAsia="方正小标宋简体"/>
          <w:sz w:val="44"/>
          <w:szCs w:val="44"/>
          <w:lang w:eastAsia="zh-CN"/>
        </w:rPr>
        <w:t>说明</w:t>
      </w:r>
    </w:p>
    <w:p>
      <w:pPr>
        <w:spacing w:line="100" w:lineRule="exact"/>
        <w:ind w:firstLine="640" w:firstLineChars="200"/>
        <w:rPr>
          <w:rFonts w:hint="eastAsia" w:ascii="黑体" w:hAnsi="黑体" w:eastAsia="黑体"/>
          <w:sz w:val="32"/>
          <w:szCs w:val="32"/>
        </w:rPr>
      </w:pPr>
    </w:p>
    <w:p>
      <w:pPr>
        <w:spacing w:line="100" w:lineRule="exact"/>
        <w:ind w:firstLine="640" w:firstLineChars="200"/>
        <w:rPr>
          <w:rFonts w:hint="eastAsia" w:ascii="黑体" w:hAnsi="黑体" w:eastAsia="黑体"/>
          <w:sz w:val="32"/>
          <w:szCs w:val="32"/>
        </w:rPr>
      </w:pPr>
    </w:p>
    <w:p>
      <w:pPr>
        <w:pStyle w:val="20"/>
        <w:spacing w:line="100" w:lineRule="exact"/>
        <w:rPr>
          <w:rFonts w:hint="eastAsia" w:ascii="黑体" w:hAnsi="黑体" w:eastAsia="黑体"/>
          <w:sz w:val="32"/>
          <w:szCs w:val="32"/>
        </w:rPr>
      </w:pPr>
    </w:p>
    <w:p>
      <w:pPr>
        <w:pStyle w:val="20"/>
        <w:spacing w:line="100" w:lineRule="exact"/>
        <w:rPr>
          <w:rFonts w:hint="eastAsia" w:ascii="黑体" w:hAnsi="黑体" w:eastAsia="黑体"/>
          <w:sz w:val="32"/>
          <w:szCs w:val="32"/>
        </w:rPr>
      </w:pPr>
      <w:r>
        <w:rPr>
          <w:rFonts w:hint="eastAsia" w:ascii="黑体" w:hAnsi="黑体" w:eastAsia="黑体"/>
          <w:sz w:val="32"/>
          <w:szCs w:val="32"/>
        </w:rPr>
        <w:t xml:space="preserve"> </w:t>
      </w:r>
    </w:p>
    <w:p>
      <w:pPr>
        <w:widowControl w:val="0"/>
        <w:spacing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为加速推动人工智能产业集聚和高质量发展，通过政策引领强化创新要素供给，进一步拓宽支持范围、增强支持力度，</w:t>
      </w:r>
      <w:r>
        <w:rPr>
          <w:rFonts w:hint="eastAsia" w:ascii="仿宋_GB2312" w:hAnsi="仿宋_GB2312" w:eastAsia="仿宋_GB2312" w:cs="仿宋_GB2312"/>
          <w:color w:val="000000"/>
          <w:sz w:val="32"/>
          <w:szCs w:val="32"/>
          <w:shd w:val="clear" w:color="auto" w:fill="FFFFFF"/>
          <w:lang w:eastAsia="zh-CN"/>
        </w:rPr>
        <w:t>中关村</w:t>
      </w:r>
      <w:r>
        <w:rPr>
          <w:rFonts w:hint="eastAsia" w:ascii="仿宋_GB2312" w:hAnsi="仿宋_GB2312" w:eastAsia="仿宋_GB2312" w:cs="仿宋_GB2312"/>
          <w:color w:val="000000"/>
          <w:sz w:val="32"/>
          <w:szCs w:val="32"/>
          <w:shd w:val="clear" w:color="auto" w:fill="FFFFFF"/>
        </w:rPr>
        <w:t>科学城管委会加快制定升级版政策《中关村科学城加快建设具有全球影响力人工智能产业高地的若干措施》（以下简称《若干措施》）。</w:t>
      </w:r>
    </w:p>
    <w:p>
      <w:pPr>
        <w:widowControl w:val="0"/>
        <w:overflowPunct w:val="0"/>
        <w:spacing w:after="0" w:line="550" w:lineRule="exact"/>
        <w:ind w:firstLine="640" w:firstLineChars="200"/>
        <w:contextualSpacing/>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升级版</w:t>
      </w:r>
      <w:r>
        <w:rPr>
          <w:rFonts w:hint="eastAsia" w:ascii="仿宋_GB2312" w:hAnsi="仿宋_GB2312" w:eastAsia="仿宋_GB2312" w:cs="仿宋_GB2312"/>
          <w:color w:val="000000"/>
          <w:sz w:val="32"/>
          <w:szCs w:val="32"/>
          <w:shd w:val="clear" w:color="auto" w:fill="FFFFFF"/>
        </w:rPr>
        <w:t>《若干措施》围绕技术占先、要素筑基、应用蓄势、生态聚力的“四位一体”思路开展制定，以代表国家参与国际竞争的战略高度，建设具有全球影响力的创新策源地和产业高地，打造世界级产业集群。</w:t>
      </w:r>
      <w:r>
        <w:rPr>
          <w:rFonts w:hint="eastAsia" w:ascii="仿宋_GB2312" w:hAnsi="仿宋_GB2312" w:eastAsia="仿宋_GB2312" w:cs="仿宋_GB2312"/>
          <w:b/>
          <w:bCs/>
          <w:color w:val="000000"/>
          <w:sz w:val="32"/>
          <w:szCs w:val="32"/>
          <w:shd w:val="clear" w:color="auto" w:fill="FFFFFF"/>
        </w:rPr>
        <w:t>一是</w:t>
      </w:r>
      <w:r>
        <w:rPr>
          <w:rFonts w:hint="eastAsia" w:ascii="仿宋_GB2312" w:hAnsi="仿宋_GB2312" w:eastAsia="仿宋_GB2312" w:cs="仿宋_GB2312"/>
          <w:color w:val="000000"/>
          <w:sz w:val="32"/>
          <w:szCs w:val="32"/>
          <w:shd w:val="clear" w:color="auto" w:fill="FFFFFF"/>
        </w:rPr>
        <w:t>突出全要素支撑。</w:t>
      </w:r>
      <w:r>
        <w:rPr>
          <w:rFonts w:hint="eastAsia" w:ascii="仿宋_GB2312" w:hAnsi="仿宋_GB2312" w:eastAsia="仿宋_GB2312" w:cs="仿宋_GB2312"/>
          <w:b/>
          <w:bCs/>
          <w:color w:val="000000"/>
          <w:sz w:val="32"/>
          <w:szCs w:val="32"/>
          <w:shd w:val="clear" w:color="auto" w:fill="FFFFFF"/>
        </w:rPr>
        <w:t>二是</w:t>
      </w:r>
      <w:r>
        <w:rPr>
          <w:rFonts w:hint="eastAsia" w:ascii="仿宋_GB2312" w:hAnsi="仿宋_GB2312" w:eastAsia="仿宋_GB2312" w:cs="仿宋_GB2312"/>
          <w:color w:val="000000"/>
          <w:sz w:val="32"/>
          <w:szCs w:val="32"/>
          <w:shd w:val="clear" w:color="auto" w:fill="FFFFFF"/>
        </w:rPr>
        <w:t>突出全生命周期支持。</w:t>
      </w:r>
      <w:r>
        <w:rPr>
          <w:rFonts w:hint="eastAsia" w:ascii="仿宋_GB2312" w:hAnsi="仿宋_GB2312" w:eastAsia="仿宋_GB2312" w:cs="仿宋_GB2312"/>
          <w:b/>
          <w:bCs/>
          <w:color w:val="000000"/>
          <w:sz w:val="32"/>
          <w:szCs w:val="32"/>
          <w:shd w:val="clear" w:color="auto" w:fill="FFFFFF"/>
        </w:rPr>
        <w:t>三是</w:t>
      </w:r>
      <w:r>
        <w:rPr>
          <w:rFonts w:hint="eastAsia" w:ascii="仿宋_GB2312" w:hAnsi="仿宋_GB2312" w:eastAsia="仿宋_GB2312" w:cs="仿宋_GB2312"/>
          <w:color w:val="000000"/>
          <w:sz w:val="32"/>
          <w:szCs w:val="32"/>
          <w:shd w:val="clear" w:color="auto" w:fill="FFFFFF"/>
        </w:rPr>
        <w:t>突出资源高效配置</w:t>
      </w:r>
      <w:bookmarkStart w:id="0" w:name="_GoBack"/>
      <w:bookmarkEnd w:id="0"/>
      <w:r>
        <w:rPr>
          <w:rFonts w:hint="eastAsia" w:ascii="仿宋_GB2312" w:hAnsi="仿宋_GB2312" w:eastAsia="仿宋_GB2312" w:cs="仿宋_GB2312"/>
          <w:color w:val="000000"/>
          <w:sz w:val="32"/>
          <w:szCs w:val="32"/>
          <w:shd w:val="clear" w:color="auto" w:fill="FFFFFF"/>
        </w:rPr>
        <w:t>。</w:t>
      </w:r>
    </w:p>
    <w:p>
      <w:pPr>
        <w:widowControl w:val="0"/>
        <w:shd w:val="clear" w:color="auto" w:fill="FFFFFF"/>
        <w:overflowPunct w:val="0"/>
        <w:spacing w:after="0" w:line="560" w:lineRule="exact"/>
        <w:ind w:firstLine="642" w:firstLineChars="200"/>
        <w:contextualSpacing/>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sz w:val="32"/>
          <w:szCs w:val="32"/>
          <w:shd w:val="clear" w:color="auto" w:fill="FFFFFF"/>
        </w:rPr>
        <w:t>在技术占先方面，</w:t>
      </w:r>
      <w:r>
        <w:rPr>
          <w:rFonts w:hint="eastAsia" w:ascii="仿宋_GB2312" w:hAnsi="仿宋_GB2312" w:eastAsia="仿宋_GB2312" w:cs="仿宋_GB2312"/>
          <w:color w:val="000000"/>
          <w:sz w:val="32"/>
          <w:szCs w:val="32"/>
          <w:shd w:val="clear" w:color="auto" w:fill="FFFFFF"/>
        </w:rPr>
        <w:t>提出“加快颠覆性技术创新布局”一项措施。持续加强底层核心技术攻关，布局颠覆性技术探索“换道超车”新路径。</w:t>
      </w:r>
      <w:r>
        <w:rPr>
          <w:rFonts w:hint="eastAsia" w:ascii="仿宋_GB2312" w:hAnsi="仿宋_GB2312" w:eastAsia="仿宋_GB2312" w:cs="仿宋_GB2312"/>
          <w:b/>
          <w:bCs/>
          <w:color w:val="000000"/>
          <w:sz w:val="32"/>
          <w:szCs w:val="32"/>
          <w:shd w:val="clear" w:color="auto" w:fill="FFFFFF"/>
        </w:rPr>
        <w:t>在要素筑基方面，</w:t>
      </w:r>
      <w:r>
        <w:rPr>
          <w:rFonts w:hint="eastAsia" w:ascii="仿宋_GB2312" w:hAnsi="仿宋_GB2312" w:eastAsia="仿宋_GB2312" w:cs="仿宋_GB2312"/>
          <w:color w:val="000000"/>
          <w:sz w:val="32"/>
          <w:szCs w:val="32"/>
          <w:shd w:val="clear" w:color="auto" w:fill="FFFFFF"/>
        </w:rPr>
        <w:t>提出“强化人工智能算力高效供给”“拓宽高价值语料供给渠道”两项措施。</w:t>
      </w:r>
      <w:r>
        <w:rPr>
          <w:rFonts w:hint="eastAsia" w:ascii="仿宋_GB2312" w:hAnsi="仿宋_GB2312" w:eastAsia="仿宋_GB2312" w:cs="仿宋_GB2312"/>
          <w:b w:val="0"/>
          <w:bCs w:val="0"/>
          <w:color w:val="000000"/>
          <w:sz w:val="32"/>
          <w:szCs w:val="32"/>
          <w:shd w:val="clear" w:color="auto" w:fill="FFFFFF"/>
        </w:rPr>
        <w:t>聚焦算力供给，降低模型企业研发成本，推动国产技术创新突破。聚焦数据供给，</w:t>
      </w:r>
      <w:r>
        <w:rPr>
          <w:rFonts w:hint="eastAsia" w:ascii="仿宋_GB2312" w:hAnsi="仿宋_GB2312" w:eastAsia="仿宋_GB2312" w:cs="仿宋_GB2312"/>
          <w:color w:val="000000"/>
          <w:sz w:val="32"/>
          <w:szCs w:val="32"/>
          <w:shd w:val="clear" w:color="auto" w:fill="FFFFFF"/>
        </w:rPr>
        <w:t>推动高质量数据集建设与应用</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着力培育数据标注新业态。</w:t>
      </w:r>
      <w:r>
        <w:rPr>
          <w:rFonts w:hint="eastAsia" w:ascii="仿宋_GB2312" w:hAnsi="仿宋_GB2312" w:eastAsia="仿宋_GB2312" w:cs="仿宋_GB2312"/>
          <w:b/>
          <w:bCs/>
          <w:color w:val="000000"/>
          <w:sz w:val="32"/>
          <w:szCs w:val="32"/>
          <w:shd w:val="clear" w:color="auto" w:fill="FFFFFF"/>
        </w:rPr>
        <w:t>在应用蓄势方面，</w:t>
      </w:r>
      <w:r>
        <w:rPr>
          <w:rFonts w:hint="eastAsia" w:ascii="仿宋_GB2312" w:hAnsi="仿宋_GB2312" w:eastAsia="仿宋_GB2312" w:cs="仿宋_GB2312"/>
          <w:color w:val="000000"/>
          <w:sz w:val="32"/>
          <w:szCs w:val="32"/>
          <w:shd w:val="clear" w:color="auto" w:fill="FFFFFF"/>
        </w:rPr>
        <w:t>提出“构建全域全时应用场景开放体系”一项措施。一是推进数据治理、技术研发、应用验证和标准制定，定义行业发展；二是引导各领域用户开放核心业务场景，扩大人工智能应用的市场规模。</w:t>
      </w:r>
      <w:r>
        <w:rPr>
          <w:rFonts w:hint="eastAsia" w:ascii="仿宋_GB2312" w:hAnsi="仿宋_GB2312" w:eastAsia="仿宋_GB2312" w:cs="仿宋_GB2312"/>
          <w:b/>
          <w:bCs/>
          <w:color w:val="000000"/>
          <w:kern w:val="0"/>
          <w:sz w:val="32"/>
          <w:szCs w:val="32"/>
          <w:shd w:val="clear" w:color="auto" w:fill="FFFFFF"/>
        </w:rPr>
        <w:t>在生态聚力方面，</w:t>
      </w:r>
      <w:r>
        <w:rPr>
          <w:rFonts w:hint="eastAsia" w:ascii="仿宋_GB2312" w:hAnsi="仿宋_GB2312" w:eastAsia="仿宋_GB2312" w:cs="仿宋_GB2312"/>
          <w:color w:val="000000"/>
          <w:kern w:val="0"/>
          <w:sz w:val="32"/>
          <w:szCs w:val="32"/>
          <w:shd w:val="clear" w:color="auto" w:fill="FFFFFF"/>
        </w:rPr>
        <w:t>提出“夯实产业共性技术平台关键支撑” “打造人工智能人才创新创业新高地”“建立完善全链条孵育孵化体系”“活跃国产基础大模型应用生态”“完善全生命周期科技金融支持”</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rPr>
        <w:t>扩大国际交流创新合作</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六项措施。</w:t>
      </w:r>
      <w:r>
        <w:rPr>
          <w:rFonts w:hint="eastAsia" w:ascii="仿宋_GB2312" w:hAnsi="仿宋_GB2312" w:eastAsia="仿宋_GB2312" w:cs="仿宋_GB2312"/>
          <w:b w:val="0"/>
          <w:bCs w:val="0"/>
          <w:color w:val="000000"/>
          <w:kern w:val="0"/>
          <w:sz w:val="32"/>
          <w:szCs w:val="32"/>
          <w:shd w:val="clear" w:color="auto" w:fill="FFFFFF"/>
        </w:rPr>
        <w:t>聚焦产业共性技术平台，</w:t>
      </w:r>
      <w:r>
        <w:rPr>
          <w:rFonts w:hint="eastAsia" w:ascii="仿宋_GB2312" w:hAnsi="仿宋_GB2312" w:eastAsia="仿宋_GB2312" w:cs="仿宋_GB2312"/>
          <w:color w:val="000000"/>
          <w:kern w:val="0"/>
          <w:sz w:val="32"/>
          <w:szCs w:val="32"/>
          <w:shd w:val="clear" w:color="auto" w:fill="FFFFFF"/>
        </w:rPr>
        <w:t>构建多层次、多维度的产业支撑体系。</w:t>
      </w:r>
      <w:r>
        <w:rPr>
          <w:rFonts w:hint="eastAsia" w:ascii="仿宋_GB2312" w:hAnsi="仿宋_GB2312" w:eastAsia="仿宋_GB2312" w:cs="仿宋_GB2312"/>
          <w:b w:val="0"/>
          <w:bCs w:val="0"/>
          <w:color w:val="000000"/>
          <w:kern w:val="0"/>
          <w:sz w:val="32"/>
          <w:szCs w:val="32"/>
          <w:shd w:val="clear" w:color="auto" w:fill="FFFFFF"/>
        </w:rPr>
        <w:t>聚焦人工智能人才创新创业，</w:t>
      </w:r>
      <w:r>
        <w:rPr>
          <w:rFonts w:hint="eastAsia" w:ascii="仿宋_GB2312" w:hAnsi="仿宋_GB2312" w:eastAsia="仿宋_GB2312" w:cs="仿宋_GB2312"/>
          <w:color w:val="000000"/>
          <w:kern w:val="0"/>
          <w:sz w:val="32"/>
          <w:szCs w:val="32"/>
          <w:shd w:val="clear" w:color="auto" w:fill="FFFFFF"/>
        </w:rPr>
        <w:t>加大优秀项目落地指导和人才支持。</w:t>
      </w:r>
      <w:r>
        <w:rPr>
          <w:rFonts w:hint="eastAsia" w:ascii="仿宋_GB2312" w:hAnsi="仿宋_GB2312" w:eastAsia="仿宋_GB2312" w:cs="仿宋_GB2312"/>
          <w:b w:val="0"/>
          <w:bCs w:val="0"/>
          <w:color w:val="000000"/>
          <w:kern w:val="0"/>
          <w:sz w:val="32"/>
          <w:szCs w:val="32"/>
          <w:shd w:val="clear" w:color="auto" w:fill="FFFFFF"/>
        </w:rPr>
        <w:t>聚焦全链条孵育孵化，</w:t>
      </w:r>
      <w:r>
        <w:rPr>
          <w:rFonts w:hint="eastAsia" w:ascii="仿宋_GB2312" w:hAnsi="仿宋_GB2312" w:eastAsia="仿宋_GB2312" w:cs="仿宋_GB2312"/>
          <w:color w:val="000000"/>
          <w:kern w:val="0"/>
          <w:sz w:val="32"/>
          <w:szCs w:val="32"/>
          <w:shd w:val="clear" w:color="auto" w:fill="FFFFFF"/>
        </w:rPr>
        <w:t>促进早期项目快速进行模型微调和垂直领域训练，对创新创业过程中所需要的算力等支持予以保障。</w:t>
      </w:r>
      <w:r>
        <w:rPr>
          <w:rFonts w:hint="eastAsia" w:ascii="仿宋_GB2312" w:hAnsi="仿宋_GB2312" w:eastAsia="仿宋_GB2312" w:cs="仿宋_GB2312"/>
          <w:b w:val="0"/>
          <w:bCs w:val="0"/>
          <w:color w:val="000000"/>
          <w:kern w:val="0"/>
          <w:sz w:val="32"/>
          <w:szCs w:val="32"/>
          <w:shd w:val="clear" w:color="auto" w:fill="FFFFFF"/>
        </w:rPr>
        <w:t>聚焦国产大模型，</w:t>
      </w:r>
      <w:r>
        <w:rPr>
          <w:rFonts w:hint="eastAsia" w:ascii="仿宋_GB2312" w:hAnsi="仿宋_GB2312" w:eastAsia="仿宋_GB2312" w:cs="仿宋_GB2312"/>
          <w:color w:val="000000"/>
          <w:kern w:val="0"/>
          <w:sz w:val="32"/>
          <w:szCs w:val="32"/>
          <w:shd w:val="clear" w:color="auto" w:fill="FFFFFF"/>
        </w:rPr>
        <w:t>促进AI消费应用，深度赋能千行百业。</w:t>
      </w:r>
      <w:r>
        <w:rPr>
          <w:rFonts w:hint="eastAsia" w:ascii="仿宋_GB2312" w:hAnsi="仿宋_GB2312" w:eastAsia="仿宋_GB2312" w:cs="仿宋_GB2312"/>
          <w:b w:val="0"/>
          <w:bCs w:val="0"/>
          <w:color w:val="000000"/>
          <w:kern w:val="0"/>
          <w:sz w:val="32"/>
          <w:szCs w:val="32"/>
          <w:shd w:val="clear" w:color="auto" w:fill="FFFFFF"/>
        </w:rPr>
        <w:t>聚焦全生命周期科技金融，</w:t>
      </w:r>
      <w:r>
        <w:rPr>
          <w:rFonts w:hint="eastAsia" w:ascii="仿宋_GB2312" w:hAnsi="仿宋_GB2312" w:eastAsia="仿宋_GB2312" w:cs="仿宋_GB2312"/>
          <w:color w:val="000000"/>
          <w:kern w:val="0"/>
          <w:sz w:val="32"/>
          <w:szCs w:val="32"/>
          <w:shd w:val="clear" w:color="auto" w:fill="FFFFFF"/>
        </w:rPr>
        <w:t>强化人工智能领域全链条资本支持</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充分发挥科技金融服务体系的支撑所用。</w:t>
      </w:r>
      <w:r>
        <w:rPr>
          <w:rFonts w:hint="eastAsia" w:ascii="仿宋_GB2312" w:hAnsi="仿宋_GB2312" w:eastAsia="仿宋_GB2312" w:cs="仿宋_GB2312"/>
          <w:b w:val="0"/>
          <w:bCs w:val="0"/>
          <w:color w:val="000000"/>
          <w:kern w:val="0"/>
          <w:sz w:val="32"/>
          <w:szCs w:val="32"/>
          <w:shd w:val="clear" w:color="auto" w:fill="FFFFFF"/>
        </w:rPr>
        <w:t>聚焦国际交流创新合作，</w:t>
      </w:r>
      <w:r>
        <w:rPr>
          <w:rFonts w:hint="eastAsia" w:ascii="仿宋_GB2312" w:hAnsi="仿宋_GB2312" w:eastAsia="仿宋_GB2312" w:cs="仿宋_GB2312"/>
          <w:color w:val="000000"/>
          <w:kern w:val="0"/>
          <w:sz w:val="32"/>
          <w:szCs w:val="32"/>
        </w:rPr>
        <w:t>支持专业服务机构提供企业出海服务，支持国际科技组织、研发中心等国际机构落地，鼓励高质量行业论坛、赛事路演、技术创新交流等活动举办。</w:t>
      </w:r>
    </w:p>
    <w:p>
      <w:pPr>
        <w:widowControl w:val="0"/>
        <w:shd w:val="clear" w:color="auto" w:fill="FFFFFF"/>
        <w:overflowPunct w:val="0"/>
        <w:spacing w:after="0" w:line="560" w:lineRule="exact"/>
        <w:ind w:firstLine="640" w:firstLineChars="200"/>
        <w:contextualSpacing/>
        <w:jc w:val="both"/>
        <w:rPr>
          <w:rFonts w:hint="eastAsia" w:ascii="仿宋_GB2312" w:hAnsi="仿宋_GB2312" w:eastAsia="仿宋_GB2312" w:cs="仿宋_GB2312"/>
          <w:color w:val="000000"/>
          <w:kern w:val="0"/>
          <w:sz w:val="32"/>
          <w:szCs w:val="32"/>
        </w:rPr>
      </w:pPr>
    </w:p>
    <w:sectPr>
      <w:footerReference r:id="rId5" w:type="default"/>
      <w:pgSz w:w="11906" w:h="16838"/>
      <w:pgMar w:top="2098" w:right="1531" w:bottom="1984" w:left="1531" w:header="851" w:footer="510"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072909"/>
    </w:sdtPr>
    <w:sdtEndPr>
      <w:rPr>
        <w:rFonts w:ascii="宋体" w:hAnsi="宋体" w:eastAsia="宋体"/>
        <w:sz w:val="28"/>
        <w:szCs w:val="28"/>
      </w:rPr>
    </w:sdtEndPr>
    <w:sdtContent>
      <w:p>
        <w:pPr>
          <w:pStyle w:val="14"/>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true"/>
  <w:bordersDoNotSurroundFooter w:val="true"/>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7D"/>
    <w:rsid w:val="0002654A"/>
    <w:rsid w:val="00050BA2"/>
    <w:rsid w:val="00093E76"/>
    <w:rsid w:val="000F2DC6"/>
    <w:rsid w:val="001715A5"/>
    <w:rsid w:val="001F651B"/>
    <w:rsid w:val="002112DF"/>
    <w:rsid w:val="00245904"/>
    <w:rsid w:val="002870AC"/>
    <w:rsid w:val="002A5F63"/>
    <w:rsid w:val="002C1D19"/>
    <w:rsid w:val="002D2727"/>
    <w:rsid w:val="002E7D91"/>
    <w:rsid w:val="00311B25"/>
    <w:rsid w:val="00333F1B"/>
    <w:rsid w:val="00343C82"/>
    <w:rsid w:val="003F4548"/>
    <w:rsid w:val="004D1D07"/>
    <w:rsid w:val="004F2F03"/>
    <w:rsid w:val="00514927"/>
    <w:rsid w:val="005515C8"/>
    <w:rsid w:val="005523DE"/>
    <w:rsid w:val="00564C57"/>
    <w:rsid w:val="006235F4"/>
    <w:rsid w:val="0062669A"/>
    <w:rsid w:val="006944E6"/>
    <w:rsid w:val="006C29EE"/>
    <w:rsid w:val="006E6BF3"/>
    <w:rsid w:val="007260BD"/>
    <w:rsid w:val="007C4FD1"/>
    <w:rsid w:val="007E0248"/>
    <w:rsid w:val="007E2695"/>
    <w:rsid w:val="00836702"/>
    <w:rsid w:val="0088548F"/>
    <w:rsid w:val="008B4DA6"/>
    <w:rsid w:val="008D64A3"/>
    <w:rsid w:val="00902287"/>
    <w:rsid w:val="00A05EA1"/>
    <w:rsid w:val="00AB4F47"/>
    <w:rsid w:val="00AC5DCE"/>
    <w:rsid w:val="00AE566D"/>
    <w:rsid w:val="00B116BE"/>
    <w:rsid w:val="00B9609C"/>
    <w:rsid w:val="00BE555E"/>
    <w:rsid w:val="00C17950"/>
    <w:rsid w:val="00C37FDF"/>
    <w:rsid w:val="00C45E9A"/>
    <w:rsid w:val="00CE0E5B"/>
    <w:rsid w:val="00D45393"/>
    <w:rsid w:val="00D74709"/>
    <w:rsid w:val="00DA4C21"/>
    <w:rsid w:val="00DE719E"/>
    <w:rsid w:val="00E1024F"/>
    <w:rsid w:val="00E70E82"/>
    <w:rsid w:val="00EB7A86"/>
    <w:rsid w:val="00EE2ABC"/>
    <w:rsid w:val="00F005A1"/>
    <w:rsid w:val="00F05635"/>
    <w:rsid w:val="00F44877"/>
    <w:rsid w:val="00F64E7D"/>
    <w:rsid w:val="00F652E2"/>
    <w:rsid w:val="00FF4FE4"/>
    <w:rsid w:val="0DB7E453"/>
    <w:rsid w:val="0E75D9FF"/>
    <w:rsid w:val="11AB1672"/>
    <w:rsid w:val="13B8178C"/>
    <w:rsid w:val="13D36C5E"/>
    <w:rsid w:val="164B3423"/>
    <w:rsid w:val="1BD637BC"/>
    <w:rsid w:val="27E94548"/>
    <w:rsid w:val="334541A4"/>
    <w:rsid w:val="34F11083"/>
    <w:rsid w:val="37FAB54A"/>
    <w:rsid w:val="3BDFAD7F"/>
    <w:rsid w:val="4DF6C265"/>
    <w:rsid w:val="4F770F08"/>
    <w:rsid w:val="512A5408"/>
    <w:rsid w:val="5203159A"/>
    <w:rsid w:val="5B7F8A55"/>
    <w:rsid w:val="6773A19B"/>
    <w:rsid w:val="694C2D32"/>
    <w:rsid w:val="6FF7410D"/>
    <w:rsid w:val="70886BBE"/>
    <w:rsid w:val="70CA6554"/>
    <w:rsid w:val="737D8C7A"/>
    <w:rsid w:val="75CFDF10"/>
    <w:rsid w:val="77FF7CE4"/>
    <w:rsid w:val="78042B76"/>
    <w:rsid w:val="7C8E0ACE"/>
    <w:rsid w:val="7D7E5E11"/>
    <w:rsid w:val="7E6E635E"/>
    <w:rsid w:val="7FC714AE"/>
    <w:rsid w:val="7FCE5BD3"/>
    <w:rsid w:val="7FF2AA9C"/>
    <w:rsid w:val="7FFBD4AF"/>
    <w:rsid w:val="923FBD49"/>
    <w:rsid w:val="9D7F6E7F"/>
    <w:rsid w:val="9F7F12C9"/>
    <w:rsid w:val="9FFFC5C8"/>
    <w:rsid w:val="A1E6D345"/>
    <w:rsid w:val="AFE75E69"/>
    <w:rsid w:val="C71F6E78"/>
    <w:rsid w:val="CFC7B38A"/>
    <w:rsid w:val="DBD79ED0"/>
    <w:rsid w:val="DECDA8F3"/>
    <w:rsid w:val="DFFF9A5E"/>
    <w:rsid w:val="E8AD59AC"/>
    <w:rsid w:val="E8F5596D"/>
    <w:rsid w:val="EB631C14"/>
    <w:rsid w:val="EF3067EA"/>
    <w:rsid w:val="EFED4EDE"/>
    <w:rsid w:val="F6B6ADF8"/>
    <w:rsid w:val="F997703F"/>
    <w:rsid w:val="FA6F3926"/>
    <w:rsid w:val="FBF70158"/>
    <w:rsid w:val="FCDF0177"/>
    <w:rsid w:val="FEFEE79D"/>
    <w:rsid w:val="FFFFD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2"/>
      <w:szCs w:val="24"/>
      <w:lang w:val="en-US" w:eastAsia="zh-CN" w:bidi="ar-SA"/>
    </w:rPr>
  </w:style>
  <w:style w:type="paragraph" w:styleId="2">
    <w:name w:val="heading 1"/>
    <w:basedOn w:val="1"/>
    <w:next w:val="1"/>
    <w:link w:val="24"/>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5"/>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6"/>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7"/>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8"/>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9"/>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30"/>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42"/>
    <w:unhideWhenUsed/>
    <w:qFormat/>
    <w:uiPriority w:val="99"/>
    <w:pPr>
      <w:widowControl w:val="0"/>
      <w:spacing w:after="120" w:line="560" w:lineRule="exact"/>
      <w:ind w:firstLine="640" w:firstLineChars="200"/>
      <w:jc w:val="both"/>
    </w:pPr>
    <w:rPr>
      <w:rFonts w:ascii="Times New Roman" w:hAnsi="Times New Roman" w:eastAsia="仿宋_GB2312" w:cs="宋体"/>
      <w:sz w:val="32"/>
    </w:rPr>
  </w:style>
  <w:style w:type="paragraph" w:styleId="12">
    <w:name w:val="Body Text Indent"/>
    <w:basedOn w:val="1"/>
    <w:qFormat/>
    <w:uiPriority w:val="0"/>
    <w:pPr>
      <w:spacing w:line="520" w:lineRule="atLeast"/>
      <w:ind w:firstLine="720"/>
    </w:pPr>
    <w:rPr>
      <w:rFonts w:ascii="仿宋_GB2312" w:eastAsia="仿宋_GB2312"/>
      <w:sz w:val="36"/>
      <w:szCs w:val="20"/>
    </w:rPr>
  </w:style>
  <w:style w:type="paragraph" w:styleId="13">
    <w:name w:val="Plain Text"/>
    <w:basedOn w:val="1"/>
    <w:unhideWhenUsed/>
    <w:qFormat/>
    <w:uiPriority w:val="99"/>
    <w:rPr>
      <w:rFonts w:ascii="宋体" w:hAnsi="Courier New" w:cs="Courier New"/>
      <w:kern w:val="0"/>
      <w:sz w:val="20"/>
      <w:szCs w:val="21"/>
    </w:rPr>
  </w:style>
  <w:style w:type="paragraph" w:styleId="14">
    <w:name w:val="footer"/>
    <w:basedOn w:val="1"/>
    <w:link w:val="46"/>
    <w:unhideWhenUsed/>
    <w:qFormat/>
    <w:uiPriority w:val="99"/>
    <w:pPr>
      <w:tabs>
        <w:tab w:val="center" w:pos="4153"/>
        <w:tab w:val="right" w:pos="8306"/>
      </w:tabs>
      <w:snapToGrid w:val="0"/>
    </w:pPr>
    <w:rPr>
      <w:sz w:val="18"/>
      <w:szCs w:val="18"/>
    </w:rPr>
  </w:style>
  <w:style w:type="paragraph" w:styleId="15">
    <w:name w:val="header"/>
    <w:basedOn w:val="1"/>
    <w:link w:val="45"/>
    <w:unhideWhenUsed/>
    <w:qFormat/>
    <w:uiPriority w:val="99"/>
    <w:pPr>
      <w:tabs>
        <w:tab w:val="center" w:pos="4153"/>
        <w:tab w:val="right" w:pos="8306"/>
      </w:tabs>
      <w:snapToGrid w:val="0"/>
      <w:jc w:val="center"/>
    </w:pPr>
    <w:rPr>
      <w:sz w:val="18"/>
      <w:szCs w:val="18"/>
    </w:rPr>
  </w:style>
  <w:style w:type="paragraph" w:styleId="16">
    <w:name w:val="Subtitle"/>
    <w:basedOn w:val="1"/>
    <w:link w:val="34"/>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index 9"/>
    <w:basedOn w:val="1"/>
    <w:next w:val="1"/>
    <w:unhideWhenUsed/>
    <w:qFormat/>
    <w:uiPriority w:val="99"/>
    <w:pPr>
      <w:ind w:left="1600" w:leftChars="1600"/>
    </w:pPr>
    <w:rPr>
      <w:rFonts w:eastAsia="仿宋_GB2312" w:cs="仿宋_GB2312"/>
      <w:kern w:val="0"/>
      <w:sz w:val="24"/>
    </w:rPr>
  </w:style>
  <w:style w:type="paragraph" w:styleId="18">
    <w:name w:val="Normal (Web)"/>
    <w:qFormat/>
    <w:uiPriority w:val="99"/>
    <w:pPr>
      <w:shd w:val="clear" w:color="auto" w:fill="FFFFFF"/>
      <w:adjustRightInd w:val="0"/>
      <w:snapToGrid w:val="0"/>
      <w:spacing w:beforeAutospacing="1" w:after="160" w:afterAutospacing="1" w:line="560" w:lineRule="exact"/>
      <w:ind w:firstLine="200" w:firstLineChars="200"/>
    </w:pPr>
    <w:rPr>
      <w:rFonts w:ascii="仿宋_GB2312" w:hAnsi="仿宋_GB2312" w:eastAsia="仿宋_GB2312" w:cs="Times New Roman"/>
      <w:sz w:val="24"/>
      <w:szCs w:val="32"/>
      <w:lang w:val="en-US" w:eastAsia="zh-CN" w:bidi="ar-SA"/>
    </w:rPr>
  </w:style>
  <w:style w:type="paragraph" w:styleId="19">
    <w:name w:val="Title"/>
    <w:basedOn w:val="1"/>
    <w:link w:val="33"/>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0">
    <w:name w:val="Body Text First Indent 2"/>
    <w:basedOn w:val="12"/>
    <w:unhideWhenUsed/>
    <w:qFormat/>
    <w:uiPriority w:val="99"/>
    <w:pPr>
      <w:ind w:firstLine="420"/>
    </w:pPr>
  </w:style>
  <w:style w:type="table" w:styleId="22">
    <w:name w:val="Table Grid"/>
    <w:basedOn w:val="2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标题 1 字符"/>
    <w:basedOn w:val="23"/>
    <w:link w:val="2"/>
    <w:qFormat/>
    <w:uiPriority w:val="9"/>
    <w:rPr>
      <w:rFonts w:asciiTheme="majorHAnsi" w:hAnsiTheme="majorHAnsi" w:eastAsiaTheme="majorEastAsia" w:cstheme="majorBidi"/>
      <w:color w:val="2F5597" w:themeColor="accent1" w:themeShade="BF"/>
      <w:sz w:val="48"/>
      <w:szCs w:val="48"/>
    </w:rPr>
  </w:style>
  <w:style w:type="character" w:customStyle="1" w:styleId="25">
    <w:name w:val="标题 2 字符"/>
    <w:basedOn w:val="23"/>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6">
    <w:name w:val="标题 3 字符"/>
    <w:basedOn w:val="23"/>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7">
    <w:name w:val="标题 4 字符"/>
    <w:basedOn w:val="23"/>
    <w:link w:val="5"/>
    <w:semiHidden/>
    <w:qFormat/>
    <w:uiPriority w:val="9"/>
    <w:rPr>
      <w:rFonts w:cstheme="majorBidi"/>
      <w:color w:val="2F5597" w:themeColor="accent1" w:themeShade="BF"/>
      <w:sz w:val="28"/>
      <w:szCs w:val="28"/>
    </w:rPr>
  </w:style>
  <w:style w:type="character" w:customStyle="1" w:styleId="28">
    <w:name w:val="标题 5 字符"/>
    <w:basedOn w:val="23"/>
    <w:link w:val="6"/>
    <w:semiHidden/>
    <w:qFormat/>
    <w:uiPriority w:val="9"/>
    <w:rPr>
      <w:rFonts w:cstheme="majorBidi"/>
      <w:color w:val="2F5597" w:themeColor="accent1" w:themeShade="BF"/>
      <w:sz w:val="24"/>
    </w:rPr>
  </w:style>
  <w:style w:type="character" w:customStyle="1" w:styleId="29">
    <w:name w:val="标题 6 字符"/>
    <w:basedOn w:val="23"/>
    <w:link w:val="7"/>
    <w:semiHidden/>
    <w:qFormat/>
    <w:uiPriority w:val="9"/>
    <w:rPr>
      <w:rFonts w:cstheme="majorBidi"/>
      <w:b/>
      <w:bCs/>
      <w:color w:val="2F5597" w:themeColor="accent1" w:themeShade="BF"/>
    </w:rPr>
  </w:style>
  <w:style w:type="character" w:customStyle="1" w:styleId="30">
    <w:name w:val="标题 7 字符"/>
    <w:basedOn w:val="23"/>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23"/>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23"/>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23"/>
    <w:link w:val="19"/>
    <w:qFormat/>
    <w:uiPriority w:val="10"/>
    <w:rPr>
      <w:rFonts w:asciiTheme="majorHAnsi" w:hAnsiTheme="majorHAnsi" w:eastAsiaTheme="majorEastAsia" w:cstheme="majorBidi"/>
      <w:spacing w:val="-10"/>
      <w:kern w:val="28"/>
      <w:sz w:val="56"/>
      <w:szCs w:val="56"/>
    </w:rPr>
  </w:style>
  <w:style w:type="character" w:customStyle="1" w:styleId="34">
    <w:name w:val="副标题 字符"/>
    <w:basedOn w:val="23"/>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link w:val="36"/>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字符"/>
    <w:basedOn w:val="23"/>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ind w:left="720"/>
      <w:contextualSpacing/>
    </w:pPr>
  </w:style>
  <w:style w:type="character" w:customStyle="1" w:styleId="38">
    <w:name w:val="明显强调1"/>
    <w:basedOn w:val="23"/>
    <w:qFormat/>
    <w:uiPriority w:val="21"/>
    <w:rPr>
      <w:i/>
      <w:iCs/>
      <w:color w:val="2F5597" w:themeColor="accent1" w:themeShade="BF"/>
    </w:rPr>
  </w:style>
  <w:style w:type="paragraph" w:styleId="39">
    <w:name w:val="Intense Quote"/>
    <w:basedOn w:val="1"/>
    <w:link w:val="4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0">
    <w:name w:val="明显引用 字符"/>
    <w:basedOn w:val="23"/>
    <w:link w:val="39"/>
    <w:qFormat/>
    <w:uiPriority w:val="30"/>
    <w:rPr>
      <w:i/>
      <w:iCs/>
      <w:color w:val="2F5597" w:themeColor="accent1" w:themeShade="BF"/>
    </w:rPr>
  </w:style>
  <w:style w:type="character" w:customStyle="1" w:styleId="41">
    <w:name w:val="明显参考1"/>
    <w:basedOn w:val="23"/>
    <w:qFormat/>
    <w:uiPriority w:val="32"/>
    <w:rPr>
      <w:b/>
      <w:bCs/>
      <w:color w:val="2F5597" w:themeColor="accent1" w:themeShade="BF"/>
      <w:spacing w:val="5"/>
    </w:rPr>
  </w:style>
  <w:style w:type="character" w:customStyle="1" w:styleId="42">
    <w:name w:val="正文文本 字符"/>
    <w:basedOn w:val="23"/>
    <w:link w:val="11"/>
    <w:qFormat/>
    <w:uiPriority w:val="99"/>
    <w:rPr>
      <w:rFonts w:ascii="Times New Roman" w:hAnsi="Times New Roman" w:eastAsia="仿宋_GB2312" w:cs="宋体"/>
      <w:sz w:val="32"/>
    </w:rPr>
  </w:style>
  <w:style w:type="table" w:customStyle="1" w:styleId="43">
    <w:name w:val="网格型1"/>
    <w:basedOn w:val="21"/>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11"/>
    <w:basedOn w:val="21"/>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页眉 字符"/>
    <w:basedOn w:val="23"/>
    <w:link w:val="15"/>
    <w:qFormat/>
    <w:uiPriority w:val="99"/>
    <w:rPr>
      <w:sz w:val="18"/>
      <w:szCs w:val="18"/>
    </w:rPr>
  </w:style>
  <w:style w:type="character" w:customStyle="1" w:styleId="46">
    <w:name w:val="页脚 字符"/>
    <w:basedOn w:val="23"/>
    <w:link w:val="14"/>
    <w:qFormat/>
    <w:uiPriority w:val="99"/>
    <w:rPr>
      <w:sz w:val="18"/>
      <w:szCs w:val="18"/>
    </w:rPr>
  </w:style>
  <w:style w:type="paragraph" w:customStyle="1" w:styleId="47">
    <w:name w:val="修订1"/>
    <w:unhideWhenUsed/>
    <w:qFormat/>
    <w:uiPriority w:val="99"/>
    <w:pPr>
      <w:spacing w:after="160" w:line="278" w:lineRule="auto"/>
    </w:pPr>
    <w:rPr>
      <w:rFonts w:asciiTheme="minorHAnsi" w:hAnsiTheme="minorHAnsi" w:eastAsiaTheme="minorEastAsia" w:cstheme="minorBidi"/>
      <w:kern w:val="2"/>
      <w:sz w:val="22"/>
      <w:szCs w:val="24"/>
      <w:lang w:val="en-US" w:eastAsia="zh-CN" w:bidi="ar-SA"/>
    </w:rPr>
  </w:style>
  <w:style w:type="paragraph" w:customStyle="1" w:styleId="48">
    <w:name w:val="*公文正文"/>
    <w:qFormat/>
    <w:uiPriority w:val="0"/>
    <w:pPr>
      <w:shd w:val="clear" w:color="auto" w:fill="FFFFFF"/>
      <w:adjustRightInd w:val="0"/>
      <w:snapToGrid w:val="0"/>
      <w:spacing w:beforeAutospacing="1" w:after="160" w:afterAutospacing="1" w:line="560" w:lineRule="exact"/>
      <w:ind w:firstLine="643" w:firstLineChars="200"/>
    </w:pPr>
    <w:rPr>
      <w:rFonts w:ascii="仿宋_GB2312" w:hAnsi="黑体" w:eastAsia="仿宋_GB2312" w:cs="宋体"/>
      <w:sz w:val="32"/>
      <w:szCs w:val="32"/>
      <w:lang w:val="en-US" w:eastAsia="zh-CN" w:bidi="ar-SA"/>
    </w:rPr>
  </w:style>
  <w:style w:type="paragraph" w:customStyle="1" w:styleId="49">
    <w:name w:val="Revision"/>
    <w:unhideWhenUsed/>
    <w:qFormat/>
    <w:uiPriority w:val="99"/>
    <w:pPr>
      <w:spacing w:after="0" w:line="240" w:lineRule="auto"/>
    </w:pPr>
    <w:rPr>
      <w:rFonts w:asciiTheme="minorHAnsi" w:hAnsiTheme="minorHAnsi" w:eastAsiaTheme="minorEastAsia" w:cstheme="minorBidi"/>
      <w:kern w:val="2"/>
      <w:sz w:val="2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11215</Words>
  <Characters>11569</Characters>
  <Lines>89</Lines>
  <Paragraphs>25</Paragraphs>
  <TotalTime>82</TotalTime>
  <ScaleCrop>false</ScaleCrop>
  <LinksUpToDate>false</LinksUpToDate>
  <CharactersWithSpaces>11598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2025-02-16T03:23:00Z</dcterms:created>
  <dc:creator>刘宁</dc:creator>
  <cp:lastModifiedBy>user</cp:lastModifiedBy>
  <cp:lastPrinted>2025-02-21T17:22:00Z</cp:lastPrinted>
  <dcterms:modified xsi:type="dcterms:W3CDTF">2025-02-21T14:46:27Z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eyJoZGlkIjoiMzEwNTM5NzYwMDRjMzkwZTVkZjY2ODkwMGIxNGU0OTUiLCJ1c2VySWQiOiI3MzE5NzM5ODkifQ==</vt:lpwstr>
  </property>
  <property fmtid="{D5CDD505-2E9C-101B-9397-08002B2CF9AE}" pid="3" name="KSOProductBuildVer">
    <vt:lpwstr>2052-11.8.2.9695</vt:lpwstr>
  </property>
  <property fmtid="{D5CDD505-2E9C-101B-9397-08002B2CF9AE}" pid="4" name="ICV">
    <vt:lpwstr>1B27FB594B024E848C0AF75D634CC89D_13</vt:lpwstr>
  </property>
</Properties>
</file>