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全面推进美丽昌平建设 持续深入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打好污染防治攻坚战2025年行动计划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rightChars="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2025年是生态环境保护“十四五”规划收官之年，是保障“十五五”顺利起航的奠基之年，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为进一步巩固提升本区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生态文明建设水平和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生态环境质量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状况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，根据全市部署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和我区实际，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区生态环境局牵头起草了《全面推进美丽昌平建设 持续深入打好污染防治攻坚战2025年行动计划》（以下简称《2025年行动计划》）。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编制背景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bCs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北京市人民政府办公厅关于&lt;全面推进美丽北京建设持续深入打好污染防治攻坚战202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年行动计划》&gt;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有关要求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北京市昌平区人民政府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关于印发2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年区政府工作报告重点任务清单的通知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有关内容，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区生态环境局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研究，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草拟了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年行动计划》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《2025年行动计划》包括蓝天、碧水、净土、应对气候变化、生态保护五个细分方案99项工作任务以及重点任务目标31项，每个细分方案中均明确了2025年工作目标、主要措施及责任部门。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Times New Roman" w:hAnsi="Times New Roman" w:eastAsia="黑体" w:cs="Times New Roman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 w:cs="Times New Roman"/>
          <w:bCs/>
          <w:snapToGrid w:val="0"/>
          <w:kern w:val="0"/>
          <w:sz w:val="32"/>
          <w:szCs w:val="32"/>
          <w:highlight w:val="none"/>
        </w:rPr>
        <w:t>、文件起草情况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（一）</w:t>
      </w:r>
      <w:r>
        <w:rPr>
          <w:rFonts w:hint="eastAsia" w:ascii="楷体_GB2312" w:eastAsia="楷体_GB2312"/>
          <w:sz w:val="32"/>
          <w:szCs w:val="32"/>
          <w:highlight w:val="none"/>
        </w:rPr>
        <w:t>起草文件环节。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全市部署和我区实际，2024年12月至2025年1月，区生态环境局先后与市生态环境局相关处室、区有关部门就《2025年行动计划》的背景依据、目的意义、政策范围、重点工作等内容多次沟通协调，牵头起草了《全面推进美丽昌平建设 持续深入打好污染防治攻坚战2025年行动计划》。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（二）征求意见环节。</w:t>
      </w: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2月17日</w:t>
      </w:r>
      <w:r>
        <w:rPr>
          <w:rFonts w:hint="eastAsia" w:ascii="仿宋_GB2312" w:eastAsia="仿宋_GB2312"/>
          <w:sz w:val="32"/>
          <w:szCs w:val="32"/>
          <w:highlight w:val="none"/>
        </w:rPr>
        <w:t>向区级相关部门、各镇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（街道）共59家单位两次书面征求了意见，收到发改委、水务局、城管执法局、公路分局等8家单位共计意见建议25条。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（三）修改完善环节。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根据各单位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反馈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及昌平区实际情况</w:t>
      </w:r>
      <w:r>
        <w:rPr>
          <w:rFonts w:hint="eastAsia" w:ascii="仿宋_GB2312" w:eastAsia="仿宋_GB2312"/>
          <w:sz w:val="32"/>
          <w:szCs w:val="32"/>
          <w:highlight w:val="none"/>
        </w:rPr>
        <w:t>对《20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行动计划</w:t>
      </w:r>
      <w:r>
        <w:rPr>
          <w:rFonts w:hint="eastAsia" w:ascii="仿宋_GB2312" w:eastAsia="仿宋_GB2312"/>
          <w:sz w:val="32"/>
          <w:szCs w:val="32"/>
          <w:highlight w:val="none"/>
        </w:rPr>
        <w:t>》进行了修改完善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征求意见单位名单（排名不分先后）</w:t>
      </w:r>
    </w:p>
    <w:p>
      <w:pPr>
        <w:keepNext w:val="0"/>
        <w:keepLines w:val="0"/>
        <w:pageBreakBefore w:val="0"/>
        <w:widowControl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区委宣传部、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区市政集团、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区经济和信息化局、区农业农村局、区园林绿化局、市规划自然资源委昌平分局、区应急局、区城管执法局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区住房城乡建设委、区城市管理委、区商务局、区卫生健康委、区发展和改革委、区交通局、区农业服务中心、区水务局、区财政局、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区市场监管局、昌平自来水公司、市公安局昌平分局、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昌平公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路分局、区教委、区科委、昌平交通支队、市北区邮政管理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局、国资委、区气象局、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区机关事务管理服务中心、区文化和旅游局、区统计局、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国网北京昌平供电公司、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中关村科技园区昌平园管委会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、未来城管委会、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未来科学城公司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区文旅集团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、各镇政府（街道办事处）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《20</w:t>
      </w:r>
      <w:r>
        <w:rPr>
          <w:rFonts w:hint="eastAsia" w:ascii="黑体" w:hAnsi="黑体" w:eastAsia="黑体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年行动计划》主要内容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（一）基本情况。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行动计划》</w:t>
      </w:r>
      <w:r>
        <w:rPr>
          <w:rFonts w:hint="eastAsia" w:asci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坚持山水林田湖草沙一体化保护和系统治理，统筹产业结构调整、污染治理、生态保护、应对气候变化，协同推进减污、降碳、扩绿、增长，延续蓝天、碧水、净土、应对气候变化、生态保护五个版块,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具体包括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条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任务措施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。其中，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蓝天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29条、碧水20条、净土18条、应对气候18条、生态14条，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年度目标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及重点任务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31项。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645"/>
        <w:textAlignment w:val="auto"/>
        <w:outlineLvl w:val="9"/>
        <w:rPr>
          <w:rFonts w:hint="eastAsia" w:asci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（二）主要目标。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在编制过程中，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坚持精准治污、科学治污、依法治污,按照巩固成效、科学可达的原则，确定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2025年主要目标：</w:t>
      </w:r>
      <w:r>
        <w:rPr>
          <w:rFonts w:hint="eastAsia" w:ascii="仿宋_GB2312" w:eastAsia="仿宋_GB2312"/>
          <w:b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全力巩固空气质量改善成效，完成北京市下达的目标要求，基本消除重污染天气。完成“十四五”挥发性有机物（VOCs）、氮氧化物（NOx）减排目标任务。新增涉气建设项目严格执行VOCs、NOx等主要污染物排放总量控制，实施“减二增一”削减量替代审批制度。</w:t>
      </w:r>
      <w:r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巩固水生态环境质量改善成效，地表水国考、市考断面水质达到国家、市级的目标要求。集中式饮用水水源地水质保持稳定达标。地下水水质总体保持稳定。实现主要水污染物排放总量持续下降，完成化学需氧量(COD)、氨氮(NH3-N)减排目标要求。</w:t>
      </w:r>
      <w:r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建设用地和农用地土壤环境风险得到有效管控，土壤环境质量保持良好。</w:t>
      </w:r>
      <w:r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切实控制温室气体排放，单位地区生产总值二氧化碳排放较2020年累计下降21%，碳排放总量控制在610万吨。</w:t>
      </w:r>
      <w:r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生态环境质量指数（EI）力争稳中向好。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（三）主要内容。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蓝天保卫战20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行动计划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一是以车（械）“含绿量”提升为重点，推动结构减排。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大力推动新能源车推广应用。加快重点行业车新能源化。推进非道路移动机械清洁化。优化车（械）能源补给。严格在用车（械）管理。加强油气油品监管。持续优化调整运输结构。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二是以企业“含绿量”提升为主线，推动工程减排。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推动企业“含绿量”提升。推广使用低VOCs含量产品。深化重点行业治理。重点产业园区绿色升级。推进清洁燃料替代。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三是以城市精细治理为抓手，推动管理减排。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落实扬尘管控责任。强化施工扬尘管控。严格道路扬尘监管。优化裸地扬尘监管。加强面源污染管控。加强噪声污染治理。提升生态环境类接诉即办工作成效和能力。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四是开展“含绿量”提升区级示范，推动创新引领。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机动车（械）“含绿量”提升示范项目。企业“含绿量”提升示范项目。清洁能源示范项目。城市精细化治理示范项目。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五是加强大气环境治理保障支撑。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加强区域联防联控。强化监测能力建设。发挥经济政策激励引导作用。强化督导和监管执法。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碧水保卫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战202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年行动计划：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一是水资源保护。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加强饮用水保护。加强地下水保护。节水型社会建设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水环境治理。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强化城乡生活污染治理。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加强工业污染防治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加强入河排污口监管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巩固水体整治成效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深化流域生态补偿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强化跨部门、跨区域监管执法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落实监督指导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三是水生态保护与修复。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推进美丽河湖保护与建设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保障重点河流生态流量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提升水生态系统健康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加强生态环境监测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汛期污染防治。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加强排查和分析研判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提高溢流污染控制水平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持续开展“清管行动”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强化监督管理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净土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保卫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战202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年行动计划：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有效保障建设用地安全利用。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持续开展土壤污染防治现状调查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加强工业企业土壤污染源头防控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科学管控建设用地风险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完善建设用地再开发利用监管机制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二是有效保障农用地安全利用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深入推进农用地分类管理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深入推进农用地分类管理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促进农用地土壤质量提升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加强面源污染治理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推进农村环境整治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形成第三次全国土壤普查成果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三是持续完善未利用地保护管理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完善未利用地闭合管控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防控未利用地土壤污染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四是完善土壤污染防治体系。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完善管理体系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五是加强固体废物管理。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提升危险废物收运处置能力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推动绿色生产生活方式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加强新污染物治理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加强新污染物治理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推动危险废物区域协同处理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应对气候变化2025年行动计划：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一是完善应对气候变化综合管理体系。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强化碳排放双控制度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加强碳排放单位管理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强化低碳试点示范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二是深入推进重点领域温室气体排放控制工作。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推进能源低碳化发展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构建绿色低碳产业体系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推进建筑领域低碳化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创建绿色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低碳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智能供热体系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加强城市绿色交通体系建设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控制农业和非二氧化碳温室气体排放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提升生态系统应对气候变化能力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三是加强城市气候适应性建设。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加强适应气候变化工作统筹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加强海绵城市建设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。提升城市韧性和气候防范能力。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提升监测预警能力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提升统计核算能力和数据质量管理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强化应对气候变化财政及经济政策支持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加强宣传引导教育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生态保护2025年行动计划：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强化生物多样性保护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强化工作机制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加强监测评估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提升生态系统多样性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强化外来入侵物种防控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保护重点生物遗传资源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加强执法检查。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维护生态空间格局稳定性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加强重要生态空间监督管理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加强资源开发利用活动监督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。统筹推进实施生态保护修复。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促进生态保护可持续发展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推进区域生态协同治理。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开展生态环境质量评价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</w:t>
      </w:r>
      <w:bookmarkStart w:id="0" w:name="lawyee_37028_8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展GEP-R核算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和应用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。深化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生态文明示范创建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意见采纳情况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意见采纳情况 8家单位反馈25条意见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区发改委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条采纳，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区水务局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采纳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  <w:lang w:val="en-US" w:eastAsia="zh-CN"/>
        </w:rPr>
        <w:t>剩余20条不采纳：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区水务局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条；区财政局1条；昌平交通支队2条；区交通局2条；区公路分局4条；区城管执法局3条；区市场监管局1条。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蓝天保卫战行动计划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7家单位反馈11条意见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区发改委1条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  <w:lang w:eastAsia="zh-CN"/>
        </w:rPr>
        <w:t>采纳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，剩余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条不采纳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区财政局1条；区市场监管局1条；区交通局1条；区公路分局4条；区城管执法局1条；区交通支队2条。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（二）碧水保卫战行动计划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2家单位反馈10条意见。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区水务局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2条部分采纳，剩余8条不采纳，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其中：区水务局6条；区城管执法局2条。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（三）应对气候变化行动计</w:t>
      </w:r>
      <w:bookmarkStart w:id="1" w:name="_GoBack"/>
      <w:bookmarkEnd w:id="1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1家单位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反馈1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条意见。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区发改委1条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  <w:lang w:eastAsia="zh-CN"/>
        </w:rPr>
        <w:t>采纳。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生态保护行动计划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家单位反馈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条意见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区发改委1条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  <w:lang w:eastAsia="zh-CN"/>
        </w:rPr>
        <w:t>采纳。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生态环境保护202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5年度目标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及重点任务计划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2家单位反馈2条，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  <w:lang w:val="en-US" w:eastAsia="zh-CN"/>
        </w:rPr>
        <w:t>均未采纳：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水务局1条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shd w:val="clear" w:color="auto" w:fill="auto"/>
        </w:rPr>
        <w:t>交通局1条。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/>
        <w:textAlignment w:val="auto"/>
        <w:rPr>
          <w:b w:val="0"/>
          <w:bCs w:val="0"/>
        </w:rPr>
      </w:pPr>
    </w:p>
    <w:sectPr>
      <w:footerReference r:id="rId3" w:type="default"/>
      <w:pgSz w:w="11906" w:h="16838"/>
      <w:pgMar w:top="2098" w:right="1531" w:bottom="158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02AB7"/>
    <w:multiLevelType w:val="singleLevel"/>
    <w:tmpl w:val="5FD02AB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9060C"/>
    <w:rsid w:val="01625568"/>
    <w:rsid w:val="041718C2"/>
    <w:rsid w:val="05255DDD"/>
    <w:rsid w:val="06095152"/>
    <w:rsid w:val="06627547"/>
    <w:rsid w:val="0682301F"/>
    <w:rsid w:val="06DB7CD5"/>
    <w:rsid w:val="08AA176B"/>
    <w:rsid w:val="0CB06BB9"/>
    <w:rsid w:val="0D325AE5"/>
    <w:rsid w:val="0DEC1B08"/>
    <w:rsid w:val="125572D6"/>
    <w:rsid w:val="127F384E"/>
    <w:rsid w:val="12FF669D"/>
    <w:rsid w:val="133B7A51"/>
    <w:rsid w:val="14302671"/>
    <w:rsid w:val="15014A99"/>
    <w:rsid w:val="1B111A2B"/>
    <w:rsid w:val="1D49411A"/>
    <w:rsid w:val="1EEE60EE"/>
    <w:rsid w:val="1F342ECF"/>
    <w:rsid w:val="21BD6281"/>
    <w:rsid w:val="21E95DAE"/>
    <w:rsid w:val="22343B53"/>
    <w:rsid w:val="22EA11A1"/>
    <w:rsid w:val="22EA57BD"/>
    <w:rsid w:val="23D55EF5"/>
    <w:rsid w:val="23EA4592"/>
    <w:rsid w:val="249204D5"/>
    <w:rsid w:val="261E4510"/>
    <w:rsid w:val="263B3C6E"/>
    <w:rsid w:val="26964494"/>
    <w:rsid w:val="29666AF8"/>
    <w:rsid w:val="2ACA1114"/>
    <w:rsid w:val="2B4D2DAB"/>
    <w:rsid w:val="2C574919"/>
    <w:rsid w:val="2E0B4B17"/>
    <w:rsid w:val="2F3B1C10"/>
    <w:rsid w:val="302D513E"/>
    <w:rsid w:val="30F9060C"/>
    <w:rsid w:val="31144D4A"/>
    <w:rsid w:val="319139AF"/>
    <w:rsid w:val="31AF1994"/>
    <w:rsid w:val="32127805"/>
    <w:rsid w:val="32C72C95"/>
    <w:rsid w:val="32E76451"/>
    <w:rsid w:val="3378727D"/>
    <w:rsid w:val="33AA4741"/>
    <w:rsid w:val="3499587F"/>
    <w:rsid w:val="375A6F32"/>
    <w:rsid w:val="38280A02"/>
    <w:rsid w:val="392D5F28"/>
    <w:rsid w:val="3A1D0A8A"/>
    <w:rsid w:val="3A77163E"/>
    <w:rsid w:val="3AFD6E64"/>
    <w:rsid w:val="41A61164"/>
    <w:rsid w:val="4394478D"/>
    <w:rsid w:val="45254703"/>
    <w:rsid w:val="45355C7B"/>
    <w:rsid w:val="45C16FD4"/>
    <w:rsid w:val="47FB1FF9"/>
    <w:rsid w:val="48C01EAC"/>
    <w:rsid w:val="49B4342C"/>
    <w:rsid w:val="49B860D0"/>
    <w:rsid w:val="4A0B69C7"/>
    <w:rsid w:val="4E1B4306"/>
    <w:rsid w:val="4F785A4A"/>
    <w:rsid w:val="503A3DB1"/>
    <w:rsid w:val="52030EEE"/>
    <w:rsid w:val="52AF318C"/>
    <w:rsid w:val="53261DC2"/>
    <w:rsid w:val="57981E60"/>
    <w:rsid w:val="584A2596"/>
    <w:rsid w:val="587D4F76"/>
    <w:rsid w:val="5CA276B1"/>
    <w:rsid w:val="5D8E58C9"/>
    <w:rsid w:val="5E42218E"/>
    <w:rsid w:val="5F42451E"/>
    <w:rsid w:val="5F9C67BA"/>
    <w:rsid w:val="61453D3E"/>
    <w:rsid w:val="61625703"/>
    <w:rsid w:val="61690C37"/>
    <w:rsid w:val="62735D09"/>
    <w:rsid w:val="629213ED"/>
    <w:rsid w:val="63A42ACE"/>
    <w:rsid w:val="643D4B94"/>
    <w:rsid w:val="67E52824"/>
    <w:rsid w:val="695B4391"/>
    <w:rsid w:val="6C0A69A5"/>
    <w:rsid w:val="6E253C61"/>
    <w:rsid w:val="6E3D4D8A"/>
    <w:rsid w:val="6E6355EE"/>
    <w:rsid w:val="72B14635"/>
    <w:rsid w:val="733D3BBD"/>
    <w:rsid w:val="73903D05"/>
    <w:rsid w:val="76537A8C"/>
    <w:rsid w:val="77A63046"/>
    <w:rsid w:val="799410DE"/>
    <w:rsid w:val="7A9D32B0"/>
    <w:rsid w:val="7D5F63EA"/>
    <w:rsid w:val="7E4347B5"/>
    <w:rsid w:val="7F62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微软雅黑"/>
      <w:b/>
      <w:bCs/>
      <w:sz w:val="32"/>
      <w:szCs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2024-02-26T02:47:00Z</dcterms:created>
  <dc:creator>Administrator</dc:creator>
  <cp:lastModifiedBy>Administrator</cp:lastModifiedBy>
  <cp:lastPrinted>2024-02-27T07:13:00Z</cp:lastPrinted>
  <dcterms:modified xsi:type="dcterms:W3CDTF">2025-02-21T04:05:36Z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