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eastAsia="zh-CN"/>
        </w:rPr>
        <w:t>丰台区支持医药大健康产业创新发展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eastAsia="zh-CN"/>
        </w:rPr>
        <w:t>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Arial Unicode MS" w:hAnsi="仿宋_GB2312" w:eastAsia="Arial Unicode MS" w:cs="仿宋_GB2312"/>
          <w:color w:val="auto"/>
          <w:ker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发展医药大健康产业是加快形成新质生产力的重要抓手。为了支持北京市打造具有全球影响力的医药健康产业创新高地，实现丰台区“倍增追赶”的战略目标，充分发挥丰台区医学院校及研究型医院原始创新优势，推动医药大健康领域创新攻关、成果转化和产业化，打造以“从临床到临床”为核心、高水平研究型医院为牵引的医药大健康创新生态，建设智能医工、中医药大健康、全生命周期康养等重点领域的产业集群，现提出以下支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条 打造医药大健康产业高地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支持国内外智能医工、中医药大健康、全生命周期康养等相关企业设立总部、销售中心或研发中心，提升医药大健康领域的创新性、先进性和</w:t>
      </w:r>
      <w:r>
        <w:rPr>
          <w:rFonts w:hint="eastAsia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可持续性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  <w:t>最高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  <w:t>1亿元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  <w:t>支持。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支持企业“筑基扩容”“小升规”培育，对符合条件的企业按照最高不超过100万元给予支持。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于符合条件的租赁生产、研发、办公用房或场地的新入驻医药大健康企业，以及开办国家级中医药专家工作室的，以300平方米房屋租金为最高标准，为企业提供资金用于支持企业研发，最长不超过3年。鼓励以租金置换股权方式支持企业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第二条 激发医药大健康原始创新活力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对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于获批国家级、市级重点实验室的企业，按照最高不超过300万元给予支持；对于医药大健康领域研发投入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同比增长30%（含）以上的企业，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按照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最高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不超过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1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00万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元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给予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支持。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对于新引入或首次认定的国家级专精特新“小巨人”企业、北京市专精特新中小企业，按照最高不超过60万元给予支持；对于首次获批院士专家工作站、博士后科研工作站的，按照最高不超过50万元给予支持。支持上市许可持有人制在医药大健康领域推广应用。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对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于符合条件的企业，按照最高不超过500万元给予支持，连续支持不超过3年。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支持参与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共建北京市自然科学基金丰台联合创新基金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，建立“企业出题、创新团队揭榜挂帅、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产学研协同攻关、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企业优先转化应用”的协同创新模式。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第三条 促进医药大健康成果转化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vertAlign w:val="subscript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支持医药大健康原始创新技术的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区域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落地转化。对于全球首发并取得PMA或NDA认证的，按照最高不超过500万元给予支持。对于新取得中国、美国、欧盟NDA或第三类国家创新医疗器械注册证或510（k）或CE认证的，按照最高不超过300万元给予支持。对于新取得第三类（或创新性突出的第二类）医疗器械注册证的，按照最高不超过200万元给予支持。其他大健康产品注册证如保健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食品批准文号等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，</w:t>
      </w:r>
      <w:r>
        <w:rPr>
          <w:rFonts w:hint="eastAsia" w:hAnsi="Times New Roman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结合项目的创新性、先进性和可持续性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给予支持。对于取得注册证的医药大健康项目，加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大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服务力度，积极推进相关手续办理、资金和土地要素保障等。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第四条 推动创新产品应用示范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支持医药大健康创新成果在医疗服务管理、养老服务机构、健康产业发展以及医学教学科研等场景的推广应用。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  <w:t>首次使用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自主创新的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  <w:t>相关第三类（或创新性突出的第二类）医疗器械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的单位和部门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  <w:t>个品种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按照最高不超过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  <w:t>50万元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val="en-US" w:eastAsia="zh-CN"/>
        </w:rPr>
        <w:t>给予支持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第五条 加快布局服务平台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支持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孵化器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搭建临床研究、动物实验、概念验证、中试服务、研发生产外包</w:t>
      </w:r>
      <w:r>
        <w:rPr>
          <w:rFonts w:hint="eastAsia" w:hAnsi="Times New Roman" w:cs="Times New Roman"/>
          <w:bCs/>
          <w:color w:val="auto"/>
          <w:kern w:val="0"/>
          <w:sz w:val="32"/>
          <w:szCs w:val="36"/>
          <w:highlight w:val="none"/>
          <w:lang w:eastAsia="zh-CN"/>
        </w:rPr>
        <w:t>（CRO、CDMO）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、检测检验等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共性技术服务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平台，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按照最高不超过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1000万元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给予支持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。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支持孵化器培育医药大健康企业，上一年度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每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培育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一家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国高新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、“专精特新”等优质企业，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按照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最高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不超过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30万元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给予支持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累计支持不超过100万元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。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鼓励孵化器协助在孵企业对接市场成果转化，按照最高不超过100万元给予支持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第六条 支持医药大健康产业集群建设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color w:val="auto"/>
          <w:sz w:val="24"/>
          <w:szCs w:val="24"/>
          <w:highlight w:val="none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支持利用存量空间打造智能医工、中医药大健康、全生命周期康养等医药大健康高水平产业园区，鼓励开展研发、小试、中试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、CRO、</w:t>
      </w:r>
      <w:r>
        <w:rPr>
          <w:rFonts w:hint="eastAsia" w:hAnsi="Times New Roman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CDMO、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制造、测试等配套建设以及提供专业化服务，鼓励开办国家级中医药专家工作室，鼓励创新盘活存量资源，结合中医保健、生态疗养、休闲养生等功能，打造旅居康养新模式。对于符合条件的，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按照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最高不超过1000万元给予支持。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第七条 强化医药大健康领域金融投资支撑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支持社会资本、国有资本、集体资本等参与共建丰台医药大健康创业投资基金，投资并促成相关创新项目落户丰台</w:t>
      </w:r>
      <w:r>
        <w:rPr>
          <w:rFonts w:hint="eastAsia" w:hAnsi="Times New Roman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，</w:t>
      </w:r>
      <w:r>
        <w:rPr>
          <w:rFonts w:hint="eastAsia" w:hAnsi="Times New Roman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按照投资规模给予支持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。加大对初创型医药大健康企业的支持力度，重点支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持智能医工、中医药大健康、全生命周期康养相关项目及医药大健康产业园区建设，被投项目在审评审批、药械监督管理等方面纳入有关部门绿色通道、优先办理。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第八条 加强医药大健康专业人才引育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支持医药大健康领域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的创新人才（团队）参评北京科技新星、“丰泽计划”等项目，给予子女入学、落户、医疗、工作居住证、出入境手续办理等便捷服务。相关人才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可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享受人才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租赁住房支持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和优惠，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对于重点支持企业人才予以重点推荐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第九条 提供全产业链创新服务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</w:pPr>
      <w:r>
        <w:rPr>
          <w:rFonts w:hint="eastAsia" w:hAnsi="Times New Roman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依托区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医药大健康创新服务中心，</w:t>
      </w:r>
      <w:r>
        <w:rPr>
          <w:rFonts w:hint="eastAsia" w:hAnsi="Times New Roman" w:cs="Times New Roman"/>
          <w:bCs/>
          <w:color w:val="auto"/>
          <w:kern w:val="0"/>
          <w:sz w:val="32"/>
          <w:szCs w:val="36"/>
          <w:highlight w:val="none"/>
          <w:lang w:val="en-US" w:eastAsia="zh-CN"/>
        </w:rPr>
        <w:t>用好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管家服务机制，提供临床研究审批咨询、创新药械注册申报、监管事项沟通、国家和北京市政策对接、知识产权保护、投融资匹配、国际化发展等服务。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第十条 支持开展先行先试改革试点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6"/>
          <w:highlight w:val="none"/>
          <w:lang w:eastAsia="zh-CN"/>
        </w:rPr>
        <w:t>支持相关单位根据实际遇到的问题，提出先行先试改革建议，推动纳入中关村新一轮先行先试改革、“两区”建设等试点，率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6"/>
          <w:highlight w:val="none"/>
          <w:lang w:eastAsia="zh-CN"/>
        </w:rPr>
        <w:t>先开展科技成果转化、审评审批、通关、应用场景建设等改革事项。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本若干措施与丰台区相关政策相竞合的，同类条款按照较高标准执行，不重复支持。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由丰台区生物医药大健康产业发展工作专班负责解释。本若干措施自发布之日起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实施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，有效期三年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。自发布之日起半年内试行，试行期满后如有必要，将结合实际作进一步修订。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zVlZTBjMjYzYmIyNTE4M2E0NjM2YjNkODcyM2MifQ=="/>
    <w:docVar w:name="KSO_WPS_MARK_KEY" w:val="3f756595-cbee-4a47-82cd-97e7dbc65819"/>
  </w:docVars>
  <w:rsids>
    <w:rsidRoot w:val="1F3209F5"/>
    <w:rsid w:val="01356D5D"/>
    <w:rsid w:val="126324F8"/>
    <w:rsid w:val="14153731"/>
    <w:rsid w:val="182211FC"/>
    <w:rsid w:val="18DE47DA"/>
    <w:rsid w:val="1F3209F5"/>
    <w:rsid w:val="260C0055"/>
    <w:rsid w:val="2A153E7D"/>
    <w:rsid w:val="2AD2451F"/>
    <w:rsid w:val="2BA0681E"/>
    <w:rsid w:val="4ADB3A93"/>
    <w:rsid w:val="5129284D"/>
    <w:rsid w:val="557C4779"/>
    <w:rsid w:val="6B293DC5"/>
    <w:rsid w:val="6B6B5345"/>
    <w:rsid w:val="77E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方正小标宋简体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/>
      <w:b w:val="0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2106</Words>
  <Characters>2157</Characters>
  <Lines>0</Lines>
  <Paragraphs>0</Paragraphs>
  <TotalTime>1</TotalTime>
  <ScaleCrop>false</ScaleCrop>
  <LinksUpToDate>false</LinksUpToDate>
  <CharactersWithSpaces>2168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2025-02-13T05:39:00Z</dcterms:created>
  <dc:creator>Amy</dc:creator>
  <cp:lastModifiedBy>Amy</cp:lastModifiedBy>
  <cp:lastPrinted>2025-02-20T02:45:00Z</cp:lastPrinted>
  <dcterms:modified xsi:type="dcterms:W3CDTF">2025-02-20T09:10:53Z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F3972F10110B4343B1FCA21E3A0B72D5</vt:lpwstr>
  </property>
</Properties>
</file>