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关于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北京城市副中心建筑业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高质量发展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的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实施细则</w:t>
      </w:r>
    </w:p>
    <w:bookmarkEnd w:id="2"/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  <w:t>第一章 总则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第一条 背景依据。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为贯彻落实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《国务院关于支持北京城市副中心高质量发展的意见》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，加快建筑产业发展与转型升级，优化产业结构，持续提升我区建筑业综合实力和竞争力，特制定本细则。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第二条 鼓励原则。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通过政策扶持、资金奖励等手段，引导建筑企业积极转型升级、提升技术创新能力、拓展市场、优化产业结构，实现副中心建筑业高质量发展。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第三条 支持对象。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本细则支持对象为符合北京城市副中心功能定位的建筑业企业。有下列情形之一的，不予支持：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1. 3年内发生由国务院安委会挂牌督办的重大生产安全事故；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2. 被列入严重违法失信企业名单、拖欠农民工工资失信联合惩戒对象名单等联合惩戒名单；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3. 法律、法规和规章明确规定不予支持的其他情形。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  <w:t>第二章 构筑企业梯次培育体系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第四条 鼓励企业纵深发展。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对企业综合规模达到1000亿级、500亿级、100亿级、50亿级且不低于上年同期的建筑业企业，分别最高支持100万元、50万元、20万元和10万元奖励。</w:t>
      </w:r>
    </w:p>
    <w:p>
      <w:pPr>
        <w:widowControl/>
        <w:shd w:val="clear" w:color="auto" w:fill="FFFFFF"/>
        <w:spacing w:line="600" w:lineRule="exact"/>
        <w:ind w:firstLine="643"/>
        <w:rPr>
          <w:rFonts w:hint="eastAsia" w:ascii="仿宋_GB2312" w:hAnsi="微软雅黑" w:eastAsia="仿宋_GB2312" w:cs="仿宋_GB2312"/>
          <w:color w:val="40404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第五条 鼓励企业向外拓展。</w:t>
      </w:r>
      <w:r>
        <w:rPr>
          <w:rFonts w:hint="eastAsia" w:ascii="仿宋_GB2312" w:hAnsi="微软雅黑" w:eastAsia="仿宋_GB2312" w:cs="仿宋_GB2312"/>
          <w:color w:val="404040"/>
          <w:kern w:val="0"/>
          <w:sz w:val="32"/>
          <w:szCs w:val="32"/>
          <w:shd w:val="clear" w:color="auto" w:fill="FFFFFF"/>
          <w:lang w:bidi="ar"/>
        </w:rPr>
        <w:t>强化市场运作、政府引导，由区建筑业联合会推动建筑业产业联盟组建，细分各行业与领域，集中优势资源与技术能力，积极向外开拓市场，推动设计、施工、技术和服务输出。</w:t>
      </w:r>
    </w:p>
    <w:p>
      <w:pPr>
        <w:widowControl/>
        <w:shd w:val="clear" w:color="auto" w:fill="FFFFFF"/>
        <w:spacing w:line="600" w:lineRule="exact"/>
        <w:ind w:firstLine="643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第六条 鼓励企业优化提升。</w:t>
      </w:r>
      <w:bookmarkStart w:id="0" w:name="_Hlk190264132"/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对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新增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特级资质建筑企业，最高支持1000万元，支持资金分三年完成兑现。对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新增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总承包一级资质建筑企业，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最高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支持200万元，对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新增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专业承包一级资质建筑企业，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最高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支持100万元。</w:t>
      </w:r>
    </w:p>
    <w:bookmarkEnd w:id="0"/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  <w:t>第三章 优化副中心建筑产业结构</w:t>
      </w:r>
    </w:p>
    <w:p>
      <w:pPr>
        <w:widowControl/>
        <w:shd w:val="clear" w:color="auto" w:fill="FFFFFF"/>
        <w:spacing w:line="600" w:lineRule="exact"/>
        <w:ind w:firstLine="643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第七条 保障中小企业稳步发展。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给予中小企业开放应用场景资源，保障中小建筑企业平等进入工程建设领域。加大金融服务实体经济支持力度，切实减轻企业负担，给予中小建筑企业融资支持。在政府采购等方面，全面落实支持中小建筑企业发展的各项政策措施。</w:t>
      </w:r>
    </w:p>
    <w:p>
      <w:pPr>
        <w:widowControl/>
        <w:shd w:val="clear" w:color="auto" w:fill="FFFFFF"/>
        <w:spacing w:line="600" w:lineRule="exact"/>
        <w:ind w:firstLine="643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第八条 推动建筑业京津冀一体化。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抓好京津冀一体化发展契机，推进三地协作与联合，将副中心建筑产能优势与技术优势推广到三地项目中，开展技术研发与项目交流，推动成果转换。</w:t>
      </w:r>
    </w:p>
    <w:p>
      <w:pPr>
        <w:widowControl/>
        <w:shd w:val="clear" w:color="auto" w:fill="FFFFFF"/>
        <w:spacing w:line="600" w:lineRule="exact"/>
        <w:ind w:firstLine="643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第九条 培育紧缺资质企业。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积极引进施工总承包特级、一级资质企业，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bidi="ar"/>
        </w:rPr>
        <w:t>重点引进具有公路、铁路、水利水电、电力、通信施工总承包和环保、桥梁、隧道、钢结构工程专业承包一级资质的企业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，进一步优化建筑业产业结构。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  <w:t>第四章 推广副中心建筑场景应用</w:t>
      </w:r>
    </w:p>
    <w:p>
      <w:pPr>
        <w:widowControl/>
        <w:shd w:val="clear" w:color="auto" w:fill="FFFFFF"/>
        <w:spacing w:line="600" w:lineRule="exact"/>
        <w:ind w:firstLine="642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第十条 支持全域场景应用。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以推动场景资源开放、提升场景创新能力为方向，加大建筑企业在全区全域场景项目中的应用示范。以应用场景招商育商，充分向建筑企业释放全领域场景机会，以优质场景支持企业发展。</w:t>
      </w:r>
    </w:p>
    <w:p>
      <w:pPr>
        <w:widowControl/>
        <w:shd w:val="clear" w:color="auto" w:fill="FFFFFF"/>
        <w:spacing w:line="600" w:lineRule="exact"/>
        <w:ind w:firstLine="643"/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第十一条 鼓励打造优质工程。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鼓励企业创优创先，发挥精品工程示范作用，对未使用财政资金、新获得鲁班奖及其他经认定同等级奖项的项目，按项目最高给予施工总承包单位50万元奖励。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  <w:t>第五章 大力发展新质生产力</w:t>
      </w:r>
    </w:p>
    <w:p>
      <w:pPr>
        <w:widowControl/>
        <w:spacing w:line="600" w:lineRule="exact"/>
        <w:ind w:firstLine="642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第十二条 加强项目示范引领。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对新建高标准超低能耗建筑、一般超低能耗建筑，分别按照不超过200元/平方米、100元/平方米给予建设单位补贴，单个示范项目最高支持300万元。对其他新技术创新应用项目经研究后给予一定建设补贴。</w:t>
      </w:r>
    </w:p>
    <w:p>
      <w:pPr>
        <w:widowControl/>
        <w:shd w:val="clear" w:color="auto" w:fill="FFFFFF"/>
        <w:spacing w:line="600" w:lineRule="exact"/>
        <w:ind w:firstLine="643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第十三条 支持企业创新发展。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以场景创新串联科创资源与产业集群，为智能建造、绿色建筑等产业创新技术产品提供验证应用机会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，给予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全领域场景资源开放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，逐步形成建筑产业新质生产力。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</w:pPr>
      <w:bookmarkStart w:id="1" w:name="OLE_LINK1"/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t>本细则自发布之日起施行，有效期截至2027年12月31日，相关条款与通州区其他涉企政策条款从优不重复。本政策由通州区住房和城乡建设委员会负责解释，执行过程中，如遇相关政策调整，按最新政策执行。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28"/>
    <w:rsid w:val="00005C34"/>
    <w:rsid w:val="00017137"/>
    <w:rsid w:val="00021DAD"/>
    <w:rsid w:val="00054C85"/>
    <w:rsid w:val="0008192C"/>
    <w:rsid w:val="000A2C77"/>
    <w:rsid w:val="000C17CA"/>
    <w:rsid w:val="00110622"/>
    <w:rsid w:val="00112B91"/>
    <w:rsid w:val="00177A52"/>
    <w:rsid w:val="00224DA7"/>
    <w:rsid w:val="00243C1D"/>
    <w:rsid w:val="0030112E"/>
    <w:rsid w:val="00321F04"/>
    <w:rsid w:val="00341C45"/>
    <w:rsid w:val="00343B0F"/>
    <w:rsid w:val="003657CA"/>
    <w:rsid w:val="003673B3"/>
    <w:rsid w:val="003B1521"/>
    <w:rsid w:val="003C5C2D"/>
    <w:rsid w:val="003F481B"/>
    <w:rsid w:val="00441514"/>
    <w:rsid w:val="004775A2"/>
    <w:rsid w:val="00486876"/>
    <w:rsid w:val="004A5211"/>
    <w:rsid w:val="004C47CA"/>
    <w:rsid w:val="004C5FAD"/>
    <w:rsid w:val="004D48BA"/>
    <w:rsid w:val="004E1BFF"/>
    <w:rsid w:val="004E2EBA"/>
    <w:rsid w:val="005077B4"/>
    <w:rsid w:val="00531B7F"/>
    <w:rsid w:val="0055434E"/>
    <w:rsid w:val="00585FFB"/>
    <w:rsid w:val="005A494E"/>
    <w:rsid w:val="005B7536"/>
    <w:rsid w:val="005F2FAA"/>
    <w:rsid w:val="00603910"/>
    <w:rsid w:val="00607784"/>
    <w:rsid w:val="00623016"/>
    <w:rsid w:val="00626040"/>
    <w:rsid w:val="006354A0"/>
    <w:rsid w:val="0063789E"/>
    <w:rsid w:val="006431FA"/>
    <w:rsid w:val="00654EE3"/>
    <w:rsid w:val="00694F67"/>
    <w:rsid w:val="00703D91"/>
    <w:rsid w:val="00717E1E"/>
    <w:rsid w:val="00725458"/>
    <w:rsid w:val="00771CB0"/>
    <w:rsid w:val="007A7B5F"/>
    <w:rsid w:val="007E1056"/>
    <w:rsid w:val="00800964"/>
    <w:rsid w:val="00814A0A"/>
    <w:rsid w:val="00823736"/>
    <w:rsid w:val="00827352"/>
    <w:rsid w:val="00865D95"/>
    <w:rsid w:val="00886F3E"/>
    <w:rsid w:val="008A69EC"/>
    <w:rsid w:val="008B45A3"/>
    <w:rsid w:val="00933FFF"/>
    <w:rsid w:val="00934A31"/>
    <w:rsid w:val="009367FC"/>
    <w:rsid w:val="00952F22"/>
    <w:rsid w:val="00961361"/>
    <w:rsid w:val="009666BC"/>
    <w:rsid w:val="00976905"/>
    <w:rsid w:val="00983BD6"/>
    <w:rsid w:val="009F7D58"/>
    <w:rsid w:val="00A11FF4"/>
    <w:rsid w:val="00A223E8"/>
    <w:rsid w:val="00A249E1"/>
    <w:rsid w:val="00A55E16"/>
    <w:rsid w:val="00A70F41"/>
    <w:rsid w:val="00AA0960"/>
    <w:rsid w:val="00AC48A4"/>
    <w:rsid w:val="00B33051"/>
    <w:rsid w:val="00B36717"/>
    <w:rsid w:val="00BA0213"/>
    <w:rsid w:val="00BC3739"/>
    <w:rsid w:val="00BD52C0"/>
    <w:rsid w:val="00BE375C"/>
    <w:rsid w:val="00BE5A61"/>
    <w:rsid w:val="00C207EA"/>
    <w:rsid w:val="00C54689"/>
    <w:rsid w:val="00C726CE"/>
    <w:rsid w:val="00C761F2"/>
    <w:rsid w:val="00C8626A"/>
    <w:rsid w:val="00C9281B"/>
    <w:rsid w:val="00CC3069"/>
    <w:rsid w:val="00CC5034"/>
    <w:rsid w:val="00CE135C"/>
    <w:rsid w:val="00D2280E"/>
    <w:rsid w:val="00D843EB"/>
    <w:rsid w:val="00DC51D4"/>
    <w:rsid w:val="00DD459C"/>
    <w:rsid w:val="00DD602F"/>
    <w:rsid w:val="00DF45A6"/>
    <w:rsid w:val="00E86E01"/>
    <w:rsid w:val="00EA2DAA"/>
    <w:rsid w:val="00EB0BAC"/>
    <w:rsid w:val="00EC5C28"/>
    <w:rsid w:val="00F006C7"/>
    <w:rsid w:val="00F459AC"/>
    <w:rsid w:val="00F80DCC"/>
    <w:rsid w:val="00F8107F"/>
    <w:rsid w:val="00FD6658"/>
    <w:rsid w:val="00FE48EF"/>
    <w:rsid w:val="00FE6A69"/>
    <w:rsid w:val="0C560355"/>
    <w:rsid w:val="0F050CB6"/>
    <w:rsid w:val="20AD6764"/>
    <w:rsid w:val="24EE7D9B"/>
    <w:rsid w:val="26CB659D"/>
    <w:rsid w:val="3B260428"/>
    <w:rsid w:val="3C2E72CE"/>
    <w:rsid w:val="53FB2ED9"/>
    <w:rsid w:val="5A852D87"/>
    <w:rsid w:val="65DC2188"/>
    <w:rsid w:val="66AA6228"/>
    <w:rsid w:val="675F426D"/>
    <w:rsid w:val="6FF7437C"/>
    <w:rsid w:val="779421D7"/>
    <w:rsid w:val="78D23A80"/>
    <w:rsid w:val="7C4966C4"/>
    <w:rsid w:val="7D2D3DED"/>
    <w:rsid w:val="DE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标题 1 字符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1245</Characters>
  <Lines>10</Lines>
  <Paragraphs>2</Paragraphs>
  <TotalTime>71</TotalTime>
  <ScaleCrop>false</ScaleCrop>
  <LinksUpToDate>false</LinksUpToDate>
  <CharactersWithSpaces>1461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2025-02-10T19:38:00Z</dcterms:created>
  <dc:creator>l'y</dc:creator>
  <cp:lastModifiedBy>user</cp:lastModifiedBy>
  <cp:lastPrinted>2024-12-25T14:22:00Z</cp:lastPrinted>
  <dcterms:modified xsi:type="dcterms:W3CDTF">2025-02-19T10:39:11Z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800C4EAF227E49B4A7BFE0B3AF1D439B_13</vt:lpwstr>
  </property>
  <property fmtid="{D5CDD505-2E9C-101B-9397-08002B2CF9AE}" pid="4" name="KSOTemplateDocerSaveRecord">
    <vt:lpwstr>eyJoZGlkIjoiMDY4NTBmODg1YTNjMTFlNmZhN2M3ZTdiM2JlNWYxNzAifQ==</vt:lpwstr>
  </property>
</Properties>
</file>