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left="0"/>
        <w:jc w:val="center"/>
        <w:rPr>
          <w:rFonts w:hint="eastAsia" w:ascii="方正小标宋简体" w:hAnsi="方正小标宋简体" w:eastAsia="方正小标宋简体" w:cs="方正小标宋简体"/>
          <w:color w:val="auto"/>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44" w:afterLines="50" w:line="640" w:lineRule="exact"/>
        <w:ind w:left="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color w:val="auto"/>
          <w:w w:val="100"/>
          <w:sz w:val="44"/>
          <w:szCs w:val="44"/>
          <w:lang w:val="en-US" w:eastAsia="zh-CN"/>
        </w:rPr>
        <w:t>《喇叭沟门满族乡消防安全除患攻坚专项整治行动工作方案》的起草说明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起草</w:t>
      </w:r>
      <w:r>
        <w:rPr>
          <w:rFonts w:hint="eastAsia" w:ascii="黑体" w:hAnsi="黑体" w:eastAsia="黑体" w:cs="黑体"/>
          <w:b w:val="0"/>
          <w:bCs w:val="0"/>
          <w:color w:val="auto"/>
          <w:sz w:val="32"/>
          <w:szCs w:val="32"/>
          <w:lang w:eastAsia="zh-CN"/>
        </w:rPr>
        <w:t>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jc w:val="both"/>
        <w:textAlignment w:val="auto"/>
        <w:outlineLvl w:val="9"/>
        <w:rPr>
          <w:rFonts w:hint="eastAsia" w:ascii="仿宋_GB2312" w:hAnsi="仿宋_GB2312" w:eastAsia="仿宋_GB2312" w:cs="仿宋_GB2312"/>
          <w:color w:val="0C0C0C"/>
          <w:spacing w:val="-8"/>
          <w:sz w:val="32"/>
          <w:szCs w:val="32"/>
          <w:highlight w:val="none"/>
          <w:lang w:val="en-US" w:eastAsia="zh-CN" w:bidi="ar-SA"/>
        </w:rPr>
      </w:pPr>
      <w:r>
        <w:rPr>
          <w:rFonts w:hint="eastAsia" w:ascii="仿宋_GB2312" w:hAnsi="仿宋_GB2312" w:eastAsia="仿宋_GB2312" w:cs="仿宋_GB2312"/>
          <w:color w:val="0C0C0C"/>
          <w:spacing w:val="-8"/>
          <w:sz w:val="32"/>
          <w:szCs w:val="32"/>
          <w:highlight w:val="none"/>
          <w:lang w:val="en-US" w:eastAsia="zh-CN" w:bidi="ar-SA"/>
        </w:rPr>
        <w:t>为</w:t>
      </w:r>
      <w:r>
        <w:rPr>
          <w:rFonts w:hint="eastAsia" w:ascii="Times New Roman" w:hAnsi="Times New Roman" w:eastAsia="仿宋_GB2312" w:cs="Times New Roman"/>
          <w:color w:val="0C0C0C"/>
          <w:spacing w:val="-8"/>
          <w:sz w:val="32"/>
          <w:szCs w:val="32"/>
          <w:lang w:val="en-US" w:eastAsia="zh-CN" w:bidi="ar-SA"/>
        </w:rPr>
        <w:t>坚决贯彻落实习近平总书记重要指示精神，站在统筹发展和安全的高度，提高政治站位，把消防安全除患攻坚专项整治行动作为当前维护社会稳定大局政治任务来抓，</w:t>
      </w:r>
      <w:r>
        <w:rPr>
          <w:rFonts w:hint="eastAsia" w:ascii="仿宋_GB2312" w:hAnsi="仿宋_GB2312" w:eastAsia="仿宋_GB2312" w:cs="仿宋_GB2312"/>
          <w:color w:val="0C0C0C"/>
          <w:spacing w:val="-8"/>
          <w:sz w:val="32"/>
          <w:szCs w:val="32"/>
          <w:highlight w:val="none"/>
          <w:lang w:val="en-US" w:eastAsia="zh-CN" w:bidi="ar-SA"/>
        </w:rPr>
        <w:t>深刻吸取怀柔区“2.12”火灾亡人事故教训,认真贯彻落实各级领导的批示指示要求，</w:t>
      </w:r>
      <w:r>
        <w:rPr>
          <w:rFonts w:hint="eastAsia" w:ascii="Times New Roman" w:hAnsi="Times New Roman" w:eastAsia="仿宋_GB2312" w:cs="Times New Roman"/>
          <w:color w:val="0C0C0C"/>
          <w:spacing w:val="-8"/>
          <w:sz w:val="32"/>
          <w:szCs w:val="32"/>
          <w:lang w:val="en-US" w:eastAsia="zh-CN" w:bidi="ar-SA"/>
        </w:rPr>
        <w:t>压紧压实责任，采取有效措施，认真排查风险隐患，狠抓大整治工作质效，坚决遏制各类火灾事故多发连发势头，</w:t>
      </w:r>
      <w:r>
        <w:rPr>
          <w:rFonts w:hint="eastAsia" w:ascii="仿宋_GB2312" w:hAnsi="仿宋_GB2312" w:eastAsia="仿宋_GB2312" w:cs="仿宋_GB2312"/>
          <w:color w:val="0C0C0C"/>
          <w:spacing w:val="-8"/>
          <w:sz w:val="32"/>
          <w:szCs w:val="32"/>
          <w:highlight w:val="none"/>
          <w:lang w:val="en-US" w:eastAsia="zh-CN" w:bidi="ar-SA"/>
        </w:rPr>
        <w:t>彻底整治重点场所突出风险隐患，有效防范和遏制群死群伤火灾事故发生。</w:t>
      </w:r>
      <w:r>
        <w:rPr>
          <w:rFonts w:hint="eastAsia" w:ascii="仿宋_GB2312" w:hAnsi="仿宋_GB2312" w:eastAsia="仿宋_GB2312" w:cs="仿宋_GB2312"/>
          <w:b w:val="0"/>
          <w:bCs w:val="0"/>
          <w:color w:val="auto"/>
          <w:sz w:val="32"/>
          <w:szCs w:val="32"/>
        </w:rPr>
        <w:t>我</w:t>
      </w:r>
      <w:r>
        <w:rPr>
          <w:rFonts w:hint="eastAsia" w:ascii="仿宋_GB2312" w:hAnsi="仿宋_GB2312" w:eastAsia="仿宋_GB2312" w:cs="仿宋_GB2312"/>
          <w:b w:val="0"/>
          <w:bCs w:val="0"/>
          <w:color w:val="auto"/>
          <w:sz w:val="32"/>
          <w:szCs w:val="32"/>
          <w:lang w:eastAsia="zh-CN"/>
        </w:rPr>
        <w:t>乡</w:t>
      </w:r>
      <w:r>
        <w:rPr>
          <w:rFonts w:hint="eastAsia" w:ascii="仿宋_GB2312" w:hAnsi="仿宋_GB2312" w:eastAsia="仿宋_GB2312" w:cs="仿宋_GB2312"/>
          <w:b w:val="0"/>
          <w:bCs w:val="0"/>
          <w:color w:val="auto"/>
          <w:sz w:val="32"/>
          <w:szCs w:val="32"/>
        </w:rPr>
        <w:t>草拟</w:t>
      </w:r>
      <w:r>
        <w:rPr>
          <w:rFonts w:hint="eastAsia" w:ascii="仿宋_GB2312" w:hAnsi="仿宋_GB2312" w:eastAsia="仿宋_GB2312" w:cs="仿宋_GB2312"/>
          <w:color w:val="0C0C0C"/>
          <w:spacing w:val="-8"/>
          <w:sz w:val="32"/>
          <w:szCs w:val="32"/>
          <w:highlight w:val="none"/>
          <w:lang w:val="en-US" w:eastAsia="zh-CN" w:bidi="ar-SA"/>
        </w:rPr>
        <w:t>了《喇叭沟门满族乡消防安全除患攻坚专项整治行动工作方案（征求意见稿》，现将具体情况汇报如下：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二、起草依据</w:t>
      </w:r>
    </w:p>
    <w:p>
      <w:pPr>
        <w:numPr>
          <w:ilvl w:val="0"/>
          <w:numId w:val="0"/>
        </w:numPr>
        <w:ind w:firstLine="608" w:firstLineChars="200"/>
        <w:rPr>
          <w:rFonts w:hint="eastAsia"/>
          <w:lang w:val="en-US" w:eastAsia="zh-CN"/>
        </w:rPr>
      </w:pPr>
      <w:r>
        <w:rPr>
          <w:rFonts w:hint="eastAsia" w:ascii="仿宋_GB2312" w:hAnsi="仿宋_GB2312" w:eastAsia="仿宋_GB2312" w:cs="仿宋_GB2312"/>
          <w:color w:val="0C0C0C"/>
          <w:spacing w:val="-8"/>
          <w:sz w:val="32"/>
          <w:szCs w:val="32"/>
          <w:highlight w:val="none"/>
          <w:lang w:val="en-US" w:eastAsia="zh-CN" w:bidi="ar-SA"/>
        </w:rPr>
        <w:t>《怀柔区消防安全除患攻坚专项整治行动工作方案》怀</w:t>
      </w:r>
      <w:r>
        <w:rPr>
          <w:rFonts w:hint="default" w:ascii="仿宋_GB2312" w:hAnsi="仿宋_GB2312" w:eastAsia="仿宋_GB2312" w:cs="仿宋_GB2312"/>
          <w:color w:val="0C0C0C"/>
          <w:spacing w:val="-8"/>
          <w:sz w:val="32"/>
          <w:szCs w:val="32"/>
          <w:highlight w:val="none"/>
          <w:lang w:val="en-US" w:eastAsia="zh-CN" w:bidi="ar-SA"/>
        </w:rPr>
        <w:t>防安办字〔202</w:t>
      </w:r>
      <w:r>
        <w:rPr>
          <w:rFonts w:hint="eastAsia" w:ascii="仿宋_GB2312" w:hAnsi="仿宋_GB2312" w:eastAsia="仿宋_GB2312" w:cs="仿宋_GB2312"/>
          <w:color w:val="0C0C0C"/>
          <w:spacing w:val="-8"/>
          <w:sz w:val="32"/>
          <w:szCs w:val="32"/>
          <w:highlight w:val="none"/>
          <w:lang w:val="en-US" w:eastAsia="zh-CN" w:bidi="ar-SA"/>
        </w:rPr>
        <w:t>5</w:t>
      </w:r>
      <w:r>
        <w:rPr>
          <w:rFonts w:hint="default" w:ascii="仿宋_GB2312" w:hAnsi="仿宋_GB2312" w:eastAsia="仿宋_GB2312" w:cs="仿宋_GB2312"/>
          <w:color w:val="0C0C0C"/>
          <w:spacing w:val="-8"/>
          <w:sz w:val="32"/>
          <w:szCs w:val="32"/>
          <w:highlight w:val="none"/>
          <w:lang w:val="en-US" w:eastAsia="zh-CN" w:bidi="ar-SA"/>
        </w:rPr>
        <w:t>〕</w:t>
      </w:r>
      <w:r>
        <w:rPr>
          <w:rFonts w:hint="eastAsia" w:ascii="仿宋_GB2312" w:hAnsi="仿宋_GB2312" w:eastAsia="仿宋_GB2312" w:cs="仿宋_GB2312"/>
          <w:color w:val="0C0C0C"/>
          <w:spacing w:val="-8"/>
          <w:sz w:val="32"/>
          <w:szCs w:val="32"/>
          <w:highlight w:val="none"/>
          <w:lang w:val="en-US" w:eastAsia="zh-CN" w:bidi="ar-SA"/>
        </w:rPr>
        <w:t>5</w:t>
      </w:r>
      <w:r>
        <w:rPr>
          <w:rFonts w:hint="default" w:ascii="仿宋_GB2312" w:hAnsi="仿宋_GB2312" w:eastAsia="仿宋_GB2312" w:cs="仿宋_GB2312"/>
          <w:color w:val="0C0C0C"/>
          <w:spacing w:val="-8"/>
          <w:sz w:val="32"/>
          <w:szCs w:val="32"/>
          <w:highlight w:val="none"/>
          <w:lang w:val="en-US" w:eastAsia="zh-CN" w:bidi="ar-SA"/>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三、起草主体</w:t>
      </w:r>
    </w:p>
    <w:p>
      <w:pPr>
        <w:pStyle w:val="2"/>
        <w:numPr>
          <w:ilvl w:val="0"/>
          <w:numId w:val="0"/>
        </w:numPr>
        <w:ind w:firstLine="640" w:firstLineChars="200"/>
        <w:jc w:val="left"/>
        <w:rPr>
          <w:rFonts w:hint="eastAsia" w:ascii="仿宋_GB2312" w:hAnsi="仿宋_GB2312" w:eastAsia="仿宋_GB2312" w:cs="Calibri"/>
          <w:color w:val="000000"/>
          <w:kern w:val="2"/>
          <w:sz w:val="32"/>
          <w:szCs w:val="32"/>
          <w:lang w:val="en-US" w:eastAsia="zh-CN" w:bidi="ar-SA"/>
        </w:rPr>
      </w:pPr>
      <w:r>
        <w:rPr>
          <w:rFonts w:hint="eastAsia" w:ascii="仿宋_GB2312" w:hAnsi="仿宋_GB2312" w:eastAsia="仿宋_GB2312" w:cs="Calibri"/>
          <w:color w:val="000000"/>
          <w:kern w:val="2"/>
          <w:sz w:val="32"/>
          <w:szCs w:val="32"/>
          <w:lang w:val="en-US" w:eastAsia="zh-CN" w:bidi="ar-SA"/>
        </w:rPr>
        <w:t>北京市怀柔区喇叭沟门满族乡人民政府</w:t>
      </w:r>
    </w:p>
    <w:p>
      <w:pPr>
        <w:rPr>
          <w:rFonts w:hint="eastAsia"/>
          <w:lang w:val="en-US" w:eastAsia="zh-CN"/>
        </w:rPr>
      </w:pPr>
      <w:r>
        <w:rPr>
          <w:rFonts w:hint="eastAsia" w:ascii="仿宋_GB2312" w:hAnsi="仿宋_GB2312" w:eastAsia="仿宋_GB2312" w:cs="Calibri"/>
          <w:color w:val="000000"/>
          <w:kern w:val="2"/>
          <w:sz w:val="32"/>
          <w:szCs w:val="32"/>
          <w:lang w:val="en-US" w:eastAsia="zh-CN" w:bidi="ar-SA"/>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w:t>
      </w:r>
      <w:bookmarkStart w:id="0" w:name="_GoBack"/>
      <w:bookmarkEnd w:id="0"/>
      <w:r>
        <w:rPr>
          <w:rFonts w:hint="eastAsia" w:ascii="黑体" w:hAnsi="黑体" w:eastAsia="黑体" w:cs="黑体"/>
          <w:b w:val="0"/>
          <w:bCs w:val="0"/>
          <w:color w:val="auto"/>
          <w:sz w:val="32"/>
          <w:szCs w:val="32"/>
          <w:lang w:val="en-US" w:eastAsia="zh-CN"/>
        </w:rPr>
        <w:t>主要内容</w:t>
      </w:r>
    </w:p>
    <w:p>
      <w:pPr>
        <w:pStyle w:val="2"/>
        <w:numPr>
          <w:ilvl w:val="0"/>
          <w:numId w:val="0"/>
        </w:numPr>
        <w:ind w:firstLine="608" w:firstLineChars="200"/>
        <w:jc w:val="both"/>
        <w:rPr>
          <w:rFonts w:hint="eastAsia" w:ascii="仿宋_GB2312" w:hAnsi="仿宋_GB2312" w:eastAsia="仿宋_GB2312" w:cs="仿宋_GB2312"/>
          <w:color w:val="0C0C0C"/>
          <w:spacing w:val="-8"/>
          <w:kern w:val="2"/>
          <w:sz w:val="32"/>
          <w:szCs w:val="32"/>
          <w:highlight w:val="none"/>
          <w:lang w:val="en-US" w:eastAsia="zh-CN" w:bidi="ar-SA"/>
        </w:rPr>
      </w:pPr>
      <w:r>
        <w:rPr>
          <w:rFonts w:hint="eastAsia" w:ascii="仿宋_GB2312" w:hAnsi="仿宋_GB2312" w:eastAsia="仿宋_GB2312" w:cs="仿宋_GB2312"/>
          <w:color w:val="0C0C0C"/>
          <w:spacing w:val="-8"/>
          <w:kern w:val="2"/>
          <w:sz w:val="32"/>
          <w:szCs w:val="32"/>
          <w:highlight w:val="none"/>
          <w:lang w:val="en-US" w:eastAsia="zh-CN" w:bidi="ar-SA"/>
        </w:rPr>
        <w:t>共分六个部分：</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11" w:firstLineChars="200"/>
        <w:jc w:val="left"/>
        <w:textAlignment w:val="auto"/>
        <w:outlineLvl w:val="9"/>
        <w:rPr>
          <w:rFonts w:hint="eastAsia" w:ascii="Times New Roman" w:hAnsi="Times New Roman" w:eastAsia="仿宋_GB2312" w:cs="Times New Roman"/>
          <w:color w:val="0C0C0C"/>
          <w:spacing w:val="-8"/>
          <w:sz w:val="32"/>
          <w:szCs w:val="32"/>
          <w:highlight w:val="none"/>
          <w:lang w:val="en-US" w:eastAsia="zh-CN" w:bidi="ar-SA"/>
        </w:rPr>
      </w:pPr>
      <w:r>
        <w:rPr>
          <w:rFonts w:hint="eastAsia" w:ascii="仿宋_GB2312" w:hAnsi="仿宋_GB2312" w:eastAsia="仿宋_GB2312" w:cs="仿宋_GB2312"/>
          <w:b/>
          <w:bCs/>
          <w:color w:val="0C0C0C"/>
          <w:spacing w:val="-8"/>
          <w:kern w:val="2"/>
          <w:sz w:val="32"/>
          <w:szCs w:val="32"/>
          <w:highlight w:val="none"/>
          <w:lang w:val="en-US" w:eastAsia="zh-CN" w:bidi="ar-SA"/>
        </w:rPr>
        <w:t>第一部分：目标任务。</w:t>
      </w:r>
      <w:r>
        <w:rPr>
          <w:rFonts w:hint="eastAsia" w:ascii="Times New Roman" w:hAnsi="Times New Roman" w:eastAsia="仿宋_GB2312" w:cs="Times New Roman"/>
          <w:color w:val="0C0C0C"/>
          <w:spacing w:val="-8"/>
          <w:sz w:val="32"/>
          <w:szCs w:val="32"/>
          <w:highlight w:val="none"/>
          <w:lang w:val="en-US" w:eastAsia="zh-CN" w:bidi="ar-SA"/>
        </w:rPr>
        <w:t>以习近平新时代中国特色社会主义思想为指导，充分认清当前极其严峻的火灾形势，紧盯重点领域、聚焦关键环节，切实提高消防安全重大风险隐患排查整改质量，全力防范化解重大安全风险。严格落实整治重点要求，推动压实最末端火灾防范责任，坚决遏制重特大火灾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1" w:firstLineChars="200"/>
        <w:textAlignment w:val="auto"/>
        <w:rPr>
          <w:rFonts w:hint="eastAsia" w:ascii="仿宋_GB2312" w:hAnsi="仿宋_GB2312" w:eastAsia="仿宋_GB2312" w:cs="仿宋_GB2312"/>
          <w:b/>
          <w:bCs/>
          <w:color w:val="0C0C0C"/>
          <w:spacing w:val="-8"/>
          <w:kern w:val="2"/>
          <w:sz w:val="32"/>
          <w:szCs w:val="32"/>
          <w:highlight w:val="none"/>
          <w:lang w:val="en-US" w:eastAsia="zh-CN" w:bidi="ar-SA"/>
        </w:rPr>
      </w:pPr>
      <w:r>
        <w:rPr>
          <w:rFonts w:hint="eastAsia" w:ascii="仿宋_GB2312" w:hAnsi="仿宋_GB2312" w:eastAsia="仿宋_GB2312" w:cs="仿宋_GB2312"/>
          <w:b/>
          <w:bCs/>
          <w:color w:val="0C0C0C"/>
          <w:spacing w:val="-8"/>
          <w:kern w:val="2"/>
          <w:sz w:val="32"/>
          <w:szCs w:val="32"/>
          <w:highlight w:val="none"/>
          <w:lang w:val="en-US" w:eastAsia="zh-CN" w:bidi="ar-SA"/>
        </w:rPr>
        <w:t>第二部分：组织领导及职责分工。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组  长：党委副书记、乡长  彭兴海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lang w:val="en-US" w:eastAsia="zh-CN"/>
        </w:rPr>
      </w:pPr>
      <w:r>
        <w:rPr>
          <w:rFonts w:hint="eastAsia" w:ascii="仿宋_GB2312" w:hAnsi="仿宋_GB2312" w:eastAsia="仿宋_GB2312" w:cs="仿宋_GB2312"/>
          <w:kern w:val="0"/>
          <w:sz w:val="32"/>
          <w:szCs w:val="32"/>
          <w:highlight w:val="none"/>
          <w:lang w:val="en-US" w:eastAsia="zh-CN" w:bidi="ar-SA"/>
        </w:rPr>
        <w:t>副组长：党委委员、副乡长  田燕龙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组  员：乡二级班子、各科室负责人及各行政村党支部书记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乡政府消防安全除患攻坚整治行动领导小组下设办公室，办公室设在乡安全科，负责统筹调度专项整治行动。</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30" w:lineRule="exact"/>
        <w:ind w:left="0" w:leftChars="0" w:right="0" w:rightChars="0" w:firstLine="611" w:firstLineChars="200"/>
        <w:jc w:val="both"/>
        <w:textAlignment w:val="auto"/>
        <w:outlineLvl w:val="9"/>
        <w:rPr>
          <w:rFonts w:hint="eastAsia" w:ascii="Times New Roman" w:hAnsi="Times New Roman" w:eastAsia="仿宋_GB2312" w:cs="Times New Roman"/>
          <w:color w:val="0C0C0C"/>
          <w:spacing w:val="-8"/>
          <w:sz w:val="32"/>
          <w:szCs w:val="32"/>
          <w:highlight w:val="none"/>
          <w:lang w:val="en-US" w:eastAsia="zh-CN" w:bidi="ar-SA"/>
        </w:rPr>
      </w:pPr>
      <w:r>
        <w:rPr>
          <w:rFonts w:hint="eastAsia" w:ascii="仿宋_GB2312" w:hAnsi="仿宋_GB2312" w:eastAsia="仿宋_GB2312" w:cs="仿宋_GB2312"/>
          <w:b/>
          <w:bCs/>
          <w:color w:val="0C0C0C"/>
          <w:spacing w:val="-8"/>
          <w:kern w:val="2"/>
          <w:sz w:val="32"/>
          <w:szCs w:val="32"/>
          <w:highlight w:val="none"/>
          <w:lang w:val="en-US" w:eastAsia="zh-CN" w:bidi="ar-SA"/>
        </w:rPr>
        <w:t>第三部分：整治范围及重点。</w:t>
      </w:r>
      <w:r>
        <w:rPr>
          <w:rFonts w:hint="eastAsia" w:ascii="Times New Roman" w:hAnsi="Times New Roman" w:eastAsia="仿宋_GB2312" w:cs="Times New Roman"/>
          <w:color w:val="0C0C0C"/>
          <w:spacing w:val="-8"/>
          <w:sz w:val="32"/>
          <w:szCs w:val="32"/>
          <w:highlight w:val="none"/>
          <w:lang w:val="en-US" w:eastAsia="zh-CN" w:bidi="ar-SA"/>
        </w:rPr>
        <w:t>1.村民经营性自建房、2.施工动火作业项目、3.电动自行车、4.人员密集场所、5.“九小场所”、6.“弱势群体”、7.“普通村民住宅”、8.“森林防火”。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1"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color w:val="0C0C0C"/>
          <w:spacing w:val="-8"/>
          <w:kern w:val="2"/>
          <w:sz w:val="32"/>
          <w:szCs w:val="32"/>
          <w:highlight w:val="none"/>
          <w:lang w:val="en-US" w:eastAsia="zh-CN" w:bidi="ar-SA"/>
        </w:rPr>
        <w:t>第四部分：任务分工。</w:t>
      </w:r>
      <w:r>
        <w:rPr>
          <w:rFonts w:hint="eastAsia" w:ascii="仿宋_GB2312" w:hAnsi="仿宋_GB2312" w:eastAsia="仿宋_GB2312" w:cs="仿宋_GB2312"/>
          <w:kern w:val="0"/>
          <w:sz w:val="32"/>
          <w:szCs w:val="32"/>
          <w:lang w:val="en-US" w:eastAsia="zh-CN" w:bidi="ar-SA"/>
        </w:rPr>
        <w:t>1、乡安全科负责统筹调度消防安全除患攻坚专项整治行动推进落实，组织实施督导检查工作；开展专项消防监督检查。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2、农业发展办公室、综治办、社会事务管理科、社保所、文旅科、规划建设与环境保护办公室、乡综合行政执法队等行业科室，开展本行业领域消防安全排查检查。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s="仿宋_GB2312"/>
          <w:kern w:val="0"/>
          <w:sz w:val="32"/>
          <w:szCs w:val="32"/>
          <w:lang w:val="en-US" w:eastAsia="zh-CN" w:bidi="ar-SA"/>
        </w:rPr>
        <w:t>3、各行政村负责全面摸清村内“九小场所”、村民经营性自建房、施工动火作业、电动自行车违规充电、人员密集场所、弱势群体摸清底数，开展排查检查，督促整改。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1"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color w:val="0C0C0C"/>
          <w:spacing w:val="-8"/>
          <w:kern w:val="2"/>
          <w:sz w:val="32"/>
          <w:szCs w:val="32"/>
          <w:highlight w:val="none"/>
          <w:lang w:val="en-US" w:eastAsia="zh-CN" w:bidi="ar-SA"/>
        </w:rPr>
        <w:t>第五部分：工作措施。</w:t>
      </w:r>
      <w:r>
        <w:rPr>
          <w:rFonts w:hint="eastAsia" w:ascii="仿宋_GB2312" w:hAnsi="仿宋_GB2312" w:eastAsia="仿宋_GB2312" w:cs="仿宋_GB2312"/>
          <w:kern w:val="0"/>
          <w:sz w:val="32"/>
          <w:szCs w:val="32"/>
          <w:lang w:val="en-US" w:eastAsia="zh-CN" w:bidi="ar-SA"/>
        </w:rPr>
        <w:t>通过集中开展专项整治行动、建立完善基础台账、营造专项整治声势氛围、大力加强培训演练这四项措施，全面开展消防安全除患攻坚专项整治行动，切实提高消防安全重大风险隐患排查整改质量，全力防范化解重大安全风险。</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11"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color w:val="0C0C0C"/>
          <w:spacing w:val="-8"/>
          <w:kern w:val="2"/>
          <w:sz w:val="32"/>
          <w:szCs w:val="32"/>
          <w:highlight w:val="none"/>
          <w:lang w:val="en-US" w:eastAsia="zh-CN" w:bidi="ar-SA"/>
        </w:rPr>
        <w:t>第六部分：工作要求。</w:t>
      </w:r>
      <w:r>
        <w:rPr>
          <w:rFonts w:hint="eastAsia" w:ascii="仿宋_GB2312" w:hAnsi="仿宋_GB2312" w:eastAsia="仿宋_GB2312" w:cs="仿宋_GB2312"/>
          <w:kern w:val="0"/>
          <w:sz w:val="32"/>
          <w:szCs w:val="32"/>
          <w:lang w:val="en-US" w:eastAsia="zh-CN" w:bidi="ar-SA"/>
        </w:rPr>
        <w:t>通过强化组织领导、强化统筹推进、强化监督问效、强化信息报送四方面严格落实整治重点要求，切实将压力传递到基层，传导到社会末梢，推动压实最末端火灾防范责任，坚决遏制重特大火灾事故发生。</w:t>
      </w:r>
    </w:p>
    <w:p>
      <w:pPr>
        <w:pStyle w:val="2"/>
        <w:ind w:firstLine="611" w:firstLineChars="200"/>
        <w:jc w:val="both"/>
        <w:rPr>
          <w:rFonts w:hint="eastAsia" w:ascii="仿宋_GB2312" w:hAnsi="仿宋_GB2312" w:eastAsia="仿宋_GB2312" w:cs="仿宋_GB2312"/>
          <w:b/>
          <w:bCs/>
          <w:color w:val="0C0C0C"/>
          <w:spacing w:val="-8"/>
          <w:kern w:val="2"/>
          <w:sz w:val="32"/>
          <w:szCs w:val="32"/>
          <w:highlight w:val="none"/>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11" w:firstLineChars="200"/>
        <w:jc w:val="left"/>
        <w:textAlignment w:val="auto"/>
        <w:outlineLvl w:val="9"/>
        <w:rPr>
          <w:rFonts w:hint="eastAsia" w:ascii="仿宋_GB2312" w:hAnsi="仿宋_GB2312" w:eastAsia="仿宋_GB2312" w:cs="仿宋_GB2312"/>
          <w:b/>
          <w:bCs/>
          <w:color w:val="0C0C0C"/>
          <w:spacing w:val="-8"/>
          <w:kern w:val="2"/>
          <w:sz w:val="32"/>
          <w:szCs w:val="32"/>
          <w:highlight w:val="none"/>
          <w:lang w:val="en-US" w:eastAsia="zh-CN" w:bidi="ar-SA"/>
        </w:rPr>
      </w:pPr>
    </w:p>
    <w:p>
      <w:pPr>
        <w:ind w:firstLine="420" w:firstLineChars="200"/>
        <w:rPr>
          <w:rFonts w:hint="eastAsia"/>
          <w:lang w:val="en-US" w:eastAsia="zh-CN"/>
        </w:rPr>
      </w:pPr>
    </w:p>
    <w:sectPr>
      <w:footerReference r:id="rId3" w:type="default"/>
      <w:pgSz w:w="11900" w:h="16840"/>
      <w:pgMar w:top="2098" w:right="1474" w:bottom="1984" w:left="1587" w:header="851" w:footer="992"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2000000000000000000"/>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-114300</wp:posOffset>
              </wp:positionV>
              <wp:extent cx="551180" cy="190500"/>
              <wp:effectExtent l="0" t="0" r="0" b="0"/>
              <wp:wrapNone/>
              <wp:docPr id="1" name="_x0000_s3089"/>
              <wp:cNvGraphicFramePr/>
              <a:graphic xmlns:a="http://schemas.openxmlformats.org/drawingml/2006/main">
                <a:graphicData uri="http://schemas.microsoft.com/office/word/2010/wordprocessingShape">
                  <wps:wsp>
                    <wps:cNvSpPr/>
                    <wps:spPr>
                      <a:xfrm>
                        <a:off x="0" y="0"/>
                        <a:ext cx="551180" cy="190500"/>
                      </a:xfrm>
                      <a:prstGeom prst="rect">
                        <a:avLst/>
                      </a:prstGeom>
                    </wps:spPr>
                    <wps:txbx>
                      <w:txbxContent>
                        <w:p>
                          <w:pPr>
                            <w:pStyle w:val="10"/>
                            <w:tabs>
                              <w:tab w:val="clear" w:pos="4153"/>
                              <w:tab w:val="clear" w:pos="8306"/>
                            </w:tabs>
                            <w:jc w:val="center"/>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p>
                        <w:p/>
                      </w:txbxContent>
                    </wps:txbx>
                    <wps:bodyPr rot="0" vert="horz" wrap="square" lIns="91440" tIns="45720" rIns="91440" bIns="45720" anchor="t" anchorCtr="0"/>
                  </wps:wsp>
                </a:graphicData>
              </a:graphic>
            </wp:anchor>
          </w:drawing>
        </mc:Choice>
        <mc:Fallback>
          <w:pict>
            <v:rect id="_x0000_s3089" o:spid="_x0000_s1026" o:spt="1" style="position:absolute;left:0pt;margin-top:-9pt;height:15pt;width:43.4pt;mso-position-horizontal:outside;mso-position-horizontal-relative:margin;z-index:251659264;mso-width-relative:page;mso-height-relative:page;" filled="f" stroked="f" coordsize="21600,21600" o:gfxdata="UEsDBAoAAAAAAIdO4kAAAAAAAAAAAAAAAAAEAAAAZHJzL1BLAwQUAAAACACHTuJAuRikqtYAAAAG&#10;AQAADwAAAGRycy9kb3ducmV2LnhtbE2PwWrDMBBE74X8g9hALyWRnEMwruUcAqWhFEKdNmfF2tqm&#10;1sqxFDv5+2xP7W2HGWbf5Jur68SIQ2g9aUiWCgRS5W1LtYbPw8siBRGiIWs6T6jhhgE2xewhN5n1&#10;E33gWMZacAmFzGhoYuwzKUPVoDNh6Xsk9r794ExkOdTSDmbictfJlVJr6UxL/KExPW4brH7Ki9Mw&#10;VfvxeHh/lfun487TeXfell9vWj/OE/UMIuI1/oXhF5/RoWCmk7+QDaLTwEOihkWS8sF2uuYhJ46t&#10;FMgil//xiztQSwMEFAAAAAgAh07iQLMWMMqiAQAANgMAAA4AAABkcnMvZTJvRG9jLnhtbK1SwW7b&#10;MAy9D9g/CLovtrNkS4w4PazYMGDYCnQ7F4osxQYsUSPV2NnXj1LSNNhuRX2QSZN+eu+Rm5vJDeJg&#10;kHrwjaxmpRTGa2h7v2/kr5+f362koKh8qwbwppFHQ/Jm+/bNZgy1mUMHQ2tQMIinegyN7GIMdVGQ&#10;7oxTNINgPBctoFORU9wXLaqR0d1QzMvyQzECtgFBGyL+ensqym3Gt9bo+MNaMlEMjWRuMZ+Yz106&#10;i+1G1XtUoev1mYZ6AQunes+XXqBuVVTiEfv/oFyvEQhsnGlwBVjba5M1sJqq/EfNfaeCyVrYHAoX&#10;m+j1YPX3wx2KvuXZSeGV4xE9TCU/D/S+XK2TP2Ogmtvuwx2eM+IwiZ0suvRmGWLKnh4vnpopCs0f&#10;l8uqWrHzmkvVulyW2fPi+eeAFL8YcCIFjUQeWXZSHb5R5Au59amFk0TmdH2K4rSbzpx20B5ZCcJp&#10;xLySHHSAf6QYebyNpN+PCo0Uw1fP/q2rxSLtQ04Wy49zTvC6sruuKK8ZqpFRilP4KeYdSvQSDx5O&#10;JnpepDT96zx3Pa/79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GKSq1gAAAAYBAAAPAAAAAAAA&#10;AAEAIAAAACIAAABkcnMvZG93bnJldi54bWxQSwECFAAUAAAACACHTuJAsxYwyqIBAAA2AwAADgAA&#10;AAAAAAABACAAAAAlAQAAZHJzL2Uyb0RvYy54bWxQSwUGAAAAAAYABgBZAQAAOQUAAAAA&#10;">
              <v:fill on="f" focussize="0,0"/>
              <v:stroke on="f"/>
              <v:imagedata o:title=""/>
              <o:lock v:ext="edit" aspectratio="f"/>
              <v:textbox>
                <w:txbxContent>
                  <w:p>
                    <w:pPr>
                      <w:pStyle w:val="10"/>
                      <w:tabs>
                        <w:tab w:val="clear" w:pos="4153"/>
                        <w:tab w:val="clear" w:pos="8306"/>
                      </w:tabs>
                      <w:jc w:val="center"/>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p>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MGFhY2I1NmUyNGViNjVmYTdjZWI3YzEwODIwZTYifQ=="/>
  </w:docVars>
  <w:rsids>
    <w:rsidRoot w:val="00000000"/>
    <w:rsid w:val="02B74B34"/>
    <w:rsid w:val="03F51722"/>
    <w:rsid w:val="081F48AB"/>
    <w:rsid w:val="09512C38"/>
    <w:rsid w:val="1D9B141A"/>
    <w:rsid w:val="1FD75959"/>
    <w:rsid w:val="251252F5"/>
    <w:rsid w:val="26D85B2A"/>
    <w:rsid w:val="3C1D5551"/>
    <w:rsid w:val="3D403691"/>
    <w:rsid w:val="3E95047C"/>
    <w:rsid w:val="45E868B6"/>
    <w:rsid w:val="54E77FFC"/>
    <w:rsid w:val="595C05A5"/>
    <w:rsid w:val="70AC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3">
    <w:name w:val="Plain Text"/>
    <w:basedOn w:val="1"/>
    <w:qFormat/>
    <w:uiPriority w:val="0"/>
    <w:rPr>
      <w:rFonts w:ascii="宋体" w:hAnsi="Courier New" w:cs="Courier New"/>
      <w:szCs w:val="21"/>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
    <w:name w:val="目录 11"/>
    <w:next w:val="1"/>
    <w:qFormat/>
    <w:uiPriority w:val="0"/>
    <w:pPr>
      <w:wordWrap w:val="0"/>
      <w:jc w:val="both"/>
    </w:pPr>
    <w:rPr>
      <w:rFonts w:ascii="Calibri" w:hAnsi="Calibri" w:eastAsia="宋体" w:cs="Times New Roman"/>
      <w:sz w:val="21"/>
      <w:szCs w:val="22"/>
      <w:lang w:val="en-US" w:eastAsia="zh-CN" w:bidi="ar-SA"/>
    </w:rPr>
  </w:style>
  <w:style w:type="paragraph" w:customStyle="1" w:styleId="8">
    <w:name w:val="正文首行缩进 21"/>
    <w:qFormat/>
    <w:uiPriority w:val="0"/>
    <w:pPr>
      <w:widowControl w:val="0"/>
      <w:spacing w:after="0"/>
      <w:ind w:left="420" w:leftChars="200" w:firstLine="420" w:firstLineChars="200"/>
      <w:jc w:val="both"/>
    </w:pPr>
    <w:rPr>
      <w:rFonts w:ascii="Calibri" w:hAnsi="Calibri" w:eastAsia="宋体" w:cs="Times New Roman"/>
      <w:kern w:val="2"/>
      <w:sz w:val="21"/>
      <w:szCs w:val="22"/>
      <w:lang w:val="en-US" w:eastAsia="zh-CN" w:bidi="ar-SA"/>
    </w:rPr>
  </w:style>
  <w:style w:type="paragraph" w:customStyle="1" w:styleId="9">
    <w:name w:val="标题1"/>
    <w:basedOn w:val="1"/>
    <w:qFormat/>
    <w:uiPriority w:val="0"/>
    <w:pPr>
      <w:suppressAutoHyphens/>
      <w:spacing w:before="240" w:after="60"/>
      <w:jc w:val="center"/>
      <w:outlineLvl w:val="0"/>
    </w:pPr>
    <w:rPr>
      <w:rFonts w:ascii="Cambria" w:hAnsi="Cambria"/>
      <w:b/>
      <w:bCs/>
      <w:sz w:val="32"/>
      <w:szCs w:val="32"/>
    </w:rPr>
  </w:style>
  <w:style w:type="paragraph" w:customStyle="1" w:styleId="10">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syr</cp:lastModifiedBy>
  <dcterms:modified xsi:type="dcterms:W3CDTF">2025-02-18T06:44:56Z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406421E29BFE44DF8CE9772811174478_12</vt:lpwstr>
  </property>
</Properties>
</file>