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sz w:val="38"/>
          <w:szCs w:val="38"/>
        </w:rPr>
      </w:pPr>
      <w:bookmarkStart w:id="14" w:name="_GoBack"/>
      <w:bookmarkStart w:id="0" w:name="OLE_LINK23"/>
      <w:bookmarkStart w:id="1" w:name="OLE_LINK8"/>
      <w:bookmarkStart w:id="2" w:name="_Toc26020"/>
      <w:r>
        <w:rPr>
          <w:szCs w:val="44"/>
        </w:rPr>
        <w:t>关于北京城市副中心促进文旅产业高质量发展的实施细则</w:t>
      </w:r>
      <w:bookmarkEnd w:id="0"/>
      <w:r>
        <w:rPr>
          <w:rFonts w:hint="eastAsia"/>
          <w:szCs w:val="44"/>
        </w:rPr>
        <w:t>（修订版）</w:t>
      </w:r>
      <w:bookmarkEnd w:id="14"/>
    </w:p>
    <w:bookmarkEnd w:id="1"/>
    <w:p>
      <w:pPr>
        <w:spacing w:line="600" w:lineRule="exact"/>
        <w:ind w:firstLine="380" w:firstLineChars="100"/>
        <w:jc w:val="center"/>
        <w:rPr>
          <w:rFonts w:eastAsia="等线"/>
          <w:sz w:val="38"/>
          <w:szCs w:val="38"/>
        </w:rPr>
      </w:pPr>
      <w:r>
        <w:rPr>
          <w:rFonts w:eastAsia="等线"/>
          <w:sz w:val="38"/>
          <w:szCs w:val="38"/>
          <w:lang w:bidi="ar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为贯彻落实《国务院关于支持北京城市副中心高质量发展的意见》，推进全国文化中心建设，加快落实《关于进一步培育新增长点繁荣文化和旅游消费的若干措施》《北京市推动旅游业高质量发展的实施意见》《北京市扩大文化和旅游新消费奖励办法》等文件精神，聚焦文旅产业的供给侧结构性改革，促进文化和旅游产业深度融合与高质量发展，特制定本细则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一、支持方向和标准</w:t>
      </w:r>
    </w:p>
    <w:p>
      <w:pPr>
        <w:spacing w:line="600" w:lineRule="exact"/>
        <w:ind w:firstLine="642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  <w:lang w:bidi="ar"/>
        </w:rPr>
        <w:t>（一）鼓励文旅商体联动释放消费潜力</w:t>
      </w:r>
    </w:p>
    <w:p>
      <w:pPr>
        <w:spacing w:line="600" w:lineRule="exact"/>
        <w:ind w:firstLine="642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b/>
          <w:sz w:val="32"/>
          <w:szCs w:val="32"/>
          <w:lang w:bidi="ar"/>
        </w:rPr>
        <w:t>1.支持举办文旅节庆活动。</w:t>
      </w:r>
      <w:r>
        <w:rPr>
          <w:rFonts w:eastAsia="仿宋_GB2312"/>
          <w:sz w:val="32"/>
          <w:szCs w:val="32"/>
          <w:lang w:bidi="ar"/>
        </w:rPr>
        <w:t>支持举办艺术节、戏剧节、音乐节、演唱会、动漫节等各类文旅节庆活动，最高支持200万元。</w:t>
      </w:r>
    </w:p>
    <w:p>
      <w:pPr>
        <w:spacing w:line="600" w:lineRule="exact"/>
        <w:ind w:firstLine="642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b/>
          <w:sz w:val="32"/>
          <w:szCs w:val="32"/>
          <w:lang w:bidi="ar"/>
        </w:rPr>
        <w:t>2.支持打造文旅消费场景。</w:t>
      </w:r>
      <w:r>
        <w:rPr>
          <w:rFonts w:hint="eastAsia" w:eastAsia="仿宋_GB2312"/>
          <w:bCs/>
          <w:sz w:val="32"/>
          <w:szCs w:val="32"/>
          <w:lang w:bidi="ar"/>
        </w:rPr>
        <w:t>支持</w:t>
      </w:r>
      <w:r>
        <w:rPr>
          <w:rFonts w:eastAsia="仿宋_GB2312"/>
          <w:sz w:val="32"/>
          <w:szCs w:val="32"/>
          <w:lang w:bidi="ar"/>
        </w:rPr>
        <w:t>引入灯光秀、文博艺术展览、文创市集等文旅消费场景，支持举办各类首映式、首发式，开发研学旅游项目，最高支持200万元。</w:t>
      </w:r>
    </w:p>
    <w:p>
      <w:pPr>
        <w:spacing w:line="600" w:lineRule="exact"/>
        <w:ind w:firstLine="642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b/>
          <w:sz w:val="32"/>
          <w:szCs w:val="32"/>
          <w:lang w:bidi="ar"/>
        </w:rPr>
        <w:t>3.支持建设新型文化空间。</w:t>
      </w:r>
      <w:r>
        <w:rPr>
          <w:rFonts w:eastAsia="仿宋_GB2312"/>
          <w:sz w:val="32"/>
          <w:szCs w:val="32"/>
          <w:lang w:bidi="ar"/>
        </w:rPr>
        <w:t>鼓励建设以演艺消费、非遗传授等为核心的新型文化空间。根据综合效益，最高支持200万元。</w:t>
      </w:r>
    </w:p>
    <w:p>
      <w:pPr>
        <w:spacing w:line="600" w:lineRule="exact"/>
        <w:ind w:firstLine="642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b/>
          <w:sz w:val="32"/>
          <w:szCs w:val="32"/>
          <w:shd w:val="clear" w:color="auto" w:fill="FFFFFF"/>
          <w:lang w:bidi="ar"/>
        </w:rPr>
        <w:t>4.支持举办有影响力的体育活动。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支持引进大型体育赛事活动，鼓励举办室内外运动、水上项目、电竞、体育竞技等体育活动和运动赛事，</w:t>
      </w:r>
      <w:r>
        <w:rPr>
          <w:rFonts w:eastAsia="仿宋_GB2312"/>
          <w:sz w:val="32"/>
          <w:szCs w:val="32"/>
          <w:lang w:bidi="ar"/>
        </w:rPr>
        <w:t>最高支持200万元。</w:t>
      </w:r>
    </w:p>
    <w:p>
      <w:pPr>
        <w:spacing w:line="600" w:lineRule="exact"/>
        <w:ind w:firstLine="642" w:firstLineChars="200"/>
        <w:rPr>
          <w:rFonts w:eastAsia="楷体_GB2312"/>
          <w:b/>
          <w:sz w:val="32"/>
          <w:szCs w:val="32"/>
          <w:shd w:val="clear" w:color="auto" w:fill="FFFFFF"/>
        </w:rPr>
      </w:pPr>
      <w:r>
        <w:rPr>
          <w:rFonts w:eastAsia="楷体_GB2312"/>
          <w:b/>
          <w:sz w:val="32"/>
          <w:szCs w:val="32"/>
          <w:lang w:bidi="ar"/>
        </w:rPr>
        <w:t>（二）支持</w:t>
      </w:r>
      <w:r>
        <w:rPr>
          <w:rFonts w:eastAsia="楷体_GB2312"/>
          <w:b/>
          <w:sz w:val="32"/>
          <w:szCs w:val="32"/>
          <w:shd w:val="clear" w:color="auto" w:fill="FFFFFF"/>
          <w:lang w:bidi="ar"/>
        </w:rPr>
        <w:t>企业集聚促进产业高质量发展</w:t>
      </w:r>
    </w:p>
    <w:p>
      <w:pPr>
        <w:spacing w:line="600" w:lineRule="exact"/>
        <w:ind w:firstLine="642" w:firstLineChars="200"/>
        <w:rPr>
          <w:rFonts w:eastAsia="仿宋_GB2312"/>
          <w:sz w:val="32"/>
          <w:szCs w:val="32"/>
          <w:lang w:bidi="ar"/>
        </w:rPr>
      </w:pPr>
      <w:bookmarkStart w:id="3" w:name="_Hlk185596500"/>
      <w:bookmarkStart w:id="4" w:name="_Hlk185596521"/>
      <w:r>
        <w:rPr>
          <w:rFonts w:hint="eastAsia" w:eastAsia="仿宋_GB2312"/>
          <w:b/>
          <w:sz w:val="32"/>
          <w:szCs w:val="32"/>
          <w:lang w:bidi="ar"/>
        </w:rPr>
        <w:t>5</w:t>
      </w:r>
      <w:r>
        <w:rPr>
          <w:rFonts w:eastAsia="仿宋_GB2312"/>
          <w:b/>
          <w:sz w:val="32"/>
          <w:szCs w:val="32"/>
          <w:lang w:bidi="ar"/>
        </w:rPr>
        <w:t>. 加快链式集聚发展。</w:t>
      </w:r>
      <w:bookmarkEnd w:id="3"/>
      <w:r>
        <w:rPr>
          <w:rFonts w:eastAsia="仿宋_GB2312"/>
          <w:sz w:val="32"/>
          <w:szCs w:val="32"/>
          <w:lang w:bidi="ar"/>
        </w:rPr>
        <w:t>聚焦产业链核心环节</w:t>
      </w:r>
      <w:bookmarkStart w:id="5" w:name="_Hlk185339873"/>
      <w:r>
        <w:rPr>
          <w:rFonts w:eastAsia="仿宋_GB2312"/>
          <w:sz w:val="32"/>
          <w:szCs w:val="32"/>
          <w:lang w:bidi="ar"/>
        </w:rPr>
        <w:t>培优育强，</w:t>
      </w:r>
      <w:bookmarkEnd w:id="5"/>
      <w:r>
        <w:rPr>
          <w:rFonts w:hint="eastAsia" w:eastAsia="仿宋_GB2312"/>
          <w:bCs/>
          <w:sz w:val="32"/>
          <w:szCs w:val="32"/>
          <w:lang w:bidi="ar"/>
        </w:rPr>
        <w:t>对</w:t>
      </w:r>
      <w:r>
        <w:rPr>
          <w:rFonts w:eastAsia="仿宋_GB2312"/>
          <w:sz w:val="32"/>
          <w:szCs w:val="32"/>
          <w:lang w:bidi="ar"/>
        </w:rPr>
        <w:t>文化旅游产业领域</w:t>
      </w:r>
      <w:r>
        <w:rPr>
          <w:rFonts w:eastAsia="仿宋_GB2312"/>
          <w:spacing w:val="2"/>
          <w:sz w:val="32"/>
          <w:szCs w:val="32"/>
          <w:lang w:bidi="ar"/>
        </w:rPr>
        <w:t>处于领先地位，</w:t>
      </w:r>
      <w:r>
        <w:rPr>
          <w:rFonts w:hint="eastAsia" w:eastAsia="仿宋_GB2312"/>
          <w:spacing w:val="2"/>
          <w:sz w:val="32"/>
          <w:szCs w:val="32"/>
          <w:lang w:bidi="ar"/>
        </w:rPr>
        <w:t>保持持续增长，具有产业协作能力，能够</w:t>
      </w:r>
      <w:r>
        <w:rPr>
          <w:rFonts w:eastAsia="仿宋_GB2312"/>
          <w:spacing w:val="2"/>
          <w:sz w:val="32"/>
          <w:szCs w:val="32"/>
          <w:lang w:bidi="ar"/>
        </w:rPr>
        <w:t>产生良好经济效益和社会效益</w:t>
      </w:r>
      <w:r>
        <w:rPr>
          <w:rFonts w:hint="eastAsia" w:eastAsia="仿宋_GB2312"/>
          <w:spacing w:val="2"/>
          <w:sz w:val="32"/>
          <w:szCs w:val="32"/>
          <w:lang w:bidi="ar"/>
        </w:rPr>
        <w:t>，发挥</w:t>
      </w:r>
      <w:r>
        <w:rPr>
          <w:rFonts w:hint="eastAsia" w:eastAsia="仿宋_GB2312"/>
          <w:sz w:val="32"/>
          <w:szCs w:val="32"/>
          <w:lang w:bidi="ar"/>
        </w:rPr>
        <w:t>强链补链作用的</w:t>
      </w:r>
      <w:r>
        <w:rPr>
          <w:rFonts w:eastAsia="仿宋_GB2312"/>
          <w:sz w:val="32"/>
          <w:szCs w:val="32"/>
          <w:lang w:bidi="ar"/>
        </w:rPr>
        <w:t>产业链企业，</w:t>
      </w:r>
      <w:r>
        <w:rPr>
          <w:rFonts w:hint="eastAsia" w:eastAsia="仿宋_GB2312"/>
          <w:sz w:val="32"/>
          <w:szCs w:val="32"/>
          <w:lang w:bidi="ar"/>
        </w:rPr>
        <w:t>经认定，</w:t>
      </w:r>
      <w:r>
        <w:rPr>
          <w:rFonts w:eastAsia="仿宋_GB2312"/>
          <w:sz w:val="32"/>
          <w:szCs w:val="32"/>
          <w:lang w:bidi="ar"/>
        </w:rPr>
        <w:t>最高支持</w:t>
      </w:r>
      <w:r>
        <w:rPr>
          <w:rFonts w:hint="eastAsia" w:eastAsia="仿宋_GB2312"/>
          <w:sz w:val="32"/>
          <w:szCs w:val="32"/>
          <w:lang w:bidi="ar"/>
        </w:rPr>
        <w:t>1000万元</w:t>
      </w:r>
      <w:r>
        <w:rPr>
          <w:rFonts w:eastAsia="仿宋_GB2312"/>
          <w:sz w:val="32"/>
          <w:szCs w:val="32"/>
          <w:lang w:bidi="ar"/>
        </w:rPr>
        <w:t>。</w:t>
      </w:r>
    </w:p>
    <w:bookmarkEnd w:id="4"/>
    <w:p>
      <w:pPr>
        <w:spacing w:line="600" w:lineRule="exact"/>
        <w:ind w:firstLine="642" w:firstLineChars="200"/>
        <w:rPr>
          <w:rFonts w:eastAsia="仿宋_GB2312"/>
          <w:sz w:val="32"/>
          <w:szCs w:val="32"/>
          <w:shd w:val="clear" w:color="auto" w:fill="FFFFFF"/>
          <w:lang w:bidi="ar"/>
        </w:rPr>
      </w:pPr>
      <w:bookmarkStart w:id="6" w:name="_Hlk185596949"/>
      <w:r>
        <w:rPr>
          <w:rFonts w:hint="eastAsia" w:eastAsia="仿宋_GB2312"/>
          <w:b/>
          <w:sz w:val="32"/>
          <w:szCs w:val="32"/>
          <w:lang w:bidi="ar"/>
        </w:rPr>
        <w:t>6</w:t>
      </w:r>
      <w:r>
        <w:rPr>
          <w:rFonts w:eastAsia="仿宋_GB2312"/>
          <w:b/>
          <w:sz w:val="32"/>
          <w:szCs w:val="32"/>
          <w:lang w:bidi="ar"/>
        </w:rPr>
        <w:t>.加大企业培育力度。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引导成长潜力大的中小文旅企业集聚发展，对营业收入达到</w:t>
      </w:r>
      <w:r>
        <w:rPr>
          <w:rFonts w:hint="eastAsia" w:eastAsia="仿宋_GB2312"/>
          <w:sz w:val="32"/>
          <w:szCs w:val="32"/>
          <w:shd w:val="clear" w:color="auto" w:fill="FFFFFF"/>
          <w:lang w:bidi="ar"/>
        </w:rPr>
        <w:t>一定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规模且</w:t>
      </w:r>
      <w:r>
        <w:rPr>
          <w:rFonts w:hint="eastAsia" w:eastAsia="仿宋_GB2312"/>
          <w:sz w:val="32"/>
          <w:szCs w:val="32"/>
          <w:shd w:val="clear" w:color="auto" w:fill="FFFFFF"/>
          <w:lang w:bidi="ar"/>
        </w:rPr>
        <w:t>保持持续增长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的文旅企业，最高</w:t>
      </w:r>
      <w:r>
        <w:rPr>
          <w:rFonts w:hint="eastAsia" w:eastAsia="仿宋_GB2312"/>
          <w:sz w:val="32"/>
          <w:szCs w:val="32"/>
          <w:shd w:val="clear" w:color="auto" w:fill="FFFFFF"/>
          <w:lang w:bidi="ar"/>
        </w:rPr>
        <w:t>支持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50万元。</w:t>
      </w:r>
      <w:bookmarkEnd w:id="6"/>
    </w:p>
    <w:p>
      <w:pPr>
        <w:spacing w:line="600" w:lineRule="exact"/>
        <w:ind w:firstLine="642" w:firstLineChars="200"/>
        <w:rPr>
          <w:rFonts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eastAsia="仿宋_GB2312"/>
          <w:b/>
          <w:sz w:val="32"/>
          <w:szCs w:val="32"/>
          <w:shd w:val="clear" w:color="auto" w:fill="FFFFFF"/>
          <w:lang w:bidi="ar"/>
        </w:rPr>
        <w:t>7</w:t>
      </w:r>
      <w:r>
        <w:rPr>
          <w:rFonts w:eastAsia="仿宋_GB2312"/>
          <w:b/>
          <w:sz w:val="32"/>
          <w:szCs w:val="32"/>
          <w:shd w:val="clear" w:color="auto" w:fill="FFFFFF"/>
          <w:lang w:bidi="ar"/>
        </w:rPr>
        <w:t>.支持文化IP培育转化。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支持</w:t>
      </w:r>
      <w:r>
        <w:rPr>
          <w:rFonts w:hint="eastAsia" w:eastAsia="仿宋_GB2312"/>
          <w:sz w:val="32"/>
          <w:szCs w:val="32"/>
          <w:shd w:val="clear" w:color="auto" w:fill="FFFFFF"/>
          <w:lang w:bidi="ar"/>
        </w:rPr>
        <w:t>企业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开展内容原创、技术研发、品牌培育，实现文化IP的市场转化。对转化收益大于前期投入的项目，最高支持10</w:t>
      </w:r>
      <w:r>
        <w:rPr>
          <w:rFonts w:eastAsia="仿宋_GB2312"/>
          <w:sz w:val="32"/>
          <w:szCs w:val="32"/>
          <w:lang w:bidi="ar"/>
        </w:rPr>
        <w:t>0万元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。</w:t>
      </w:r>
    </w:p>
    <w:p>
      <w:pPr>
        <w:spacing w:line="600" w:lineRule="exact"/>
        <w:ind w:firstLine="642" w:firstLineChars="200"/>
        <w:rPr>
          <w:rFonts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eastAsia="仿宋_GB2312"/>
          <w:b/>
          <w:sz w:val="32"/>
          <w:szCs w:val="32"/>
          <w:shd w:val="clear" w:color="auto" w:fill="FFFFFF"/>
          <w:lang w:bidi="ar"/>
        </w:rPr>
        <w:t>8</w:t>
      </w:r>
      <w:r>
        <w:rPr>
          <w:rFonts w:eastAsia="仿宋_GB2312"/>
          <w:b/>
          <w:sz w:val="32"/>
          <w:szCs w:val="32"/>
          <w:shd w:val="clear" w:color="auto" w:fill="FFFFFF"/>
          <w:lang w:bidi="ar"/>
        </w:rPr>
        <w:t>.</w:t>
      </w:r>
      <w:r>
        <w:rPr>
          <w:rFonts w:eastAsia="等线"/>
          <w:sz w:val="32"/>
          <w:szCs w:val="32"/>
          <w:lang w:bidi="ar"/>
        </w:rPr>
        <w:t xml:space="preserve"> </w:t>
      </w:r>
      <w:r>
        <w:rPr>
          <w:rFonts w:eastAsia="仿宋_GB2312"/>
          <w:b/>
          <w:sz w:val="32"/>
          <w:szCs w:val="32"/>
          <w:shd w:val="clear" w:color="auto" w:fill="FFFFFF"/>
          <w:lang w:bidi="ar"/>
        </w:rPr>
        <w:t>鼓励文旅与科技融合发展。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积极承接北京数据基础制度先行区文旅数据专区建设，支持智慧文旅、数字文旅等新技术的研发应用，</w:t>
      </w:r>
      <w:bookmarkStart w:id="7" w:name="_Hlk185597455"/>
      <w:r>
        <w:rPr>
          <w:rFonts w:eastAsia="仿宋_GB2312"/>
          <w:sz w:val="32"/>
          <w:szCs w:val="32"/>
          <w:shd w:val="clear" w:color="auto" w:fill="FFFFFF"/>
          <w:lang w:bidi="ar"/>
        </w:rPr>
        <w:t>对</w:t>
      </w:r>
      <w:r>
        <w:rPr>
          <w:rFonts w:hint="eastAsia" w:eastAsia="仿宋_GB2312"/>
          <w:sz w:val="32"/>
          <w:szCs w:val="32"/>
          <w:shd w:val="clear" w:color="auto" w:fill="FFFFFF"/>
          <w:lang w:bidi="ar"/>
        </w:rPr>
        <w:t>转化能力突出</w:t>
      </w:r>
      <w:r>
        <w:rPr>
          <w:rFonts w:eastAsia="仿宋_GB2312"/>
          <w:sz w:val="32"/>
          <w:szCs w:val="32"/>
          <w:shd w:val="clear" w:color="auto" w:fill="FFFFFF"/>
          <w:lang w:bidi="ar"/>
        </w:rPr>
        <w:t>的项目，最高支持300万元。</w:t>
      </w:r>
      <w:bookmarkEnd w:id="7"/>
    </w:p>
    <w:p>
      <w:pPr>
        <w:spacing w:line="600" w:lineRule="exact"/>
        <w:ind w:firstLine="642" w:firstLineChars="200"/>
        <w:rPr>
          <w:rFonts w:eastAsia="仿宋_GB2312"/>
          <w:sz w:val="32"/>
          <w:szCs w:val="32"/>
          <w:lang w:bidi="ar"/>
        </w:rPr>
      </w:pPr>
      <w:r>
        <w:rPr>
          <w:rFonts w:hint="eastAsia" w:eastAsia="仿宋_GB2312"/>
          <w:b/>
          <w:sz w:val="32"/>
          <w:szCs w:val="32"/>
          <w:shd w:val="clear" w:color="auto" w:fill="FFFFFF"/>
          <w:lang w:bidi="ar"/>
        </w:rPr>
        <w:t>9</w:t>
      </w:r>
      <w:r>
        <w:rPr>
          <w:rFonts w:eastAsia="仿宋_GB2312"/>
          <w:b/>
          <w:sz w:val="32"/>
          <w:szCs w:val="32"/>
          <w:lang w:bidi="ar"/>
        </w:rPr>
        <w:t>.积极推进艺术品市场建设。</w:t>
      </w:r>
      <w:r>
        <w:rPr>
          <w:rFonts w:eastAsia="仿宋_GB2312"/>
          <w:sz w:val="32"/>
          <w:szCs w:val="32"/>
          <w:lang w:bidi="ar"/>
        </w:rPr>
        <w:t>发挥原创艺术优势，</w:t>
      </w:r>
      <w:r>
        <w:rPr>
          <w:rFonts w:hint="eastAsia" w:eastAsia="仿宋_GB2312"/>
          <w:sz w:val="32"/>
          <w:szCs w:val="32"/>
          <w:lang w:bidi="ar"/>
        </w:rPr>
        <w:t>鼓励</w:t>
      </w:r>
      <w:r>
        <w:rPr>
          <w:rFonts w:eastAsia="仿宋_GB2312"/>
          <w:sz w:val="32"/>
          <w:szCs w:val="32"/>
          <w:lang w:bidi="ar"/>
        </w:rPr>
        <w:t>艺术家在我区开展艺术创作、交易，打造艺术品版权</w:t>
      </w:r>
      <w:r>
        <w:rPr>
          <w:rFonts w:hint="eastAsia" w:eastAsia="仿宋_GB2312"/>
          <w:sz w:val="32"/>
          <w:szCs w:val="32"/>
          <w:lang w:bidi="ar"/>
        </w:rPr>
        <w:t>的</w:t>
      </w:r>
      <w:r>
        <w:rPr>
          <w:rFonts w:eastAsia="仿宋_GB2312"/>
          <w:sz w:val="32"/>
          <w:szCs w:val="32"/>
          <w:lang w:bidi="ar"/>
        </w:rPr>
        <w:t>全链条服务平台，支持艺术品交易</w:t>
      </w:r>
      <w:r>
        <w:rPr>
          <w:rFonts w:hint="eastAsia" w:eastAsia="仿宋_GB2312"/>
          <w:sz w:val="32"/>
          <w:szCs w:val="32"/>
          <w:lang w:bidi="ar"/>
        </w:rPr>
        <w:t>、</w:t>
      </w:r>
      <w:r>
        <w:rPr>
          <w:rFonts w:eastAsia="仿宋_GB2312"/>
          <w:sz w:val="32"/>
          <w:szCs w:val="32"/>
          <w:lang w:bidi="ar"/>
        </w:rPr>
        <w:t>展览展示中心、产业服务平台建设</w:t>
      </w:r>
      <w:r>
        <w:rPr>
          <w:rFonts w:hint="eastAsia" w:eastAsia="仿宋_GB2312"/>
          <w:sz w:val="32"/>
          <w:szCs w:val="32"/>
          <w:lang w:bidi="ar"/>
        </w:rPr>
        <w:t>，</w:t>
      </w:r>
      <w:r>
        <w:rPr>
          <w:rFonts w:eastAsia="仿宋_GB2312"/>
          <w:sz w:val="32"/>
          <w:szCs w:val="32"/>
          <w:lang w:bidi="ar"/>
        </w:rPr>
        <w:t>最高支持500万元。</w:t>
      </w:r>
    </w:p>
    <w:p>
      <w:pPr>
        <w:spacing w:line="600" w:lineRule="exact"/>
        <w:ind w:firstLine="642" w:firstLineChars="200"/>
        <w:rPr>
          <w:rFonts w:eastAsia="楷体_GB2312"/>
          <w:b/>
          <w:sz w:val="32"/>
          <w:szCs w:val="32"/>
          <w:lang w:bidi="ar"/>
        </w:rPr>
      </w:pPr>
      <w:bookmarkStart w:id="8" w:name="_Hlk187406215"/>
      <w:r>
        <w:rPr>
          <w:rFonts w:hint="eastAsia" w:eastAsia="楷体_GB2312"/>
          <w:b/>
          <w:sz w:val="32"/>
          <w:szCs w:val="32"/>
          <w:lang w:bidi="ar"/>
        </w:rPr>
        <w:t>（三）促进提升旅游品质</w:t>
      </w:r>
      <w:bookmarkEnd w:id="8"/>
    </w:p>
    <w:p>
      <w:pPr>
        <w:ind w:firstLine="642" w:firstLineChars="200"/>
        <w:rPr>
          <w:rFonts w:ascii="仿宋_GB2312" w:eastAsia="仿宋_GB2312"/>
          <w:sz w:val="32"/>
          <w:szCs w:val="32"/>
          <w:shd w:val="clear" w:color="auto" w:fill="FFFFFF"/>
        </w:rPr>
      </w:pPr>
      <w:bookmarkStart w:id="9" w:name="_Hlk187938440"/>
      <w:bookmarkStart w:id="10" w:name="_Hlk187406245"/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10.培育中高端酒店品牌。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支持住宿业规模化、品牌化、连锁化发展，培育一批中高端酒店品牌。对与知名品牌酒店管理公司合作并冠名的酒店，在正式运营后,</w:t>
      </w:r>
      <w:bookmarkStart w:id="11" w:name="OLE_LINK9"/>
      <w:r>
        <w:rPr>
          <w:rFonts w:hint="eastAsia" w:ascii="仿宋_GB2312" w:eastAsia="仿宋_GB2312"/>
          <w:sz w:val="32"/>
          <w:szCs w:val="32"/>
          <w:shd w:val="clear" w:color="auto" w:fill="FFFFFF"/>
        </w:rPr>
        <w:t>经认定，</w:t>
      </w:r>
      <w:bookmarkEnd w:id="11"/>
      <w:r>
        <w:rPr>
          <w:rFonts w:hint="eastAsia" w:ascii="仿宋_GB2312" w:eastAsia="仿宋_GB2312"/>
          <w:sz w:val="32"/>
          <w:szCs w:val="32"/>
          <w:shd w:val="clear" w:color="auto" w:fill="FFFFFF"/>
        </w:rPr>
        <w:t>最高支持200万元。</w:t>
      </w:r>
    </w:p>
    <w:bookmarkEnd w:id="9"/>
    <w:p>
      <w:pPr>
        <w:ind w:firstLine="642" w:firstLineChars="200"/>
        <w:rPr>
          <w:rFonts w:ascii="仿宋_GB2312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11.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鼓励旅游服务机构评星升级。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鼓励</w:t>
      </w:r>
      <w:r>
        <w:rPr>
          <w:rFonts w:ascii="仿宋_GB2312" w:hAnsi="黑体" w:eastAsia="仿宋_GB2312"/>
          <w:sz w:val="32"/>
          <w:szCs w:val="32"/>
        </w:rPr>
        <w:t>酒店行业提升硬件设施和服务管理水平</w:t>
      </w:r>
      <w:r>
        <w:rPr>
          <w:rFonts w:hint="eastAsia" w:ascii="仿宋_GB2312" w:hAnsi="黑体" w:eastAsia="仿宋_GB2312"/>
          <w:sz w:val="32"/>
          <w:szCs w:val="32"/>
        </w:rPr>
        <w:t>，促进旅游服务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提质升级。对新评定或升级星级标准酒店的</w:t>
      </w:r>
      <w:r>
        <w:rPr>
          <w:rFonts w:ascii="仿宋_GB2312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经认定，最高支持100万元。</w:t>
      </w:r>
    </w:p>
    <w:bookmarkEnd w:id="10"/>
    <w:p>
      <w:pPr>
        <w:spacing w:line="600" w:lineRule="exact"/>
        <w:ind w:firstLine="642" w:firstLineChars="200"/>
        <w:rPr>
          <w:rFonts w:ascii="仿宋_GB2312" w:eastAsia="仿宋_GB2312"/>
          <w:sz w:val="32"/>
          <w:szCs w:val="32"/>
          <w:lang w:bidi="ar"/>
        </w:rPr>
      </w:pPr>
      <w:bookmarkStart w:id="12" w:name="_Hlk187406272"/>
      <w:r>
        <w:rPr>
          <w:rFonts w:hint="eastAsia" w:ascii="仿宋_GB2312" w:eastAsia="仿宋_GB2312"/>
          <w:b/>
          <w:bCs/>
          <w:sz w:val="32"/>
          <w:szCs w:val="32"/>
          <w:lang w:bidi="ar"/>
        </w:rPr>
        <w:t>12.鼓励住宿业融合发展。</w:t>
      </w:r>
      <w:r>
        <w:rPr>
          <w:rFonts w:hint="eastAsia" w:ascii="仿宋_GB2312" w:eastAsia="仿宋_GB2312"/>
          <w:sz w:val="32"/>
          <w:szCs w:val="32"/>
          <w:lang w:bidi="ar"/>
        </w:rPr>
        <w:t>支持酒店业与文化、体育、购物、景区、非遗等业态的融合发展，推动“酒店+”融合业态，根据经济效益和社会效益，经认定，最高支持50万元。</w:t>
      </w:r>
    </w:p>
    <w:bookmarkEnd w:id="12"/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bidi="ar"/>
        </w:rPr>
        <w:t>二</w:t>
      </w:r>
      <w:r>
        <w:rPr>
          <w:rFonts w:eastAsia="黑体"/>
          <w:sz w:val="32"/>
          <w:szCs w:val="32"/>
          <w:lang w:bidi="ar"/>
        </w:rPr>
        <w:t>、附则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本实施细则自发布之日起实施</w:t>
      </w:r>
      <w:r>
        <w:rPr>
          <w:rFonts w:hint="eastAsia" w:eastAsia="仿宋_GB2312"/>
          <w:sz w:val="32"/>
          <w:szCs w:val="32"/>
          <w:lang w:bidi="ar"/>
        </w:rPr>
        <w:t>，</w:t>
      </w:r>
      <w:r>
        <w:rPr>
          <w:rFonts w:hint="eastAsia" w:ascii="仿宋_GB2312" w:eastAsia="仿宋_GB2312"/>
          <w:sz w:val="32"/>
          <w:szCs w:val="32"/>
          <w:lang w:bidi="ar"/>
        </w:rPr>
        <w:t>有效期至2027年12月31日，</w:t>
      </w:r>
      <w:r>
        <w:rPr>
          <w:rFonts w:hint="eastAsia" w:eastAsia="仿宋_GB2312"/>
          <w:sz w:val="32"/>
          <w:szCs w:val="32"/>
          <w:lang w:bidi="ar"/>
        </w:rPr>
        <w:t>原《</w:t>
      </w:r>
      <w:bookmarkStart w:id="13" w:name="_Hlk184138587"/>
      <w:r>
        <w:rPr>
          <w:rFonts w:hint="eastAsia" w:eastAsia="仿宋_GB2312"/>
          <w:sz w:val="32"/>
          <w:szCs w:val="32"/>
          <w:lang w:bidi="ar"/>
        </w:rPr>
        <w:t>关于北京城市副中心促进文旅产业高质量发展的实施细则</w:t>
      </w:r>
      <w:bookmarkEnd w:id="13"/>
      <w:r>
        <w:rPr>
          <w:rFonts w:hint="eastAsia" w:eastAsia="仿宋_GB2312"/>
          <w:sz w:val="32"/>
          <w:szCs w:val="32"/>
          <w:lang w:bidi="ar"/>
        </w:rPr>
        <w:t>》同时废止。如遇国家、北京市、通州区重大政策调整，本实施细则将相应调整。</w:t>
      </w:r>
      <w:r>
        <w:rPr>
          <w:rFonts w:eastAsia="仿宋_GB2312"/>
          <w:sz w:val="32"/>
          <w:szCs w:val="32"/>
          <w:lang w:bidi="ar"/>
        </w:rPr>
        <w:t>各条款之间</w:t>
      </w:r>
      <w:r>
        <w:rPr>
          <w:rFonts w:hint="eastAsia" w:eastAsia="仿宋_GB2312"/>
          <w:sz w:val="32"/>
          <w:szCs w:val="32"/>
          <w:lang w:bidi="ar"/>
        </w:rPr>
        <w:t>及</w:t>
      </w:r>
      <w:r>
        <w:rPr>
          <w:rFonts w:eastAsia="仿宋_GB2312"/>
          <w:sz w:val="32"/>
          <w:szCs w:val="32"/>
          <w:lang w:bidi="ar"/>
        </w:rPr>
        <w:t>通州区其他支持政策</w:t>
      </w:r>
      <w:r>
        <w:rPr>
          <w:rFonts w:hint="eastAsia" w:eastAsia="仿宋_GB2312"/>
          <w:sz w:val="32"/>
          <w:szCs w:val="32"/>
          <w:lang w:bidi="ar"/>
        </w:rPr>
        <w:t>择</w:t>
      </w:r>
      <w:r>
        <w:rPr>
          <w:rFonts w:eastAsia="仿宋_GB2312"/>
          <w:sz w:val="32"/>
          <w:szCs w:val="32"/>
          <w:lang w:bidi="ar"/>
        </w:rPr>
        <w:t>优不重复支持。本实施细则由通州区文化和旅游局负责解释。</w:t>
      </w:r>
    </w:p>
    <w:p>
      <w:pPr>
        <w:spacing w:line="600" w:lineRule="exact"/>
        <w:rPr>
          <w:szCs w:val="21"/>
        </w:rPr>
      </w:pPr>
      <w:r>
        <w:rPr>
          <w:szCs w:val="21"/>
          <w:lang w:bidi="ar"/>
        </w:rPr>
        <w:t xml:space="preserve"> </w:t>
      </w:r>
    </w:p>
    <w:bookmarkEnd w:id="2"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0962310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39"/>
    <w:rsid w:val="00033FE8"/>
    <w:rsid w:val="00060A87"/>
    <w:rsid w:val="000813A0"/>
    <w:rsid w:val="000A0B06"/>
    <w:rsid w:val="000A5635"/>
    <w:rsid w:val="000D1771"/>
    <w:rsid w:val="0011505C"/>
    <w:rsid w:val="001300F0"/>
    <w:rsid w:val="001B1AFB"/>
    <w:rsid w:val="001B2D29"/>
    <w:rsid w:val="001D5A9C"/>
    <w:rsid w:val="001F55D8"/>
    <w:rsid w:val="002232D5"/>
    <w:rsid w:val="002459EA"/>
    <w:rsid w:val="00290B67"/>
    <w:rsid w:val="002E3C19"/>
    <w:rsid w:val="0030210B"/>
    <w:rsid w:val="00302724"/>
    <w:rsid w:val="003145DA"/>
    <w:rsid w:val="003A607B"/>
    <w:rsid w:val="003C4A11"/>
    <w:rsid w:val="00422587"/>
    <w:rsid w:val="00425D29"/>
    <w:rsid w:val="004719CB"/>
    <w:rsid w:val="00496D1A"/>
    <w:rsid w:val="004E4AFA"/>
    <w:rsid w:val="00505D4C"/>
    <w:rsid w:val="00543161"/>
    <w:rsid w:val="0055259C"/>
    <w:rsid w:val="0056012A"/>
    <w:rsid w:val="005C16F3"/>
    <w:rsid w:val="005D4B6D"/>
    <w:rsid w:val="00612D40"/>
    <w:rsid w:val="006814C4"/>
    <w:rsid w:val="006A2C71"/>
    <w:rsid w:val="006B1270"/>
    <w:rsid w:val="006B494F"/>
    <w:rsid w:val="006F0388"/>
    <w:rsid w:val="007331E3"/>
    <w:rsid w:val="00753A33"/>
    <w:rsid w:val="007B2A01"/>
    <w:rsid w:val="007C5022"/>
    <w:rsid w:val="007F1558"/>
    <w:rsid w:val="008257BD"/>
    <w:rsid w:val="008465AF"/>
    <w:rsid w:val="00853A09"/>
    <w:rsid w:val="00863184"/>
    <w:rsid w:val="00864CC0"/>
    <w:rsid w:val="008658BF"/>
    <w:rsid w:val="00873FA9"/>
    <w:rsid w:val="00890145"/>
    <w:rsid w:val="008A09EA"/>
    <w:rsid w:val="008A4F4E"/>
    <w:rsid w:val="008C598B"/>
    <w:rsid w:val="008D29BE"/>
    <w:rsid w:val="008D5CE4"/>
    <w:rsid w:val="009223EE"/>
    <w:rsid w:val="009316E6"/>
    <w:rsid w:val="00931D23"/>
    <w:rsid w:val="00936224"/>
    <w:rsid w:val="009410A3"/>
    <w:rsid w:val="00971E48"/>
    <w:rsid w:val="009858AA"/>
    <w:rsid w:val="009860D4"/>
    <w:rsid w:val="00990047"/>
    <w:rsid w:val="0099042B"/>
    <w:rsid w:val="009B3197"/>
    <w:rsid w:val="009B4D22"/>
    <w:rsid w:val="009B531C"/>
    <w:rsid w:val="009D0559"/>
    <w:rsid w:val="00A07492"/>
    <w:rsid w:val="00A112C3"/>
    <w:rsid w:val="00A57E44"/>
    <w:rsid w:val="00A742E4"/>
    <w:rsid w:val="00A86009"/>
    <w:rsid w:val="00AB4650"/>
    <w:rsid w:val="00AD0D6D"/>
    <w:rsid w:val="00AD1F40"/>
    <w:rsid w:val="00AE459F"/>
    <w:rsid w:val="00AF4832"/>
    <w:rsid w:val="00B01A97"/>
    <w:rsid w:val="00B202CC"/>
    <w:rsid w:val="00B23391"/>
    <w:rsid w:val="00B3273D"/>
    <w:rsid w:val="00B54975"/>
    <w:rsid w:val="00BA46AC"/>
    <w:rsid w:val="00BA5796"/>
    <w:rsid w:val="00BB1F69"/>
    <w:rsid w:val="00BB6645"/>
    <w:rsid w:val="00BE21D4"/>
    <w:rsid w:val="00BF72A6"/>
    <w:rsid w:val="00C24F17"/>
    <w:rsid w:val="00C26C3B"/>
    <w:rsid w:val="00C62B89"/>
    <w:rsid w:val="00C925E1"/>
    <w:rsid w:val="00D05618"/>
    <w:rsid w:val="00D411AE"/>
    <w:rsid w:val="00D74D0E"/>
    <w:rsid w:val="00DC3D95"/>
    <w:rsid w:val="00DC5819"/>
    <w:rsid w:val="00DD1B61"/>
    <w:rsid w:val="00DD4434"/>
    <w:rsid w:val="00E007B5"/>
    <w:rsid w:val="00E248DF"/>
    <w:rsid w:val="00E333FB"/>
    <w:rsid w:val="00E40299"/>
    <w:rsid w:val="00E46009"/>
    <w:rsid w:val="00E47465"/>
    <w:rsid w:val="00E90AB0"/>
    <w:rsid w:val="00E928C4"/>
    <w:rsid w:val="00EA4EB4"/>
    <w:rsid w:val="00ED2A11"/>
    <w:rsid w:val="00F1191B"/>
    <w:rsid w:val="00F26F5C"/>
    <w:rsid w:val="00F410A7"/>
    <w:rsid w:val="00F753BB"/>
    <w:rsid w:val="00FC07D9"/>
    <w:rsid w:val="00FC0AD1"/>
    <w:rsid w:val="00FC6F39"/>
    <w:rsid w:val="00FD3F91"/>
    <w:rsid w:val="00FD5A76"/>
    <w:rsid w:val="96E7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uppressAutoHyphens/>
      <w:spacing w:line="600" w:lineRule="exact"/>
      <w:jc w:val="center"/>
      <w:outlineLvl w:val="0"/>
    </w:pPr>
    <w:rPr>
      <w:rFonts w:eastAsia="方正小标宋简体"/>
      <w:kern w:val="44"/>
      <w:sz w:val="44"/>
      <w:szCs w:val="20"/>
    </w:rPr>
  </w:style>
  <w:style w:type="paragraph" w:styleId="5">
    <w:name w:val="heading 2"/>
    <w:basedOn w:val="1"/>
    <w:next w:val="6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3">
    <w:name w:val="index 1"/>
    <w:basedOn w:val="1"/>
    <w:next w:val="1"/>
    <w:semiHidden/>
    <w:unhideWhenUsed/>
    <w:qFormat/>
    <w:uiPriority w:val="99"/>
  </w:style>
  <w:style w:type="paragraph" w:styleId="6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7">
    <w:name w:val="annotation text"/>
    <w:basedOn w:val="1"/>
    <w:link w:val="19"/>
    <w:unhideWhenUsed/>
    <w:qFormat/>
    <w:uiPriority w:val="99"/>
    <w:pPr>
      <w:spacing w:after="160"/>
      <w:jc w:val="left"/>
    </w:pPr>
    <w:rPr>
      <w:rFonts w:asciiTheme="minorHAnsi" w:hAnsiTheme="minorHAnsi" w:eastAsiaTheme="minorEastAsia" w:cstheme="minorBidi"/>
      <w:szCs w:val="22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link w:val="18"/>
    <w:unhideWhenUsed/>
    <w:qFormat/>
    <w:uiPriority w:val="99"/>
    <w:pPr>
      <w:spacing w:line="500" w:lineRule="exact"/>
      <w:ind w:firstLine="420" w:firstLineChars="1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标题 1 字符"/>
    <w:basedOn w:val="12"/>
    <w:link w:val="4"/>
    <w:qFormat/>
    <w:uiPriority w:val="0"/>
    <w:rPr>
      <w:rFonts w:ascii="Times New Roman" w:hAnsi="Times New Roman" w:eastAsia="方正小标宋简体" w:cs="Times New Roman"/>
      <w:kern w:val="44"/>
      <w:sz w:val="44"/>
      <w:szCs w:val="20"/>
      <w14:ligatures w14:val="none"/>
    </w:rPr>
  </w:style>
  <w:style w:type="character" w:customStyle="1" w:styleId="14">
    <w:name w:val="页眉 字符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5">
    <w:name w:val="页脚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6">
    <w:name w:val="标题 2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7">
    <w:name w:val="正文文本 字符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8">
    <w:name w:val="正文文本首行缩进 字符"/>
    <w:basedOn w:val="17"/>
    <w:link w:val="10"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9">
    <w:name w:val="批注文字 字符"/>
    <w:basedOn w:val="12"/>
    <w:link w:val="7"/>
    <w:qFormat/>
    <w:uiPriority w:val="99"/>
    <w:rPr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</Words>
  <Characters>1123</Characters>
  <Lines>9</Lines>
  <Paragraphs>2</Paragraphs>
  <TotalTime>3</TotalTime>
  <ScaleCrop>false</ScaleCrop>
  <LinksUpToDate>false</LinksUpToDate>
  <CharactersWithSpaces>1317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2025-02-12T10:45:00Z</dcterms:created>
  <dc:creator>sibo ma</dc:creator>
  <cp:lastModifiedBy>user</cp:lastModifiedBy>
  <cp:lastPrinted>2024-12-17T13:23:00Z</cp:lastPrinted>
  <dcterms:modified xsi:type="dcterms:W3CDTF">2025-02-18T13:59:36Z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