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Style w:val="16"/>
          <w:rFonts w:hint="default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16"/>
          <w:rFonts w:ascii="黑体" w:hAnsi="黑体" w:eastAsia="黑体"/>
          <w:kern w:val="2"/>
          <w:sz w:val="32"/>
          <w:szCs w:val="32"/>
          <w:lang w:val="en-US" w:eastAsia="zh-CN" w:bidi="ar-SA"/>
        </w:rPr>
        <w:t>附件</w:t>
      </w:r>
      <w:r>
        <w:rPr>
          <w:rStyle w:val="16"/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Style w:val="16"/>
          <w:rFonts w:ascii="方正小标宋简体" w:eastAsia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baseline"/>
        <w:outlineLvl w:val="9"/>
        <w:rPr>
          <w:rStyle w:val="16"/>
          <w:rFonts w:ascii="方正小标宋简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16"/>
          <w:rFonts w:ascii="方正小标宋简体" w:eastAsia="方正小标宋简体"/>
          <w:kern w:val="2"/>
          <w:sz w:val="44"/>
          <w:szCs w:val="44"/>
          <w:lang w:val="en-US" w:eastAsia="zh-CN" w:bidi="ar-SA"/>
        </w:rPr>
        <w:t>关于《顺义区污染防治攻坚战202</w:t>
      </w:r>
      <w:r>
        <w:rPr>
          <w:rStyle w:val="16"/>
          <w:rFonts w:hint="eastAsia" w:ascii="方正小标宋简体" w:eastAsia="方正小标宋简体"/>
          <w:kern w:val="2"/>
          <w:sz w:val="44"/>
          <w:szCs w:val="44"/>
          <w:lang w:val="en-US" w:eastAsia="zh-CN" w:bidi="ar-SA"/>
        </w:rPr>
        <w:t>5</w:t>
      </w:r>
      <w:r>
        <w:rPr>
          <w:rStyle w:val="16"/>
          <w:rFonts w:ascii="方正小标宋简体" w:eastAsia="方正小标宋简体"/>
          <w:kern w:val="2"/>
          <w:sz w:val="44"/>
          <w:szCs w:val="44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baseline"/>
        <w:outlineLvl w:val="9"/>
        <w:rPr>
          <w:rStyle w:val="16"/>
          <w:rFonts w:ascii="仿宋_GB2312" w:hAnsi="黑体" w:eastAsia="仿宋_GB2312"/>
          <w:kern w:val="2"/>
          <w:sz w:val="32"/>
          <w:szCs w:val="32"/>
          <w:lang w:val="en-US" w:eastAsia="zh-CN" w:bidi="ar-SA"/>
        </w:rPr>
      </w:pPr>
      <w:r>
        <w:rPr>
          <w:rStyle w:val="16"/>
          <w:rFonts w:ascii="方正小标宋简体" w:eastAsia="方正小标宋简体"/>
          <w:kern w:val="2"/>
          <w:sz w:val="44"/>
          <w:szCs w:val="44"/>
          <w:lang w:val="en-US" w:eastAsia="zh-CN" w:bidi="ar-SA"/>
        </w:rPr>
        <w:t>行动计划</w:t>
      </w:r>
      <w:r>
        <w:rPr>
          <w:rStyle w:val="16"/>
          <w:rFonts w:hint="eastAsia" w:ascii="方正小标宋简体" w:eastAsia="方正小标宋简体"/>
          <w:kern w:val="2"/>
          <w:sz w:val="44"/>
          <w:szCs w:val="44"/>
          <w:lang w:val="en-US" w:eastAsia="zh-CN" w:bidi="ar-SA"/>
        </w:rPr>
        <w:t>（征求意见稿）</w:t>
      </w:r>
      <w:r>
        <w:rPr>
          <w:rStyle w:val="16"/>
          <w:rFonts w:ascii="方正小标宋简体" w:eastAsia="方正小标宋简体"/>
          <w:kern w:val="2"/>
          <w:sz w:val="44"/>
          <w:szCs w:val="44"/>
          <w:lang w:val="en-US" w:eastAsia="zh-CN" w:bidi="ar-SA"/>
        </w:rPr>
        <w:t>》的起草说明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Style w:val="16"/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6"/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背景依据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2025年是全面贯彻党的二十届三中全会精神的关键一年，也是“十四五”规划的收官之年</w:t>
      </w:r>
      <w:r>
        <w:rPr>
          <w:rFonts w:hint="eastAsia" w:ascii="宋体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_GB2312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为“十五五”良好开局打牢基础的谋篇布局之年。为深刻把握习近平生态文明思想的实践要求</w:t>
      </w:r>
      <w:r>
        <w:rPr>
          <w:rFonts w:hint="eastAsia" w:ascii="宋体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，坚定不移贯彻新发展理念，保持加强生态文明建设的战略定力，处理好发展与保护的关系，以生态环境高水平保护推动经济高质量发展，推进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我区</w:t>
      </w:r>
      <w:r>
        <w:rPr>
          <w:rFonts w:hint="eastAsia" w:ascii="仿宋_GB2312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生态环境质量持续改善，</w:t>
      </w:r>
      <w:r>
        <w:rPr>
          <w:rFonts w:hint="eastAsia" w:ascii="宋体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美丽顺义建设成效稳步提升。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在对标</w:t>
      </w:r>
      <w:r>
        <w:rPr>
          <w:rFonts w:hint="eastAsia" w:ascii="仿宋_GB2312" w:hAnsi="宋体" w:eastAsia="仿宋_GB2312" w:cs="Times New Roman"/>
          <w:color w:val="0D0D0D"/>
          <w:kern w:val="2"/>
          <w:sz w:val="32"/>
          <w:szCs w:val="32"/>
          <w:highlight w:val="none"/>
          <w:lang w:val="en-US" w:eastAsia="zh-CN" w:bidi="ar-SA"/>
        </w:rPr>
        <w:t>《推进美丽北京建设 持续深入打好污染防治攻坚战2025年行动计划》（京政办发〔2025〕3号）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的基础上，区生态环境局紧密结合区域实际，牵头起草了《顺义区污染防治攻坚战2025年行动计划（征求意见稿）》（以下简称《行动计划》）。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主要指标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宋体" w:cs="Times New Roman"/>
          <w:b w:val="0"/>
          <w:bCs w:val="0"/>
          <w:color w:val="auto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单位地区生产总值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二氧化碳排放较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2020年累计下降19%左右；全区PM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vertAlign w:val="subscript"/>
          <w:lang w:val="en-US" w:eastAsia="zh-CN"/>
        </w:rPr>
        <w:t>2.5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年均浓度不高于30微克/立方米，优良天数比率达到78%，重污染天数不超过3天；降尘量控制在5吨/平方公里·月左右（扣除沙尘影响）；国市考断面水质达标率100%，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优良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水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体占比50%以上，无劣Ⅴ类水体；受污染耕地安全利用率100%，重点建设用地安全利用率100%；氮氧化物（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NOx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）重点工程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累计减排量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1800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吨，挥发性有机物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（VOCs）重点工程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累计减排量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640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吨，化学需氧量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（COD）重点工程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累计减排量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2540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吨，氨氮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（NH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vertAlign w:val="subscript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-N）重点工程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累计减排量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290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吨；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全区生态环境质量指数（EI）稳中向好。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《行动计划》延续了蓝天、碧水、净土保卫战和应对气候变化、生态保护行动计划五大部分，共涉及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27项102条内容。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rPr>
          <w:rFonts w:hint="eastAsia" w:ascii="仿宋_GB2312" w:hAnsi="宋体" w:eastAsia="宋体" w:cs="Times New Roman"/>
          <w:b w:val="0"/>
          <w:bCs w:val="0"/>
          <w:color w:val="auto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实施“0.1微克”攻坚行动，打好蓝天保卫战。一是推动结构减排，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大力推广应用新能源车，加快公交、环卫、物流、商超、快递等重点行业车辆新能源化，推进非道路移动机械清洁化。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二是推动工程减排，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促进重点产业园区及重点行业企业绿色升级，继续开展绩效评级“创A退D”工作。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三是推动管理减排，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突出城市精细化治理，实施扬尘专项治理百日攻坚行动，围绕施工扬尘、道路扬尘、裸地扬尘、外来沙尘加强“四尘”共治，以“绣花功夫”让城市更加清洁。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四是推动创新引领，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深化机动车（械）“含绿量”提升、清洁能源、城市精细化治理等示范项目。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加强大气环境治理保障支撑，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加强区域大气联防联控，强化科技标准支撑、监测能力建设。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rPr>
          <w:rFonts w:hint="eastAsia" w:ascii="仿宋_GB2312" w:hAnsi="宋体" w:eastAsia="宋体" w:cs="Times New Roman"/>
          <w:b/>
          <w:bCs/>
          <w:color w:val="0D0D0D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0D0D0D"/>
          <w:kern w:val="2"/>
          <w:sz w:val="32"/>
          <w:szCs w:val="32"/>
          <w:highlight w:val="none"/>
          <w:lang w:val="en-US" w:eastAsia="zh-CN" w:bidi="ar-SA"/>
        </w:rPr>
        <w:t>深化“三水统筹”，打赢碧水保卫战。一是保护水资源。</w:t>
      </w:r>
      <w:r>
        <w:rPr>
          <w:rFonts w:hint="eastAsia" w:ascii="仿宋_GB2312" w:hAnsi="宋体" w:eastAsia="仿宋_GB2312" w:cs="Times New Roman"/>
          <w:b w:val="0"/>
          <w:bCs w:val="0"/>
          <w:color w:val="0D0D0D"/>
          <w:kern w:val="2"/>
          <w:sz w:val="32"/>
          <w:szCs w:val="32"/>
          <w:highlight w:val="none"/>
          <w:lang w:val="en-US" w:eastAsia="zh-CN" w:bidi="ar-SA"/>
        </w:rPr>
        <w:t>加强饮用水、地下水保护，持续推进节水型社会建设。</w:t>
      </w:r>
      <w:r>
        <w:rPr>
          <w:rFonts w:hint="eastAsia" w:ascii="仿宋_GB2312" w:hAnsi="宋体" w:eastAsia="仿宋_GB2312" w:cs="Times New Roman"/>
          <w:b/>
          <w:bCs/>
          <w:color w:val="0D0D0D"/>
          <w:kern w:val="2"/>
          <w:sz w:val="32"/>
          <w:szCs w:val="32"/>
          <w:highlight w:val="none"/>
          <w:lang w:val="en-US" w:eastAsia="zh-CN" w:bidi="ar-SA"/>
        </w:rPr>
        <w:t>二是治理水环境。</w:t>
      </w:r>
      <w:r>
        <w:rPr>
          <w:rFonts w:hint="eastAsia" w:ascii="仿宋_GB2312" w:hAnsi="宋体" w:eastAsia="仿宋_GB2312" w:cs="Times New Roman"/>
          <w:b w:val="0"/>
          <w:bCs w:val="0"/>
          <w:color w:val="0D0D0D"/>
          <w:kern w:val="2"/>
          <w:sz w:val="32"/>
          <w:szCs w:val="32"/>
          <w:highlight w:val="none"/>
          <w:lang w:val="en-US" w:eastAsia="zh-CN" w:bidi="ar-SA"/>
        </w:rPr>
        <w:t>加强城镇、农村、工业等领域水污染治理并巩固整治成效，深化跨部门、跨区域监管执法，持续完善水生态领域“三监联动”机制。</w:t>
      </w:r>
      <w:r>
        <w:rPr>
          <w:rFonts w:hint="eastAsia" w:ascii="仿宋_GB2312" w:hAnsi="宋体" w:eastAsia="仿宋_GB2312" w:cs="Times New Roman"/>
          <w:b/>
          <w:bCs/>
          <w:color w:val="0D0D0D"/>
          <w:kern w:val="2"/>
          <w:sz w:val="32"/>
          <w:szCs w:val="32"/>
          <w:highlight w:val="none"/>
          <w:lang w:val="en-US" w:eastAsia="zh-CN" w:bidi="ar-SA"/>
        </w:rPr>
        <w:t>三是修复水生态。</w:t>
      </w:r>
      <w:r>
        <w:rPr>
          <w:rFonts w:hint="eastAsia" w:ascii="仿宋_GB2312" w:hAnsi="宋体" w:eastAsia="仿宋_GB2312" w:cs="Times New Roman"/>
          <w:b w:val="0"/>
          <w:bCs w:val="0"/>
          <w:color w:val="0D0D0D"/>
          <w:kern w:val="2"/>
          <w:sz w:val="32"/>
          <w:szCs w:val="32"/>
          <w:highlight w:val="none"/>
          <w:lang w:val="en-US" w:eastAsia="zh-CN" w:bidi="ar-SA"/>
        </w:rPr>
        <w:t>推进美丽河湖保护与建设，保障重点河流生态流量，提升水生态系统健康，加强生态环境监测和评价。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0D0D0D"/>
          <w:kern w:val="2"/>
          <w:sz w:val="32"/>
          <w:szCs w:val="32"/>
          <w:highlight w:val="none"/>
          <w:lang w:val="en-US" w:eastAsia="zh-CN" w:bidi="ar-SA"/>
        </w:rPr>
        <w:t>“三地”齐抓共管，打响净土保卫战。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一是有效保障建设用地安全利用。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持续开展土壤污染防治现状调查，强化建设用地风险管控。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二是有效保障农用地安全利用。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深入开展农用地分类管理，加强农业面源污染治理，推进农村环境整治，保障农用地安全利用。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三是持续完善未利用地保护管理。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完善未利用地闭合管控，防控未利用地土壤污染。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四是强化固体废物管理。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加强新污染物治理，推动“无废城市”建设。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rPr>
          <w:rFonts w:hint="eastAsia" w:ascii="仿宋_GB2312" w:hAnsi="宋体" w:eastAsia="宋体" w:cs="Times New Roman"/>
          <w:b/>
          <w:bCs/>
          <w:color w:val="0D0D0D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0D0D0D"/>
          <w:kern w:val="2"/>
          <w:sz w:val="32"/>
          <w:szCs w:val="32"/>
          <w:highlight w:val="none"/>
          <w:lang w:val="en-US" w:eastAsia="zh-CN" w:bidi="ar-SA"/>
        </w:rPr>
        <w:t>积极应对气候变化，促进绿色低碳发展。</w:t>
      </w: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一是完善应对气候变化综合管理体系。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强化碳排放双控制度，落实碳排放权交易要求，深化低碳试点示范。</w:t>
      </w: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二是深入推进重点领域温室气体排放控制。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聚焦能源、产业、建筑、供热、交通、农业等领域的低碳化发展，深挖减排潜力，全面提升生态系统应对气候变化能力。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三是加强城市气候适应性建设。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提升适应气候变化能力，加强海绵城市建设，提升监测预警能力。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四是强化综合保障和能力建设。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提升统计核算和数据管理能力，强化经济政策支持，加强宣传引导教育力度，积极参加交流合作。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left"/>
        <w:rPr>
          <w:rFonts w:hint="eastAsia" w:ascii="仿宋_GB2312" w:hAnsi="宋体" w:eastAsia="宋体" w:cs="Times New Roman"/>
          <w:b/>
          <w:bCs/>
          <w:color w:val="0D0D0D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color w:val="0D0D0D"/>
          <w:kern w:val="2"/>
          <w:sz w:val="32"/>
          <w:szCs w:val="32"/>
          <w:highlight w:val="none"/>
          <w:lang w:val="en-US" w:eastAsia="zh-CN" w:bidi="ar-SA"/>
        </w:rPr>
        <w:t>全面加强生态保护，提升生态系统质量和稳定性。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一是强化生物多样性保护。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加强监测评估，强化外来入侵物种防控，保护重点生物遗传资源。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二是维护生态空间格局稳定性。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加强重要生态空间和资源开发利用活动监督监管，统筹推进实施生态保护修复，推动建设温榆河高品质森林湿地公园。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三是促进生态保护可持续发展。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推进区域生态协同治理，开展生态环境质量评价，推进生态环境质量指数（EI）、GEP-R和建成区绿视率提升，不断提高公众对生物多样性保护的认知度和参与度。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6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四、创新特点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在对标市级行动计划的基础上，区生态环境局紧密结合区域实际，增加了强化跨流域联防联控；开展重点行业工业企业土壤污染隐患排查和自行监测“回头看</w:t>
      </w:r>
      <w:r>
        <w:rPr>
          <w:rStyle w:val="16"/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；建立区、镇、村三级联动农村黑臭水体闭环工作机制等内容。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6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五、涉及范围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全区涉及生态环境保护、污染防治工作的相关职能部门，各镇政府、街道办事处、经济功能区管委会。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6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六、新旧政策差异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本年度行动计划延续</w:t>
      </w:r>
      <w:bookmarkStart w:id="0" w:name="_GoBack"/>
      <w:bookmarkEnd w:id="0"/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区生态环境质量持续向好目标，在原有政策基础上，进一步量化任务措施、细化责任分工，强化区级示范，协同推进降碳、减污、扩绿、增长，推动生态建设由绿量增长向品质提升转变。同时增加了强化跨流域联防联控；开展重点行业工业企业土壤污染隐患排查和自行监测“回头看</w:t>
      </w:r>
      <w:r>
        <w:rPr>
          <w:rStyle w:val="16"/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；建立区、镇、村三级联动农村黑臭水体闭环工作机制等内容，努力推动解决群众身边突出环境问题，让人民群众享受更多自然之美。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892E"/>
    <w:multiLevelType w:val="singleLevel"/>
    <w:tmpl w:val="007A89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DllNWE4ZDM2MmEwY2ViNDU3NjZmNDhkNjc3N2UifQ=="/>
  </w:docVars>
  <w:rsids>
    <w:rsidRoot w:val="2A6B0399"/>
    <w:rsid w:val="03362F35"/>
    <w:rsid w:val="04564348"/>
    <w:rsid w:val="099B2BAB"/>
    <w:rsid w:val="0F5773CD"/>
    <w:rsid w:val="13AA1FE0"/>
    <w:rsid w:val="16911C9F"/>
    <w:rsid w:val="22AD5FD7"/>
    <w:rsid w:val="24F15886"/>
    <w:rsid w:val="2A6B0399"/>
    <w:rsid w:val="2BF02686"/>
    <w:rsid w:val="2F5A7349"/>
    <w:rsid w:val="3BC0670D"/>
    <w:rsid w:val="422A2884"/>
    <w:rsid w:val="43771A01"/>
    <w:rsid w:val="439B16A9"/>
    <w:rsid w:val="46110386"/>
    <w:rsid w:val="48ED239A"/>
    <w:rsid w:val="4A962E19"/>
    <w:rsid w:val="4EF901E3"/>
    <w:rsid w:val="5A157610"/>
    <w:rsid w:val="65227F96"/>
    <w:rsid w:val="655129AA"/>
    <w:rsid w:val="663742DC"/>
    <w:rsid w:val="69357343"/>
    <w:rsid w:val="6A6E7DAE"/>
    <w:rsid w:val="7078573E"/>
    <w:rsid w:val="75645BBA"/>
    <w:rsid w:val="768F3172"/>
    <w:rsid w:val="771979D3"/>
    <w:rsid w:val="7CE96358"/>
    <w:rsid w:val="7F526EAB"/>
    <w:rsid w:val="7F6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0" w:lineRule="atLeast"/>
      <w:jc w:val="center"/>
    </w:pPr>
    <w:rPr>
      <w:rFonts w:ascii="方正仿宋_GB2312" w:hAnsi="Times New Roman" w:eastAsia="方正仿宋_GB2312" w:cs="Times New Roman"/>
      <w:sz w:val="32"/>
    </w:rPr>
  </w:style>
  <w:style w:type="paragraph" w:styleId="3">
    <w:name w:val="Body Text 2"/>
    <w:basedOn w:val="1"/>
    <w:unhideWhenUsed/>
    <w:qFormat/>
    <w:uiPriority w:val="0"/>
    <w:pPr>
      <w:ind w:firstLine="200" w:firstLineChars="200"/>
    </w:pPr>
    <w:rPr>
      <w:rFonts w:eastAsia="楷体_GB2312"/>
      <w:sz w:val="32"/>
    </w:rPr>
  </w:style>
  <w:style w:type="paragraph" w:styleId="4">
    <w:name w:val="table of authorities"/>
    <w:basedOn w:val="1"/>
    <w:next w:val="1"/>
    <w:qFormat/>
    <w:uiPriority w:val="0"/>
    <w:pPr>
      <w:spacing w:line="360" w:lineRule="auto"/>
      <w:ind w:left="420"/>
    </w:pPr>
  </w:style>
  <w:style w:type="paragraph" w:styleId="5">
    <w:name w:val="Block Text"/>
    <w:basedOn w:val="1"/>
    <w:qFormat/>
    <w:uiPriority w:val="0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  <w:lang w:bidi="ar-SA"/>
    </w:rPr>
  </w:style>
  <w:style w:type="paragraph" w:styleId="6">
    <w:name w:val="Plain Text"/>
    <w:basedOn w:val="1"/>
    <w:next w:val="7"/>
    <w:qFormat/>
    <w:uiPriority w:val="0"/>
    <w:rPr>
      <w:rFonts w:ascii="宋体" w:hAnsi="Courier New" w:cs="Courier New"/>
      <w:szCs w:val="21"/>
    </w:rPr>
  </w:style>
  <w:style w:type="paragraph" w:styleId="7">
    <w:name w:val="index 9"/>
    <w:basedOn w:val="1"/>
    <w:next w:val="1"/>
    <w:unhideWhenUsed/>
    <w:qFormat/>
    <w:uiPriority w:val="99"/>
    <w:pPr>
      <w:suppressAutoHyphens w:val="0"/>
      <w:ind w:left="1600" w:leftChars="1600"/>
    </w:pPr>
    <w:rPr>
      <w:rFonts w:cs="Calibri"/>
      <w:szCs w:val="21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2"/>
    <w:next w:val="12"/>
    <w:unhideWhenUsed/>
    <w:qFormat/>
    <w:uiPriority w:val="99"/>
    <w:pPr>
      <w:ind w:firstLine="420" w:firstLineChars="100"/>
    </w:pPr>
    <w:rPr>
      <w:rFonts w:eastAsia="宋体" w:cs="宋体"/>
      <w:sz w:val="30"/>
    </w:rPr>
  </w:style>
  <w:style w:type="paragraph" w:styleId="12">
    <w:name w:val="Body Text First Indent 2"/>
    <w:basedOn w:val="1"/>
    <w:next w:val="1"/>
    <w:semiHidden/>
    <w:unhideWhenUsed/>
    <w:qFormat/>
    <w:uiPriority w:val="0"/>
    <w:pPr>
      <w:adjustRightInd w:val="0"/>
      <w:snapToGrid w:val="0"/>
      <w:ind w:firstLine="420" w:firstLineChars="200"/>
    </w:pPr>
  </w:style>
  <w:style w:type="paragraph" w:customStyle="1" w:styleId="15">
    <w:name w:val="常用正文"/>
    <w:qFormat/>
    <w:uiPriority w:val="0"/>
    <w:pPr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sz w:val="32"/>
      <w:lang w:val="en-US" w:eastAsia="zh-CN" w:bidi="ar-SA"/>
    </w:rPr>
  </w:style>
  <w:style w:type="character" w:customStyle="1" w:styleId="16">
    <w:name w:val="NormalCharacter"/>
    <w:link w:val="17"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paragraph" w:customStyle="1" w:styleId="17">
    <w:name w:val="UserStyle_8"/>
    <w:basedOn w:val="1"/>
    <w:link w:val="16"/>
    <w:qFormat/>
    <w:uiPriority w:val="0"/>
    <w:pPr>
      <w:spacing w:line="240" w:lineRule="auto"/>
      <w:jc w:val="both"/>
      <w:textAlignment w:val="baseline"/>
    </w:pPr>
    <w:rPr>
      <w:rFonts w:ascii="宋体" w:hAnsi="宋体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2023-01-19T00:59:00Z</dcterms:created>
  <dc:creator>aaa</dc:creator>
  <cp:lastModifiedBy>宥丛</cp:lastModifiedBy>
  <cp:lastPrinted>2024-01-31T02:09:00Z</cp:lastPrinted>
  <dcterms:modified xsi:type="dcterms:W3CDTF">2025-02-11T03:07:34Z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52DA3ECE3B7C4A038AA823D349B52B79_12</vt:lpwstr>
  </property>
</Properties>
</file>