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120" w:line="560" w:lineRule="exact"/>
        <w:ind w:left="401" w:leftChars="191" w:right="443" w:rightChars="211" w:firstLine="11"/>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-334010</wp:posOffset>
                </wp:positionV>
                <wp:extent cx="1238250" cy="1122680"/>
                <wp:effectExtent l="0" t="0" r="6350" b="2032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238250" cy="496570"/>
                        </a:xfrm>
                        <a:prstGeom prst="rect">
                          <a:avLst/>
                        </a:prstGeom>
                        <a:solidFill>
                          <a:srgbClr val="FFFFFF"/>
                        </a:solidFill>
                        <a:ln w="9525">
                          <a:noFill/>
                          <a:miter lim="800000"/>
                        </a:ln>
                        <a:effectLst/>
                      </wps:spPr>
                      <wps:txbx>
                        <w:txbxContent>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pt;margin-top:-26.3pt;height:88.4pt;width:97.5pt;z-index:251659264;mso-width-relative:page;mso-height-relative:margin;mso-height-percent:200;" fillcolor="#FFFFFF" filled="t" stroked="f" coordsize="21600,21600" o:gfxdata="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ApqvzYAAAACwEAAA8AAAAAAAAAAQAgAAAAIgAAAGRy&#10;cy9kb3ducmV2LnhtbFBLAQIUABQAAAAIAIdO4kC9mJgkPgIAAGAEAAAOAAAAAAAAAAEAIAAAACcB&#10;AABkcnMvZTJvRG9jLnhtbFBLBQYAAAAABgAGAFkBAADXBQAAAAA=&#10;">
                <v:fill on="t" focussize="0,0"/>
                <v:stroke on="f" miterlimit="8" joinstyle="miter"/>
                <v:imagedata o:title=""/>
                <o:lock v:ext="edit" aspectratio="f"/>
                <v:textbox style="mso-fit-shape-to-text:t;">
                  <w:txbxContent>
                    <w:p/>
                  </w:txbxContent>
                </v:textbox>
              </v:shape>
            </w:pict>
          </mc:Fallback>
        </mc:AlternateContent>
      </w:r>
      <w:r>
        <w:rPr>
          <w:rFonts w:hint="eastAsia" w:ascii="方正小标宋简体" w:hAnsi="方正小标宋简体" w:eastAsia="方正小标宋简体" w:cs="方正小标宋简体"/>
          <w:color w:val="000000"/>
          <w:kern w:val="0"/>
          <w:sz w:val="44"/>
          <w:szCs w:val="44"/>
          <w:lang w:eastAsia="zh-CN"/>
        </w:rPr>
        <w:t>北京市石景山区持续</w:t>
      </w:r>
      <w:r>
        <w:rPr>
          <w:rFonts w:hint="eastAsia" w:ascii="方正小标宋简体" w:hAnsi="方正小标宋简体" w:eastAsia="方正小标宋简体" w:cs="方正小标宋简体"/>
          <w:sz w:val="44"/>
          <w:szCs w:val="44"/>
        </w:rPr>
        <w:t>深入打好污染防治攻坚战202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年行动计划</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为深入贯彻落实习近平生态文明思想和全国、全市生态环境保护大会精神，全面推动</w:t>
      </w:r>
      <w:r>
        <w:rPr>
          <w:rFonts w:hint="eastAsia" w:ascii="仿宋_GB2312" w:hAnsi="仿宋_GB2312" w:eastAsia="仿宋_GB2312" w:cs="仿宋_GB2312"/>
          <w:sz w:val="32"/>
          <w:szCs w:val="32"/>
          <w:lang w:eastAsia="zh-CN"/>
        </w:rPr>
        <w:t>石景山</w:t>
      </w:r>
      <w:r>
        <w:rPr>
          <w:rFonts w:hint="eastAsia" w:ascii="仿宋_GB2312" w:hAnsi="仿宋_GB2312" w:eastAsia="仿宋_GB2312" w:cs="仿宋_GB2312"/>
          <w:sz w:val="32"/>
          <w:szCs w:val="32"/>
        </w:rPr>
        <w:t>区生态环境质量进一步提升，按照北京市污染防治工作总体要求，</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《北京市石景山区持续</w:t>
      </w:r>
      <w:r>
        <w:rPr>
          <w:rFonts w:hint="eastAsia" w:ascii="仿宋_GB2312" w:hAnsi="仿宋_GB2312" w:eastAsia="仿宋_GB2312" w:cs="仿宋_GB2312"/>
          <w:sz w:val="32"/>
          <w:szCs w:val="32"/>
        </w:rPr>
        <w:t>深入打好污染防治攻坚战202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年行动计划</w:t>
      </w:r>
      <w:r>
        <w:rPr>
          <w:rFonts w:hint="eastAsia" w:ascii="仿宋_GB2312" w:hAnsi="仿宋_GB2312" w:eastAsia="仿宋_GB2312" w:cs="仿宋_GB2312"/>
          <w:sz w:val="32"/>
          <w:szCs w:val="32"/>
          <w:lang w:eastAsia="zh-CN"/>
        </w:rPr>
        <w:t>（征求意见稿）》，共包括</w:t>
      </w:r>
      <w:r>
        <w:rPr>
          <w:rFonts w:hint="eastAsia" w:ascii="仿宋_GB2312" w:hAnsi="仿宋_GB2312" w:eastAsia="仿宋_GB2312" w:cs="仿宋_GB2312"/>
          <w:b w:val="0"/>
          <w:bCs w:val="0"/>
          <w:color w:val="auto"/>
          <w:sz w:val="32"/>
          <w:szCs w:val="32"/>
        </w:rPr>
        <w:t>蓝天保卫战、碧水保卫战、净土保卫战、应对气候变化、生态保护</w:t>
      </w:r>
      <w:r>
        <w:rPr>
          <w:rFonts w:hint="eastAsia" w:ascii="仿宋_GB2312" w:hAnsi="仿宋_GB2312" w:eastAsia="仿宋_GB2312" w:cs="仿宋_GB2312"/>
          <w:sz w:val="32"/>
          <w:szCs w:val="32"/>
          <w:lang w:val="en-US" w:eastAsia="zh-CN"/>
        </w:rPr>
        <w:t>五个方面</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lang w:eastAsia="zh-CN"/>
        </w:rPr>
        <w:t>项具体任务：蓝天保卫战行动计划</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eastAsia="zh-CN"/>
        </w:rPr>
        <w:t>项、碧水保卫战行动计划</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项、净土保卫战行动计划</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项、应对气候变化行动计划</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项、生态保护行动计划</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项。</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adjustRightInd w:val="0"/>
        <w:snapToGrid w:val="0"/>
        <w:spacing w:before="120" w:beforeLines="50" w:after="120" w:afterLines="50"/>
        <w:jc w:val="left"/>
        <w:rPr>
          <w:rFonts w:hint="eastAsia" w:ascii="黑体" w:hAnsi="黑体" w:eastAsia="黑体" w:cs="方正小标宋简体"/>
          <w:sz w:val="32"/>
          <w:szCs w:val="32"/>
        </w:rPr>
        <w:sectPr>
          <w:footerReference r:id="rId3" w:type="default"/>
          <w:pgSz w:w="11906" w:h="16838"/>
          <w:pgMar w:top="1440" w:right="1474" w:bottom="1440" w:left="1587" w:header="851" w:footer="992" w:gutter="0"/>
          <w:cols w:space="720" w:num="1"/>
          <w:rtlGutter w:val="0"/>
          <w:docGrid w:type="lines" w:linePitch="315" w:charSpace="0"/>
        </w:sectPr>
      </w:pPr>
    </w:p>
    <w:p>
      <w:pPr>
        <w:adjustRightInd w:val="0"/>
        <w:snapToGrid w:val="0"/>
        <w:spacing w:before="360" w:beforeLines="150" w:after="360" w:afterLines="15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石景山区蓝天保卫战202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年行动计划（征求意见稿）</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40"/>
        <w:gridCol w:w="5521"/>
        <w:gridCol w:w="1020"/>
        <w:gridCol w:w="382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7"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黑体" w:hAnsi="黑体" w:eastAsia="黑体" w:cs="黑体"/>
                <w:color w:val="auto"/>
                <w:szCs w:val="21"/>
              </w:rPr>
            </w:pPr>
            <w:r>
              <w:rPr>
                <w:rFonts w:hint="eastAsia" w:ascii="黑体" w:hAnsi="黑体" w:eastAsia="黑体" w:cs="黑体"/>
                <w:color w:val="auto"/>
                <w:szCs w:val="21"/>
              </w:rPr>
              <w:t>序号</w:t>
            </w:r>
          </w:p>
        </w:tc>
        <w:tc>
          <w:tcPr>
            <w:tcW w:w="367"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ascii="黑体" w:hAnsi="黑体" w:eastAsia="黑体" w:cs="黑体"/>
                <w:color w:val="auto"/>
                <w:szCs w:val="21"/>
              </w:rPr>
            </w:pPr>
            <w:r>
              <w:rPr>
                <w:rFonts w:hint="eastAsia" w:ascii="黑体" w:hAnsi="黑体" w:eastAsia="黑体" w:cs="黑体"/>
                <w:color w:val="auto"/>
                <w:szCs w:val="21"/>
              </w:rPr>
              <w:t>重点任务</w:t>
            </w:r>
          </w:p>
        </w:tc>
        <w:tc>
          <w:tcPr>
            <w:tcW w:w="1948"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ascii="黑体" w:hAnsi="黑体" w:eastAsia="黑体" w:cs="黑体"/>
                <w:color w:val="auto"/>
                <w:szCs w:val="21"/>
              </w:rPr>
            </w:pPr>
            <w:r>
              <w:rPr>
                <w:rFonts w:hint="eastAsia" w:ascii="黑体" w:hAnsi="黑体" w:eastAsia="黑体" w:cs="黑体"/>
                <w:color w:val="auto"/>
                <w:szCs w:val="21"/>
              </w:rPr>
              <w:t>工作措施</w:t>
            </w:r>
          </w:p>
        </w:tc>
        <w:tc>
          <w:tcPr>
            <w:tcW w:w="360"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ascii="黑体" w:hAnsi="黑体" w:eastAsia="黑体" w:cs="黑体"/>
                <w:color w:val="auto"/>
                <w:szCs w:val="21"/>
              </w:rPr>
            </w:pPr>
            <w:r>
              <w:rPr>
                <w:rFonts w:hint="eastAsia" w:ascii="黑体" w:hAnsi="黑体" w:eastAsia="黑体" w:cs="黑体"/>
                <w:color w:val="auto"/>
                <w:szCs w:val="21"/>
              </w:rPr>
              <w:t>完成时限</w:t>
            </w:r>
          </w:p>
        </w:tc>
        <w:tc>
          <w:tcPr>
            <w:tcW w:w="1351"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ascii="黑体" w:hAnsi="黑体" w:eastAsia="黑体" w:cs="黑体"/>
                <w:color w:val="auto"/>
                <w:szCs w:val="21"/>
              </w:rPr>
            </w:pPr>
            <w:r>
              <w:rPr>
                <w:rFonts w:hint="eastAsia" w:ascii="黑体" w:hAnsi="黑体" w:eastAsia="黑体" w:cs="黑体"/>
                <w:color w:val="auto"/>
                <w:szCs w:val="21"/>
              </w:rPr>
              <w:t>主责单位</w:t>
            </w:r>
          </w:p>
        </w:tc>
        <w:tc>
          <w:tcPr>
            <w:tcW w:w="733"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ascii="黑体" w:hAnsi="黑体" w:eastAsia="黑体" w:cs="黑体"/>
                <w:color w:val="auto"/>
                <w:szCs w:val="21"/>
              </w:rPr>
            </w:pPr>
            <w:r>
              <w:rPr>
                <w:rFonts w:hint="eastAsia" w:ascii="黑体" w:hAnsi="黑体" w:eastAsia="黑体" w:cs="黑体"/>
                <w:color w:val="auto"/>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ascii="宋体" w:hAnsi="宋体" w:cs="宋体"/>
                <w:color w:val="auto"/>
                <w:szCs w:val="21"/>
              </w:rPr>
            </w:pPr>
            <w:r>
              <w:rPr>
                <w:rFonts w:hint="eastAsia" w:ascii="黑体" w:hAnsi="黑体" w:eastAsia="黑体" w:cs="黑体"/>
                <w:color w:val="auto"/>
                <w:szCs w:val="21"/>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1</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空气质量目标</w:t>
            </w:r>
          </w:p>
        </w:tc>
        <w:tc>
          <w:tcPr>
            <w:tcW w:w="1948" w:type="pct"/>
            <w:tcBorders>
              <w:top w:val="single" w:color="auto" w:sz="4" w:space="0"/>
              <w:left w:val="nil"/>
              <w:bottom w:val="single" w:color="auto" w:sz="4" w:space="0"/>
              <w:right w:val="single" w:color="auto" w:sz="4" w:space="0"/>
            </w:tcBorders>
            <w:noWrap w:val="0"/>
            <w:vAlign w:val="center"/>
          </w:tcPr>
          <w:p>
            <w:pPr>
              <w:snapToGrid w:val="0"/>
              <w:spacing w:line="260" w:lineRule="exact"/>
              <w:rPr>
                <w:rFonts w:ascii="宋体" w:hAnsi="宋体" w:cs="宋体"/>
                <w:color w:val="auto"/>
                <w:szCs w:val="21"/>
              </w:rPr>
            </w:pPr>
            <w:r>
              <w:rPr>
                <w:rFonts w:hint="eastAsia" w:ascii="宋体" w:hAnsi="宋体" w:cs="宋体"/>
                <w:color w:val="auto"/>
                <w:szCs w:val="21"/>
              </w:rPr>
              <w:t>全力巩固空气质量改善成效，完成</w:t>
            </w:r>
            <w:r>
              <w:rPr>
                <w:rFonts w:hint="eastAsia" w:ascii="宋体" w:hAnsi="宋体" w:cs="宋体"/>
                <w:color w:val="auto"/>
                <w:szCs w:val="21"/>
                <w:lang w:eastAsia="zh-CN"/>
              </w:rPr>
              <w:t>北京市</w:t>
            </w:r>
            <w:r>
              <w:rPr>
                <w:rFonts w:hint="eastAsia" w:ascii="宋体" w:hAnsi="宋体" w:cs="宋体"/>
                <w:color w:val="auto"/>
                <w:szCs w:val="21"/>
              </w:rPr>
              <w:t>下达的目标要求，基本消除重污染天气。</w:t>
            </w:r>
          </w:p>
        </w:tc>
        <w:tc>
          <w:tcPr>
            <w:tcW w:w="360"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区生态环境局</w:t>
            </w:r>
          </w:p>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区城市管理委</w:t>
            </w:r>
          </w:p>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区经济和信息化局</w:t>
            </w:r>
          </w:p>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区住房城市建设委</w:t>
            </w:r>
          </w:p>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区园林绿化局</w:t>
            </w:r>
          </w:p>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区环卫中心等部门</w:t>
            </w:r>
          </w:p>
          <w:p>
            <w:pPr>
              <w:autoSpaceDE w:val="0"/>
              <w:snapToGrid w:val="0"/>
              <w:spacing w:line="260" w:lineRule="exact"/>
              <w:jc w:val="center"/>
              <w:rPr>
                <w:rFonts w:ascii="宋体" w:hAnsi="宋体" w:cs="宋体"/>
                <w:color w:val="auto"/>
                <w:szCs w:val="21"/>
              </w:rPr>
            </w:pPr>
            <w:r>
              <w:rPr>
                <w:rFonts w:hint="eastAsia" w:ascii="宋体" w:hAnsi="宋体" w:cs="宋体"/>
                <w:color w:val="auto"/>
                <w:kern w:val="0"/>
                <w:szCs w:val="21"/>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37" w:type="pct"/>
            <w:vMerge w:val="continue"/>
            <w:tcBorders>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367" w:type="pct"/>
            <w:vMerge w:val="continue"/>
            <w:tcBorders>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snapToGrid w:val="0"/>
              <w:spacing w:line="260" w:lineRule="exact"/>
              <w:rPr>
                <w:rFonts w:hint="eastAsia"/>
              </w:rPr>
            </w:pPr>
            <w:r>
              <w:rPr>
                <w:rFonts w:hint="eastAsia"/>
              </w:rPr>
              <w:t>各街道细颗粒物（PM</w:t>
            </w:r>
            <w:r>
              <w:rPr>
                <w:rFonts w:hint="eastAsia"/>
                <w:vertAlign w:val="subscript"/>
              </w:rPr>
              <w:t>2.5</w:t>
            </w:r>
            <w:r>
              <w:rPr>
                <w:rFonts w:hint="eastAsia"/>
              </w:rPr>
              <w:t>）、粗颗粒物（TSP）年均浓</w:t>
            </w:r>
            <w:r>
              <w:rPr>
                <w:rFonts w:hint="eastAsia"/>
                <w:lang w:eastAsia="zh-CN"/>
              </w:rPr>
              <w:t>度同比下降。</w:t>
            </w:r>
          </w:p>
        </w:tc>
        <w:tc>
          <w:tcPr>
            <w:tcW w:w="360"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r>
              <w:rPr>
                <w:rFonts w:hint="eastAsia" w:ascii="宋体"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autoSpaceDE w:val="0"/>
              <w:snapToGrid w:val="0"/>
              <w:spacing w:line="260" w:lineRule="exact"/>
              <w:jc w:val="center"/>
              <w:rPr>
                <w:rFonts w:hint="eastAsia" w:ascii="宋体" w:hAnsi="宋体" w:cs="宋体"/>
                <w:color w:val="auto"/>
                <w:kern w:val="0"/>
                <w:szCs w:val="21"/>
              </w:rPr>
            </w:pPr>
            <w:r>
              <w:rPr>
                <w:rFonts w:hint="eastAsia" w:ascii="宋体" w:hAnsi="宋体" w:cs="宋体"/>
                <w:color w:val="auto"/>
                <w:kern w:val="0"/>
                <w:szCs w:val="21"/>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237" w:type="pct"/>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2</w:t>
            </w:r>
          </w:p>
        </w:tc>
        <w:tc>
          <w:tcPr>
            <w:tcW w:w="367"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总量减排目标</w:t>
            </w:r>
          </w:p>
        </w:tc>
        <w:tc>
          <w:tcPr>
            <w:tcW w:w="1948" w:type="pct"/>
            <w:tcBorders>
              <w:top w:val="single" w:color="auto" w:sz="4" w:space="0"/>
              <w:left w:val="nil"/>
              <w:bottom w:val="single" w:color="auto" w:sz="4" w:space="0"/>
              <w:right w:val="single" w:color="auto" w:sz="4" w:space="0"/>
            </w:tcBorders>
            <w:noWrap w:val="0"/>
            <w:vAlign w:val="center"/>
          </w:tcPr>
          <w:p>
            <w:pPr>
              <w:snapToGrid w:val="0"/>
              <w:spacing w:line="260" w:lineRule="exact"/>
              <w:rPr>
                <w:rFonts w:hint="eastAsia" w:hAnsi="宋体" w:cs="宋体"/>
                <w:color w:val="auto"/>
                <w:szCs w:val="21"/>
              </w:rPr>
            </w:pPr>
            <w:r>
              <w:rPr>
                <w:rFonts w:hint="eastAsia" w:hAnsi="宋体" w:cs="宋体"/>
                <w:color w:val="auto"/>
                <w:szCs w:val="21"/>
              </w:rPr>
              <w:t>完成“十四五”挥发性有机物（VOCs）、氮氧化物（NOx）减排目标任务。</w:t>
            </w:r>
          </w:p>
          <w:p>
            <w:pPr>
              <w:snapToGrid w:val="0"/>
              <w:spacing w:line="260" w:lineRule="exact"/>
              <w:rPr>
                <w:rFonts w:ascii="宋体" w:hAnsi="宋体" w:cs="宋体"/>
                <w:color w:val="auto"/>
                <w:szCs w:val="21"/>
              </w:rPr>
            </w:pPr>
            <w:r>
              <w:rPr>
                <w:rFonts w:hint="eastAsia" w:hAnsi="宋体" w:cs="宋体"/>
                <w:color w:val="auto"/>
                <w:szCs w:val="21"/>
              </w:rPr>
              <w:t>新增涉气建设项目严格执行VOCs、NOx等主要污染物排放总量控制，实施“减二增一”削减量替代审批制度。</w:t>
            </w:r>
          </w:p>
        </w:tc>
        <w:tc>
          <w:tcPr>
            <w:tcW w:w="360"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rPr>
              <w:t>区生态环境局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区城市管理委</w:t>
            </w:r>
          </w:p>
          <w:p>
            <w:pPr>
              <w:snapToGrid w:val="0"/>
              <w:spacing w:line="260" w:lineRule="exact"/>
              <w:ind w:left="-105" w:leftChars="-50" w:right="-105" w:rightChars="-50"/>
              <w:jc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市交通委石景山运</w:t>
            </w:r>
          </w:p>
          <w:p>
            <w:pPr>
              <w:snapToGrid w:val="0"/>
              <w:spacing w:line="260" w:lineRule="exact"/>
              <w:ind w:left="-105" w:leftChars="-50" w:right="-105" w:rightChars="-50"/>
              <w:jc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输管理分局</w:t>
            </w:r>
          </w:p>
          <w:p>
            <w:pPr>
              <w:snapToGrid w:val="0"/>
              <w:spacing w:line="260" w:lineRule="exact"/>
              <w:ind w:left="-105" w:leftChars="-50" w:right="-105" w:rightChars="-50"/>
              <w:jc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区园林绿化局</w:t>
            </w:r>
          </w:p>
          <w:p>
            <w:pPr>
              <w:snapToGrid w:val="0"/>
              <w:spacing w:line="260" w:lineRule="exact"/>
              <w:ind w:left="-105" w:leftChars="-50" w:right="-105" w:rightChars="-50"/>
              <w:jc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区环卫中心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260" w:lineRule="exact"/>
              <w:jc w:val="center"/>
              <w:rPr>
                <w:rFonts w:ascii="黑体" w:hAnsi="黑体" w:eastAsia="黑体" w:cs="黑体"/>
                <w:color w:val="auto"/>
                <w:szCs w:val="21"/>
              </w:rPr>
            </w:pPr>
            <w:r>
              <w:rPr>
                <w:rFonts w:hint="eastAsia" w:ascii="黑体" w:hAnsi="黑体" w:eastAsia="黑体" w:cs="黑体"/>
                <w:color w:val="auto"/>
                <w:szCs w:val="21"/>
              </w:rPr>
              <w:t>二、以车（械）含绿量提升为重点，推动结构减排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237" w:type="pc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3</w:t>
            </w:r>
          </w:p>
        </w:tc>
        <w:tc>
          <w:tcPr>
            <w:tcW w:w="367" w:type="pc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szCs w:val="21"/>
                <w:highlight w:val="none"/>
              </w:rPr>
              <w:t>大力推动新能源车推广应用</w:t>
            </w:r>
          </w:p>
        </w:tc>
        <w:tc>
          <w:tcPr>
            <w:tcW w:w="1948" w:type="pct"/>
            <w:tcBorders>
              <w:top w:val="single" w:color="auto" w:sz="4" w:space="0"/>
              <w:left w:val="nil"/>
              <w:bottom w:val="single" w:color="auto" w:sz="4" w:space="0"/>
              <w:right w:val="single" w:color="auto" w:sz="4" w:space="0"/>
            </w:tcBorders>
            <w:noWrap w:val="0"/>
            <w:vAlign w:val="center"/>
          </w:tcPr>
          <w:p>
            <w:pPr>
              <w:widowControl/>
              <w:tabs>
                <w:tab w:val="left" w:pos="1646"/>
              </w:tabs>
              <w:textAlignment w:val="center"/>
              <w:rPr>
                <w:rFonts w:ascii="宋体" w:hAnsi="宋体" w:cs="宋体"/>
                <w:color w:val="auto"/>
                <w:kern w:val="0"/>
                <w:szCs w:val="21"/>
                <w:lang w:bidi="ar"/>
              </w:rPr>
            </w:pPr>
            <w:r>
              <w:rPr>
                <w:rFonts w:hint="eastAsia" w:ascii="宋体" w:hAnsi="宋体" w:cs="宋体"/>
                <w:color w:val="auto"/>
                <w:kern w:val="0"/>
                <w:szCs w:val="21"/>
                <w:lang w:bidi="ar"/>
              </w:rPr>
              <w:t>按照市级“十四五”规划目标、相关实施方案及新能源车年度推进计划，发挥“两新”政策激励作用，加大新能源车推广力度，力争2025年注册登记汽车中新能源车比例达到50%。</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市交通委石景山运输管理分局</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商务局</w:t>
            </w:r>
          </w:p>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发展改革委</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国资委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4</w:t>
            </w:r>
          </w:p>
        </w:tc>
        <w:tc>
          <w:tcPr>
            <w:tcW w:w="36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加快重点行业车新能源化</w:t>
            </w: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严格落实《北京市加快国四排放标准营运柴油货车淘汰促进更新轻型新能源货车方案(2024-2025年)》，</w:t>
            </w:r>
            <w:r>
              <w:rPr>
                <w:rFonts w:hint="eastAsia" w:ascii="宋体" w:hAnsi="宋体" w:cs="宋体"/>
                <w:color w:val="auto"/>
                <w:kern w:val="0"/>
                <w:szCs w:val="21"/>
                <w:highlight w:val="none"/>
                <w:lang w:val="en-US" w:eastAsia="zh-CN" w:bidi="ar"/>
              </w:rPr>
              <w:t>加大力度淘汰国四重型营运柴油货车，</w:t>
            </w:r>
            <w:r>
              <w:rPr>
                <w:rFonts w:hint="eastAsia" w:ascii="宋体" w:hAnsi="宋体" w:cs="宋体"/>
                <w:color w:val="auto"/>
                <w:kern w:val="0"/>
                <w:szCs w:val="21"/>
                <w:highlight w:val="none"/>
                <w:lang w:bidi="ar"/>
              </w:rPr>
              <w:t>推进货车</w:t>
            </w:r>
            <w:r>
              <w:rPr>
                <w:rFonts w:hint="eastAsia" w:ascii="宋体" w:hAnsi="宋体" w:cs="宋体"/>
                <w:color w:val="auto"/>
                <w:kern w:val="0"/>
                <w:szCs w:val="21"/>
                <w:highlight w:val="none"/>
                <w:lang w:eastAsia="zh-CN" w:bidi="ar"/>
              </w:rPr>
              <w:t>新能源</w:t>
            </w:r>
            <w:r>
              <w:rPr>
                <w:rFonts w:hint="eastAsia" w:ascii="宋体" w:hAnsi="宋体" w:cs="宋体"/>
                <w:color w:val="auto"/>
                <w:kern w:val="0"/>
                <w:szCs w:val="21"/>
                <w:highlight w:val="none"/>
                <w:lang w:bidi="ar"/>
              </w:rPr>
              <w:t>化。</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市交通委石景山运输管理分局</w:t>
            </w:r>
          </w:p>
          <w:p>
            <w:pPr>
              <w:widowControl/>
              <w:jc w:val="center"/>
              <w:textAlignment w:val="center"/>
              <w:rPr>
                <w:rFonts w:hint="eastAsia" w:ascii="宋体" w:hAnsi="宋体" w:eastAsia="宋体" w:cs="宋体"/>
                <w:color w:val="auto"/>
                <w:kern w:val="0"/>
                <w:szCs w:val="21"/>
                <w:highlight w:val="yellow"/>
                <w:lang w:eastAsia="zh-CN" w:bidi="ar"/>
              </w:rPr>
            </w:pPr>
            <w:r>
              <w:rPr>
                <w:rFonts w:hint="eastAsia" w:ascii="宋体" w:hAnsi="宋体" w:cs="宋体"/>
                <w:color w:val="auto"/>
                <w:kern w:val="0"/>
                <w:szCs w:val="21"/>
                <w:highlight w:val="none"/>
                <w:lang w:eastAsia="zh-CN" w:bidi="ar"/>
              </w:rPr>
              <w:t>区城市管理委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严格实施《关于本市五环路内新能源物流配送车辆优先通行的通告》，</w:t>
            </w:r>
            <w:r>
              <w:rPr>
                <w:rFonts w:hint="eastAsia" w:ascii="宋体" w:hAnsi="宋体" w:cs="宋体"/>
                <w:kern w:val="0"/>
                <w:szCs w:val="21"/>
                <w:shd w:val="clear" w:color="auto" w:fill="FFFFFF"/>
                <w:lang w:bidi="ar"/>
              </w:rPr>
              <w:t>向新能源载货汽车提供通行便利</w:t>
            </w:r>
            <w:r>
              <w:rPr>
                <w:rFonts w:hint="eastAsia" w:ascii="宋体" w:hAnsi="宋体" w:cs="宋体"/>
                <w:color w:val="auto"/>
                <w:kern w:val="0"/>
                <w:szCs w:val="21"/>
                <w:highlight w:val="none"/>
                <w:lang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市交通委石景山运输管理分局</w:t>
            </w:r>
          </w:p>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bidi="ar"/>
              </w:rPr>
              <w:t>交通支队</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新增和更新的轻型商超配送车辆80%为纯电动或氢燃料电池汽车。</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商务局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新增和更新的快递轻型配送车辆80%为纯电动或氢燃料电池汽车。</w:t>
            </w:r>
          </w:p>
          <w:p>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新增和更新的轻型邮政车（机要通信车辆和郊区邮路盘驳邮政车辆除外）为纯电动或氢燃料电池汽车。</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中国邮政集团有限公司北京市</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石景山区分公司</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区属国有企业基本淘汰国四及以下</w:t>
            </w:r>
            <w:r>
              <w:rPr>
                <w:rFonts w:hint="eastAsia" w:ascii="宋体" w:hAnsi="宋体" w:cs="宋体"/>
                <w:color w:val="auto"/>
                <w:kern w:val="0"/>
                <w:szCs w:val="21"/>
                <w:highlight w:val="none"/>
                <w:lang w:eastAsia="zh-CN" w:bidi="ar"/>
              </w:rPr>
              <w:t>排放标准的</w:t>
            </w:r>
            <w:r>
              <w:rPr>
                <w:rFonts w:hint="eastAsia" w:ascii="宋体" w:hAnsi="宋体" w:cs="宋体"/>
                <w:color w:val="auto"/>
                <w:kern w:val="0"/>
                <w:szCs w:val="21"/>
                <w:highlight w:val="none"/>
                <w:lang w:bidi="ar"/>
              </w:rPr>
              <w:t>柴油车（应急抢险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国资委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lang w:bidi="ar"/>
              </w:rPr>
              <w:t>新增和更新的环卫车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应急抢险</w:t>
            </w:r>
            <w:r>
              <w:rPr>
                <w:rFonts w:hint="eastAsia" w:ascii="宋体" w:hAnsi="宋体" w:cs="宋体"/>
                <w:color w:val="auto"/>
                <w:kern w:val="0"/>
                <w:szCs w:val="21"/>
                <w:highlight w:val="none"/>
                <w:lang w:eastAsia="zh-CN" w:bidi="ar"/>
              </w:rPr>
              <w:t>、扫雪铲冰车</w:t>
            </w:r>
            <w:r>
              <w:rPr>
                <w:rFonts w:hint="eastAsia" w:ascii="宋体" w:hAnsi="宋体" w:cs="宋体"/>
                <w:color w:val="auto"/>
                <w:kern w:val="0"/>
                <w:szCs w:val="21"/>
                <w:highlight w:val="none"/>
                <w:lang w:bidi="ar"/>
              </w:rPr>
              <w:t>除外</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为纯电动或氢燃料电池汽车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年底前轻型环卫车</w:t>
            </w:r>
            <w:r>
              <w:rPr>
                <w:rFonts w:hint="eastAsia" w:ascii="宋体" w:hAnsi="宋体" w:cs="宋体"/>
                <w:kern w:val="0"/>
                <w:szCs w:val="21"/>
                <w:lang w:bidi="ar"/>
              </w:rPr>
              <w:t>基本</w:t>
            </w:r>
            <w:r>
              <w:rPr>
                <w:rFonts w:hint="eastAsia" w:ascii="宋体" w:hAnsi="宋体" w:cs="宋体"/>
                <w:color w:val="auto"/>
                <w:kern w:val="0"/>
                <w:szCs w:val="21"/>
                <w:highlight w:val="none"/>
                <w:lang w:val="en-US" w:eastAsia="zh-CN" w:bidi="ar"/>
              </w:rPr>
              <w:t>实现新能源化</w:t>
            </w:r>
            <w:r>
              <w:rPr>
                <w:rFonts w:hint="eastAsia" w:ascii="宋体" w:hAnsi="宋体" w:cs="宋体"/>
                <w:color w:val="auto"/>
                <w:kern w:val="0"/>
                <w:szCs w:val="21"/>
                <w:highlight w:val="none"/>
                <w:lang w:bidi="ar"/>
              </w:rPr>
              <w:t>。严格落实《环卫设施设备更新工作方案》要求，鼓励对使用8年以上的环卫车更新为纯电动或氢燃料电池汽车。</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s="宋体"/>
                <w:color w:val="auto"/>
                <w:kern w:val="0"/>
                <w:szCs w:val="21"/>
                <w:highlight w:val="none"/>
                <w:lang w:eastAsia="zh-CN" w:bidi="ar"/>
              </w:rPr>
            </w:pPr>
            <w:r>
              <w:rPr>
                <w:rFonts w:hint="eastAsia" w:hAnsi="宋体" w:cs="宋体"/>
                <w:color w:val="auto"/>
                <w:kern w:val="0"/>
                <w:szCs w:val="21"/>
                <w:highlight w:val="none"/>
                <w:lang w:eastAsia="zh-CN" w:bidi="ar"/>
              </w:rPr>
              <w:t>区环卫中心</w:t>
            </w:r>
          </w:p>
          <w:p>
            <w:pPr>
              <w:pStyle w:val="4"/>
              <w:spacing w:line="240" w:lineRule="auto"/>
              <w:ind w:left="0" w:leftChars="0" w:firstLine="0" w:firstLineChars="0"/>
              <w:jc w:val="center"/>
              <w:rPr>
                <w:lang w:val="en-US" w:eastAsia="zh-CN"/>
              </w:rPr>
            </w:pPr>
            <w:r>
              <w:rPr>
                <w:rFonts w:hint="eastAsia" w:ascii="宋体" w:hAnsi="宋体" w:eastAsia="宋体" w:cs="宋体"/>
                <w:color w:val="auto"/>
                <w:kern w:val="0"/>
                <w:sz w:val="21"/>
                <w:szCs w:val="21"/>
                <w:highlight w:val="none"/>
                <w:lang w:eastAsia="zh-CN"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新增和更新的公交车为新能源车，年底前公交车基本实现</w:t>
            </w:r>
            <w:r>
              <w:rPr>
                <w:rFonts w:hint="eastAsia" w:ascii="宋体" w:hAnsi="宋体" w:cs="宋体"/>
                <w:color w:val="auto"/>
                <w:kern w:val="0"/>
                <w:szCs w:val="21"/>
                <w:highlight w:val="none"/>
                <w:lang w:eastAsia="zh-CN" w:bidi="ar"/>
              </w:rPr>
              <w:t>新能源</w:t>
            </w:r>
            <w:r>
              <w:rPr>
                <w:rFonts w:hint="eastAsia" w:ascii="宋体" w:hAnsi="宋体" w:cs="宋体"/>
                <w:color w:val="auto"/>
                <w:kern w:val="0"/>
                <w:szCs w:val="21"/>
                <w:highlight w:val="none"/>
                <w:lang w:bidi="ar"/>
              </w:rPr>
              <w:t>化。</w:t>
            </w:r>
          </w:p>
          <w:p>
            <w:pPr>
              <w:widowControl/>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新增和更新的巡游出租车（个体车辆和社会保障车辆除外）为纯电动或氢燃料电池汽车，年底前巡游出租车基本实现电动化。</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0"/>
                <w:sz w:val="21"/>
                <w:szCs w:val="21"/>
                <w:highlight w:val="none"/>
                <w:lang w:val="en-US" w:eastAsia="zh-CN" w:bidi="ar"/>
              </w:rPr>
              <w:t>市交通委石景山运输管理分局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宋体" w:hAnsi="宋体" w:eastAsia="宋体" w:cs="宋体"/>
                <w:kern w:val="0"/>
                <w:szCs w:val="21"/>
                <w:highlight w:val="yellow"/>
                <w:lang w:val="en-US" w:eastAsia="zh-CN" w:bidi="ar"/>
              </w:rPr>
            </w:pPr>
            <w:r>
              <w:rPr>
                <w:rFonts w:hint="eastAsia" w:ascii="宋体" w:hAnsi="宋体" w:cs="宋体"/>
                <w:kern w:val="0"/>
                <w:szCs w:val="21"/>
                <w:highlight w:val="none"/>
                <w:lang w:eastAsia="zh-CN" w:bidi="ar"/>
              </w:rPr>
              <w:t>新</w:t>
            </w:r>
            <w:r>
              <w:rPr>
                <w:rFonts w:hint="eastAsia" w:ascii="宋体" w:hAnsi="宋体" w:cs="宋体"/>
                <w:kern w:val="0"/>
                <w:szCs w:val="21"/>
                <w:highlight w:val="none"/>
                <w:lang w:bidi="ar"/>
              </w:rPr>
              <w:t>注册登记货车和大中型客车中新能源车上牌比例</w:t>
            </w:r>
            <w:r>
              <w:rPr>
                <w:rFonts w:hint="eastAsia" w:ascii="宋体" w:hAnsi="宋体" w:cs="宋体"/>
                <w:kern w:val="0"/>
                <w:szCs w:val="21"/>
                <w:highlight w:val="none"/>
                <w:lang w:eastAsia="zh-CN" w:bidi="ar"/>
              </w:rPr>
              <w:t>不低于</w:t>
            </w:r>
            <w:r>
              <w:rPr>
                <w:rFonts w:hint="eastAsia" w:ascii="宋体" w:hAnsi="宋体" w:cs="宋体"/>
                <w:kern w:val="0"/>
                <w:szCs w:val="21"/>
                <w:highlight w:val="none"/>
                <w:lang w:val="en-US" w:eastAsia="zh-CN" w:bidi="ar"/>
              </w:rPr>
              <w:t>29%。</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市交通委石景山运输管理分局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hint="eastAsia" w:ascii="宋体" w:hAnsi="宋体" w:cs="宋体"/>
                <w:color w:val="auto"/>
                <w:szCs w:val="21"/>
                <w:highlight w:val="none"/>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eastAsia="宋体" w:cs="宋体"/>
                <w:color w:val="auto"/>
                <w:kern w:val="0"/>
                <w:sz w:val="21"/>
                <w:szCs w:val="21"/>
                <w:highlight w:val="yellow"/>
                <w:lang w:val="en-US" w:eastAsia="zh-CN" w:bidi="ar"/>
              </w:rPr>
            </w:pPr>
            <w:r>
              <w:rPr>
                <w:rFonts w:hint="eastAsia" w:ascii="宋体" w:hAnsi="宋体" w:cs="宋体"/>
                <w:color w:val="auto"/>
                <w:kern w:val="0"/>
                <w:szCs w:val="21"/>
                <w:highlight w:val="none"/>
                <w:lang w:bidi="ar"/>
              </w:rPr>
              <w:t>鼓励新增和更新的包车客运车辆为纯电动或氢燃料电池汽车。</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bidi="ar"/>
              </w:rPr>
              <w:t>市交通委石景山运输管理分局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pStyle w:val="25"/>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kern w:val="0"/>
                <w:szCs w:val="21"/>
                <w:lang w:bidi="ar"/>
              </w:rPr>
              <w:t>鼓励</w:t>
            </w:r>
            <w:r>
              <w:rPr>
                <w:rFonts w:hint="eastAsia" w:ascii="宋体" w:hAnsi="宋体" w:cs="宋体"/>
                <w:color w:val="auto"/>
                <w:kern w:val="0"/>
                <w:szCs w:val="21"/>
                <w:highlight w:val="none"/>
                <w:lang w:bidi="ar"/>
              </w:rPr>
              <w:t>新增和更新的旅游客运班线车辆为纯电动或氢燃料电池汽车。</w:t>
            </w:r>
          </w:p>
          <w:p>
            <w:pPr>
              <w:pStyle w:val="25"/>
              <w:widowControl/>
              <w:ind w:firstLine="0" w:firstLineChars="0"/>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区属公园内新增和更新的摆渡车为纯电动或氢燃料电池汽车。</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eastAsia="zh-CN" w:bidi="ar"/>
              </w:rPr>
              <w:t>市交通委石景山运输管理分局</w:t>
            </w:r>
          </w:p>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区公园管理中心</w:t>
            </w:r>
          </w:p>
        </w:tc>
        <w:tc>
          <w:tcPr>
            <w:tcW w:w="733" w:type="pct"/>
            <w:tcBorders>
              <w:top w:val="single" w:color="auto" w:sz="4" w:space="0"/>
              <w:left w:val="nil"/>
              <w:bottom w:val="single" w:color="auto" w:sz="4" w:space="0"/>
              <w:right w:val="single" w:color="auto" w:sz="4" w:space="0"/>
            </w:tcBorders>
            <w:noWrap w:val="0"/>
            <w:vAlign w:val="center"/>
          </w:tcPr>
          <w:p>
            <w:pPr>
              <w:widowControl/>
              <w:snapToGrid/>
              <w:spacing w:line="240" w:lineRule="auto"/>
              <w:ind w:right="0" w:rightChars="0"/>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pStyle w:val="25"/>
              <w:ind w:firstLine="0" w:firstLineChars="0"/>
              <w:rPr>
                <w:rFonts w:ascii="Times New Roman" w:hAnsi="Times New Roman" w:eastAsia="宋体" w:cs="宋体"/>
                <w:color w:val="auto"/>
                <w:kern w:val="0"/>
                <w:sz w:val="21"/>
                <w:szCs w:val="21"/>
                <w:highlight w:val="none"/>
                <w:lang w:val="en-US" w:eastAsia="zh-CN" w:bidi="ar"/>
              </w:rPr>
            </w:pPr>
            <w:r>
              <w:rPr>
                <w:rFonts w:hint="eastAsia" w:ascii="宋体" w:hAnsi="宋体" w:cs="宋体"/>
                <w:kern w:val="0"/>
                <w:szCs w:val="21"/>
                <w:lang w:bidi="ar"/>
              </w:rPr>
              <w:t>新开工工地优先使用纯电动、氢燃料电池或国六B排放标准的建筑垃圾</w:t>
            </w:r>
            <w:r>
              <w:rPr>
                <w:rFonts w:hint="eastAsia" w:ascii="宋体" w:hAnsi="宋体" w:cs="宋体"/>
                <w:kern w:val="0"/>
                <w:szCs w:val="21"/>
                <w:lang w:val="en-US" w:eastAsia="zh-CN" w:bidi="ar"/>
              </w:rPr>
              <w:t>运输车</w:t>
            </w:r>
            <w:r>
              <w:rPr>
                <w:rFonts w:hint="eastAsia" w:ascii="宋体" w:hAnsi="宋体" w:cs="宋体"/>
                <w:kern w:val="0"/>
                <w:szCs w:val="21"/>
                <w:lang w:bidi="ar"/>
              </w:rPr>
              <w:t>，基本不使用国四及以下排放标准的车辆。</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ind w:firstLine="0" w:firstLine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pStyle w:val="4"/>
              <w:spacing w:line="240" w:lineRule="auto"/>
              <w:ind w:left="0" w:leftChars="0" w:firstLine="0" w:firstLineChars="0"/>
              <w:jc w:val="center"/>
              <w:rPr>
                <w:rFonts w:hint="eastAsia" w:eastAsia="宋体"/>
                <w:lang w:val="en-US" w:eastAsia="zh-CN"/>
              </w:rPr>
            </w:pPr>
            <w:r>
              <w:rPr>
                <w:rFonts w:hint="eastAsia" w:ascii="宋体" w:hAnsi="宋体" w:eastAsia="宋体" w:cs="宋体"/>
                <w:color w:val="auto"/>
                <w:kern w:val="0"/>
                <w:sz w:val="21"/>
                <w:szCs w:val="21"/>
                <w:highlight w:val="none"/>
                <w:lang w:eastAsia="zh-CN" w:bidi="ar"/>
              </w:rPr>
              <w:t>区住房城市建设委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eastAsia="zh-CN" w:bidi="ar"/>
              </w:rPr>
              <w:t>区园林绿化局</w:t>
            </w:r>
          </w:p>
          <w:p>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新增和更新的公务用车（特种专业技术用车和部分不宜配备电动车的执法执勤用车除外）和</w:t>
            </w:r>
            <w:r>
              <w:rPr>
                <w:rFonts w:hint="eastAsia" w:ascii="宋体" w:hAnsi="宋体" w:cs="宋体"/>
                <w:color w:val="auto"/>
                <w:kern w:val="0"/>
                <w:szCs w:val="21"/>
                <w:highlight w:val="none"/>
                <w:lang w:eastAsia="zh-CN" w:bidi="ar"/>
              </w:rPr>
              <w:t>区属</w:t>
            </w:r>
            <w:r>
              <w:rPr>
                <w:rFonts w:hint="eastAsia" w:ascii="宋体" w:hAnsi="宋体" w:cs="宋体"/>
                <w:color w:val="auto"/>
                <w:kern w:val="0"/>
                <w:szCs w:val="21"/>
                <w:highlight w:val="none"/>
                <w:lang w:bidi="ar"/>
              </w:rPr>
              <w:t>企事业单位通勤用车为纯电动或氢燃料电池汽车。</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区机关事务管理服务中心</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财政局</w:t>
            </w:r>
          </w:p>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eastAsia="zh-CN" w:bidi="ar"/>
              </w:rPr>
              <w:t>区国资委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5</w:t>
            </w:r>
          </w:p>
        </w:tc>
        <w:tc>
          <w:tcPr>
            <w:tcW w:w="36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eastAsia="等线"/>
                <w:color w:val="auto"/>
              </w:rPr>
            </w:pPr>
            <w:r>
              <w:rPr>
                <w:rFonts w:hint="eastAsia" w:ascii="宋体" w:hAnsi="宋体" w:cs="宋体"/>
                <w:color w:val="auto"/>
                <w:szCs w:val="21"/>
              </w:rPr>
              <w:t>推进非道路移动机械清洁化</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eastAsia="zh-CN" w:bidi="ar"/>
              </w:rPr>
              <w:t>落实</w:t>
            </w:r>
            <w:r>
              <w:rPr>
                <w:rFonts w:hint="eastAsia" w:ascii="宋体" w:hAnsi="宋体" w:cs="宋体"/>
                <w:color w:val="auto"/>
                <w:kern w:val="0"/>
                <w:szCs w:val="21"/>
                <w:highlight w:val="none"/>
                <w:lang w:bidi="ar"/>
              </w:rPr>
              <w:t>禁止使用高排放非道路移动机械区域</w:t>
            </w:r>
            <w:r>
              <w:rPr>
                <w:rFonts w:hint="eastAsia" w:ascii="宋体" w:hAnsi="宋体" w:cs="宋体"/>
                <w:color w:val="auto"/>
                <w:kern w:val="0"/>
                <w:szCs w:val="21"/>
                <w:highlight w:val="none"/>
                <w:lang w:eastAsia="zh-CN" w:bidi="ar"/>
              </w:rPr>
              <w:t>有关</w:t>
            </w:r>
            <w:r>
              <w:rPr>
                <w:rFonts w:hint="eastAsia" w:ascii="宋体" w:hAnsi="宋体" w:cs="宋体"/>
                <w:color w:val="auto"/>
                <w:kern w:val="0"/>
                <w:szCs w:val="21"/>
                <w:highlight w:val="none"/>
                <w:lang w:bidi="ar"/>
              </w:rPr>
              <w:t>政策。</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snapToGrid/>
              <w:spacing w:line="240" w:lineRule="auto"/>
              <w:ind w:right="0" w:rightChars="0"/>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园林绿化局</w:t>
            </w:r>
            <w:r>
              <w:rPr>
                <w:rFonts w:hint="eastAsia" w:ascii="宋体" w:hAnsi="宋体" w:cs="宋体"/>
                <w:color w:val="auto"/>
                <w:kern w:val="0"/>
                <w:szCs w:val="21"/>
                <w:highlight w:val="none"/>
                <w:lang w:eastAsia="zh-CN" w:bidi="ar"/>
              </w:rPr>
              <w:t>等部门各街道办事处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建设、城市管理、园林绿化、水务、交通等部门加快推动本行业国二及以下（含编码登记为X阶段）排放标准的非道路移动机械淘汰</w:t>
            </w:r>
            <w:r>
              <w:rPr>
                <w:rFonts w:hint="eastAsia" w:ascii="宋体" w:hAnsi="宋体" w:cs="宋体"/>
                <w:color w:val="auto"/>
                <w:kern w:val="0"/>
                <w:szCs w:val="21"/>
                <w:highlight w:val="none"/>
                <w:lang w:eastAsia="zh-CN" w:bidi="ar"/>
              </w:rPr>
              <w:t>。</w:t>
            </w:r>
          </w:p>
          <w:p>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大力推动挖掘机、装载机、叉车、升降平台等四类重点机械新能源化</w:t>
            </w:r>
            <w:r>
              <w:rPr>
                <w:rFonts w:hint="eastAsia" w:ascii="宋体" w:hAnsi="宋体" w:cs="宋体"/>
                <w:color w:val="auto"/>
                <w:kern w:val="0"/>
                <w:szCs w:val="21"/>
                <w:highlight w:val="none"/>
                <w:lang w:eastAsia="zh-CN" w:bidi="ar"/>
              </w:rPr>
              <w:t>，新登记叉车、升降平台、挖掘机、装载机的新能源化率不低于</w:t>
            </w:r>
            <w:r>
              <w:rPr>
                <w:rFonts w:hint="eastAsia" w:ascii="宋体" w:hAnsi="宋体" w:cs="宋体"/>
                <w:color w:val="auto"/>
                <w:kern w:val="0"/>
                <w:szCs w:val="21"/>
                <w:highlight w:val="none"/>
                <w:lang w:val="en-US" w:eastAsia="zh-CN" w:bidi="ar"/>
              </w:rPr>
              <w:t>50%。</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园林绿化局</w:t>
            </w:r>
          </w:p>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hAnsi="宋体" w:cs="宋体"/>
                <w:color w:val="auto"/>
                <w:kern w:val="0"/>
                <w:szCs w:val="21"/>
                <w:highlight w:val="none"/>
                <w:lang w:eastAsia="zh-CN" w:bidi="ar"/>
              </w:rPr>
              <w:t>区生态环境局</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建设部门</w:t>
            </w:r>
            <w:r>
              <w:rPr>
                <w:rFonts w:hint="eastAsia" w:ascii="宋体" w:hAnsi="宋体" w:cs="宋体"/>
                <w:color w:val="auto"/>
                <w:kern w:val="0"/>
                <w:szCs w:val="21"/>
                <w:highlight w:val="none"/>
                <w:lang w:eastAsia="zh-CN" w:bidi="ar"/>
              </w:rPr>
              <w:t>按照</w:t>
            </w:r>
            <w:r>
              <w:rPr>
                <w:rFonts w:hint="eastAsia" w:ascii="宋体" w:hAnsi="宋体" w:cs="宋体"/>
                <w:color w:val="auto"/>
                <w:kern w:val="0"/>
                <w:szCs w:val="21"/>
                <w:highlight w:val="none"/>
                <w:lang w:bidi="ar"/>
              </w:rPr>
              <w:t>《北京市建设工程施工现场扬尘治理“绿牌”工地管理办法》，将挖掘机、装载机、叉车、升降平台等机械新能源化要求纳入“绿牌”工地评定内容，交通、水务、园林绿化、城市管理等施工行业主管部门积极参照实施。</w:t>
            </w:r>
          </w:p>
          <w:p>
            <w:pPr>
              <w:pStyle w:val="7"/>
              <w:rPr>
                <w:rFonts w:hint="eastAsia"/>
                <w:lang w:val="en-US" w:eastAsia="zh-CN"/>
              </w:rPr>
            </w:pPr>
            <w:r>
              <w:rPr>
                <w:rFonts w:hint="eastAsia"/>
                <w:lang w:val="en-US" w:eastAsia="zh-CN"/>
              </w:rPr>
              <w:t>政府投资类项目以及国有企业承建项目，研究提出招标人应将施工过程中新能源机械使用情况作为加分项。</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园林绿化局</w:t>
            </w:r>
          </w:p>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hAnsi="宋体" w:cs="宋体"/>
                <w:color w:val="auto"/>
                <w:kern w:val="0"/>
                <w:szCs w:val="21"/>
                <w:highlight w:val="none"/>
                <w:lang w:eastAsia="zh-CN" w:bidi="ar"/>
              </w:rPr>
              <w:t>区国资委</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强化密闭空间施工机械新能源化的要求，地下封闭区域工程、基坑气膜施工工地优先使用新能源机械</w:t>
            </w:r>
            <w:r>
              <w:rPr>
                <w:rFonts w:hint="eastAsia" w:ascii="宋体" w:hAnsi="宋体" w:cs="宋体"/>
                <w:color w:val="auto"/>
                <w:kern w:val="0"/>
                <w:szCs w:val="21"/>
                <w:highlight w:val="none"/>
                <w:lang w:eastAsia="zh-CN" w:bidi="ar"/>
              </w:rPr>
              <w:t>。落实实施建设工程绿色技术规范或指导意见，工地内升降平台、叉车全面实现新能源化，2吨及以下装载机、6吨及以下挖掘机新能源化比率应逐年提高</w:t>
            </w:r>
            <w:r>
              <w:rPr>
                <w:rFonts w:hint="eastAsia" w:ascii="宋体" w:hAnsi="宋体" w:cs="宋体"/>
                <w:color w:val="auto"/>
                <w:kern w:val="0"/>
                <w:szCs w:val="21"/>
                <w:highlight w:val="none"/>
                <w:lang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区生态环境局</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建设委依法将使用未经信息编码登记或者不符合排放标准的非道路移动机械的建设单位或者施工单位，记入信用信息记录，并开展行业督导。</w:t>
            </w:r>
          </w:p>
          <w:p>
            <w:pPr>
              <w:widowControl/>
              <w:textAlignment w:val="center"/>
              <w:rPr>
                <w:rFonts w:hint="eastAsia" w:ascii="宋体" w:hAnsi="宋体" w:eastAsia="宋体" w:cs="宋体"/>
                <w:color w:val="auto"/>
                <w:spacing w:val="-20"/>
                <w:kern w:val="0"/>
                <w:sz w:val="21"/>
                <w:szCs w:val="21"/>
                <w:highlight w:val="none"/>
                <w:lang w:val="en-US" w:eastAsia="zh-CN" w:bidi="ar"/>
              </w:rPr>
            </w:pP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建设、城市管理、园林绿化、水务、交通等部门</w:t>
            </w:r>
            <w:r>
              <w:rPr>
                <w:rFonts w:hint="eastAsia" w:ascii="宋体" w:hAnsi="宋体" w:cs="宋体"/>
                <w:color w:val="auto"/>
                <w:kern w:val="0"/>
                <w:szCs w:val="21"/>
                <w:highlight w:val="none"/>
                <w:lang w:val="en-US" w:eastAsia="zh-CN" w:bidi="ar"/>
              </w:rPr>
              <w:t>督促</w:t>
            </w:r>
            <w:r>
              <w:rPr>
                <w:rFonts w:hint="eastAsia" w:ascii="宋体" w:hAnsi="宋体" w:cs="宋体"/>
                <w:color w:val="auto"/>
                <w:kern w:val="0"/>
                <w:szCs w:val="21"/>
                <w:highlight w:val="none"/>
                <w:lang w:bidi="ar"/>
              </w:rPr>
              <w:t>施工单位对进出工程施工现场的非道路移动机械在“京环保”小程序上进行进出场登记。</w:t>
            </w:r>
          </w:p>
        </w:tc>
        <w:tc>
          <w:tcPr>
            <w:tcW w:w="360"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园林绿化局</w:t>
            </w:r>
          </w:p>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szCs w:val="21"/>
                <w:highlight w:val="none"/>
                <w:lang w:eastAsia="zh-CN"/>
              </w:rPr>
              <w:t>各街道办事处</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6</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kern w:val="0"/>
                <w:szCs w:val="21"/>
                <w:lang w:bidi="ar"/>
              </w:rPr>
              <w:t>优化车（械）能源补给</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kern w:val="0"/>
                <w:szCs w:val="21"/>
                <w:lang w:bidi="ar"/>
              </w:rPr>
              <w:t>组织实施《“十四五”时期北京市新能源汽车充换电设施发展规划》和《北京市氢燃料电池汽车车用加氢站发展规划（2021-2025年）》等，加快推进充电基础设施和加氢基础设施建设。推动电动汽车充电设施网络和服务体系建设，鼓励将停车位及充电设施电气化改造与老旧小区改造同步实施，鼓励单位内部充电设施对外开放。年底前实现公共充电设施平均服务半径小于3公里，换电站平均服务半径小于5公里。</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widowControl/>
              <w:jc w:val="center"/>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市规划自然资源委石景山分局</w:t>
            </w:r>
          </w:p>
          <w:p>
            <w:pPr>
              <w:widowControl/>
              <w:jc w:val="center"/>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auto"/>
              <w:rPr>
                <w:rFonts w:ascii="宋体" w:hAnsi="宋体" w:cs="宋体"/>
                <w:color w:val="auto"/>
                <w:kern w:val="0"/>
                <w:szCs w:val="21"/>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财政局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kern w:val="0"/>
                <w:szCs w:val="21"/>
                <w:highlight w:val="none"/>
                <w:lang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hint="eastAsia"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highlight w:val="none"/>
                <w:lang w:val="en-US" w:eastAsia="zh-CN" w:bidi="ar"/>
              </w:rPr>
              <w:t>协调</w:t>
            </w:r>
            <w:r>
              <w:rPr>
                <w:rFonts w:hint="eastAsia" w:ascii="宋体" w:hAnsi="宋体" w:cs="宋体"/>
                <w:color w:val="auto"/>
                <w:kern w:val="0"/>
                <w:szCs w:val="21"/>
                <w:highlight w:val="none"/>
                <w:lang w:eastAsia="zh-CN" w:bidi="ar"/>
              </w:rPr>
              <w:t>国家电网北京电力公司石景山供电公司协助建设单位做好施工工地电动机械用电增容报装工作，满足电动机械使用场景电力供给；对于现有场站内（如混凝土搅拌站等）新增电动机械的用电增容需求，电力部门予以研究保障。</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65" w:rightChars="-31"/>
              <w:jc w:val="center"/>
              <w:rPr>
                <w:rFonts w:hint="eastAsia"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7" w:type="pc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7</w:t>
            </w:r>
          </w:p>
        </w:tc>
        <w:tc>
          <w:tcPr>
            <w:tcW w:w="367" w:type="pc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kern w:val="0"/>
                <w:szCs w:val="21"/>
                <w:lang w:bidi="ar"/>
              </w:rPr>
              <w:t>严格在用车（械）管理</w:t>
            </w:r>
          </w:p>
        </w:tc>
        <w:tc>
          <w:tcPr>
            <w:tcW w:w="1948" w:type="pct"/>
            <w:tcBorders>
              <w:top w:val="single" w:color="auto" w:sz="4" w:space="0"/>
              <w:left w:val="nil"/>
              <w:right w:val="single" w:color="auto" w:sz="4" w:space="0"/>
            </w:tcBorders>
            <w:noWrap w:val="0"/>
            <w:vAlign w:val="center"/>
          </w:tcPr>
          <w:p>
            <w:pPr>
              <w:widowControl/>
              <w:textAlignment w:val="center"/>
              <w:rPr>
                <w:rFonts w:ascii="Times New Roman" w:hAnsi="Times New Roman"/>
              </w:rPr>
            </w:pPr>
            <w:r>
              <w:rPr>
                <w:rFonts w:hint="eastAsia" w:ascii="宋体" w:hAnsi="宋体" w:cs="宋体"/>
                <w:color w:val="auto"/>
                <w:kern w:val="0"/>
                <w:szCs w:val="21"/>
                <w:highlight w:val="none"/>
                <w:lang w:eastAsia="zh-CN" w:bidi="ar"/>
              </w:rPr>
              <w:t>交通支队</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w:t>
            </w:r>
            <w:r>
              <w:rPr>
                <w:rFonts w:hint="eastAsia" w:ascii="宋体" w:hAnsi="宋体" w:cs="宋体"/>
                <w:color w:val="auto"/>
                <w:kern w:val="0"/>
                <w:szCs w:val="21"/>
                <w:highlight w:val="none"/>
                <w:lang w:eastAsia="zh-CN" w:bidi="ar"/>
              </w:rPr>
              <w:t>局</w:t>
            </w:r>
            <w:r>
              <w:rPr>
                <w:rFonts w:hint="eastAsia" w:ascii="宋体" w:hAnsi="宋体" w:cs="宋体"/>
                <w:color w:val="auto"/>
                <w:kern w:val="0"/>
                <w:szCs w:val="21"/>
                <w:highlight w:val="none"/>
                <w:lang w:bidi="ar"/>
              </w:rPr>
              <w:t>全年在区内主要道路完成</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万辆次的重型柴油车和重型燃气车人工检查，</w:t>
            </w:r>
            <w:r>
              <w:rPr>
                <w:rFonts w:hint="eastAsia" w:ascii="宋体" w:hAnsi="宋体" w:cs="宋体"/>
                <w:kern w:val="0"/>
                <w:szCs w:val="21"/>
                <w:lang w:bidi="ar"/>
              </w:rPr>
              <w:t>严格查处驾驶未按规定进行维修且未通过复检的机动车上道路行驶的违法行为。</w:t>
            </w:r>
          </w:p>
          <w:p>
            <w:pPr>
              <w:widowControl/>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结合辖区机械登记台账，聚焦国二及以下标准机械进行执法检测，同时加大国三及以上</w:t>
            </w:r>
            <w:r>
              <w:rPr>
                <w:rFonts w:hint="eastAsia" w:ascii="宋体" w:hAnsi="宋体" w:cs="宋体"/>
                <w:color w:val="auto"/>
                <w:kern w:val="0"/>
                <w:szCs w:val="21"/>
                <w:highlight w:val="none"/>
                <w:lang w:eastAsia="zh-CN" w:bidi="ar"/>
              </w:rPr>
              <w:t>排放</w:t>
            </w:r>
            <w:r>
              <w:rPr>
                <w:rFonts w:hint="eastAsia" w:ascii="宋体" w:hAnsi="宋体" w:cs="宋体"/>
                <w:color w:val="auto"/>
                <w:kern w:val="0"/>
                <w:szCs w:val="21"/>
                <w:highlight w:val="none"/>
                <w:lang w:bidi="ar"/>
              </w:rPr>
              <w:t>标准机械的检查力度。</w:t>
            </w:r>
          </w:p>
        </w:tc>
        <w:tc>
          <w:tcPr>
            <w:tcW w:w="360" w:type="pct"/>
            <w:tcBorders>
              <w:top w:val="single" w:color="auto" w:sz="4" w:space="0"/>
              <w:left w:val="nil"/>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kern w:val="0"/>
                <w:szCs w:val="21"/>
                <w:highlight w:val="none"/>
                <w:lang w:bidi="ar"/>
              </w:rPr>
              <w:t>年底前</w:t>
            </w:r>
          </w:p>
        </w:tc>
        <w:tc>
          <w:tcPr>
            <w:tcW w:w="1351" w:type="pct"/>
            <w:tcBorders>
              <w:top w:val="single" w:color="auto" w:sz="4" w:space="0"/>
              <w:left w:val="nil"/>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生态环境局</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eastAsia="zh-CN" w:bidi="ar"/>
              </w:rPr>
              <w:t>交通支队</w:t>
            </w:r>
          </w:p>
        </w:tc>
        <w:tc>
          <w:tcPr>
            <w:tcW w:w="733" w:type="pct"/>
            <w:tcBorders>
              <w:top w:val="single" w:color="auto" w:sz="4" w:space="0"/>
              <w:left w:val="nil"/>
              <w:right w:val="single" w:color="auto" w:sz="4" w:space="0"/>
            </w:tcBorders>
            <w:noWrap w:val="0"/>
            <w:vAlign w:val="center"/>
          </w:tcPr>
          <w:p>
            <w:pPr>
              <w:snapToGrid w:val="0"/>
              <w:spacing w:line="260" w:lineRule="exact"/>
              <w:ind w:right="-65" w:rightChars="-31"/>
              <w:jc w:val="center"/>
              <w:rPr>
                <w:rFonts w:ascii="宋体" w:hAnsi="宋体" w:cs="宋体"/>
                <w:color w:val="auto"/>
                <w:szCs w:val="21"/>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237" w:type="pct"/>
            <w:vMerge w:val="restart"/>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8</w:t>
            </w:r>
          </w:p>
        </w:tc>
        <w:tc>
          <w:tcPr>
            <w:tcW w:w="367" w:type="pct"/>
            <w:vMerge w:val="restart"/>
            <w:tcBorders>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加强油气油品监管</w:t>
            </w:r>
          </w:p>
        </w:tc>
        <w:tc>
          <w:tcPr>
            <w:tcW w:w="1948" w:type="pct"/>
            <w:tcBorders>
              <w:top w:val="single" w:color="auto" w:sz="4" w:space="0"/>
              <w:left w:val="nil"/>
              <w:bottom w:val="single" w:color="auto" w:sz="4" w:space="0"/>
              <w:right w:val="single" w:color="auto" w:sz="4" w:space="0"/>
            </w:tcBorders>
            <w:noWrap w:val="0"/>
            <w:vAlign w:val="center"/>
          </w:tcPr>
          <w:p>
            <w:pPr>
              <w:widowControl/>
              <w:snapToGrid w:val="0"/>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区市场监管局牵头</w:t>
            </w:r>
            <w:r>
              <w:rPr>
                <w:rFonts w:hint="eastAsia" w:ascii="宋体" w:hAnsi="宋体" w:cs="宋体"/>
                <w:color w:val="auto"/>
                <w:kern w:val="0"/>
                <w:szCs w:val="21"/>
                <w:highlight w:val="none"/>
                <w:lang w:bidi="ar"/>
              </w:rPr>
              <w:t>对生产、销售环节的车用油品、氮氧化物还原剂、车用油品清净剂等产品质量开展监督抽查，加强实际使用环节柴油抽检。</w:t>
            </w:r>
          </w:p>
          <w:p>
            <w:pPr>
              <w:widowControl/>
              <w:snapToGrid w:val="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市公安局石景山分局牵头</w:t>
            </w:r>
            <w:r>
              <w:rPr>
                <w:rFonts w:hint="eastAsia" w:ascii="宋体" w:hAnsi="宋体" w:cs="宋体"/>
                <w:color w:val="auto"/>
                <w:kern w:val="0"/>
                <w:szCs w:val="21"/>
                <w:highlight w:val="none"/>
                <w:lang w:bidi="ar"/>
              </w:rPr>
              <w:t>坚决打击非标油，全面清理整顿无证无照或证照不全的自建油罐、流动加油车和黑加油站点。</w:t>
            </w:r>
          </w:p>
          <w:p>
            <w:pPr>
              <w:pStyle w:val="4"/>
              <w:ind w:left="0" w:leftChars="0" w:firstLine="0" w:firstLineChars="0"/>
              <w:rPr>
                <w:rFonts w:ascii="宋体" w:hAnsi="宋体" w:cs="宋体"/>
                <w:color w:val="auto"/>
                <w:kern w:val="0"/>
                <w:szCs w:val="21"/>
                <w:lang w:bidi="ar"/>
              </w:rPr>
            </w:pPr>
            <w:r>
              <w:rPr>
                <w:rFonts w:hint="eastAsia" w:ascii="宋体" w:hAnsi="宋体" w:eastAsia="宋体" w:cs="宋体"/>
                <w:color w:val="auto"/>
                <w:kern w:val="0"/>
                <w:sz w:val="21"/>
                <w:szCs w:val="21"/>
                <w:highlight w:val="none"/>
                <w:lang w:eastAsia="zh-CN" w:bidi="ar"/>
              </w:rPr>
              <w:t>区生态环境局牵头加强</w:t>
            </w:r>
            <w:r>
              <w:rPr>
                <w:rFonts w:hint="eastAsia" w:ascii="宋体" w:hAnsi="宋体" w:eastAsia="宋体" w:cs="宋体"/>
                <w:color w:val="auto"/>
                <w:kern w:val="0"/>
                <w:sz w:val="21"/>
                <w:szCs w:val="21"/>
                <w:highlight w:val="none"/>
                <w:lang w:val="en-US" w:eastAsia="zh-CN" w:bidi="ar"/>
              </w:rPr>
              <w:t>储油库、油罐车、加油站</w:t>
            </w:r>
            <w:r>
              <w:rPr>
                <w:rFonts w:hint="eastAsia" w:ascii="宋体" w:hAnsi="宋体" w:eastAsia="宋体" w:cs="宋体"/>
                <w:color w:val="auto"/>
                <w:kern w:val="0"/>
                <w:sz w:val="21"/>
                <w:szCs w:val="21"/>
                <w:highlight w:val="none"/>
                <w:lang w:eastAsia="zh-CN" w:bidi="ar"/>
              </w:rPr>
              <w:t>油气排放执法检查。</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市场监管局</w:t>
            </w:r>
          </w:p>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市公安局</w:t>
            </w:r>
            <w:r>
              <w:rPr>
                <w:rFonts w:hint="eastAsia" w:ascii="宋体" w:hAnsi="宋体" w:cs="宋体"/>
                <w:color w:val="auto"/>
                <w:kern w:val="0"/>
                <w:szCs w:val="21"/>
                <w:highlight w:val="none"/>
                <w:lang w:eastAsia="zh-CN" w:bidi="ar"/>
              </w:rPr>
              <w:t>石景山分局</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应急局</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eastAsia="zh-CN" w:bidi="ar"/>
              </w:rPr>
              <w:t>区生态环境局</w:t>
            </w:r>
          </w:p>
        </w:tc>
        <w:tc>
          <w:tcPr>
            <w:tcW w:w="733" w:type="pct"/>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商务局</w:t>
            </w:r>
          </w:p>
          <w:p>
            <w:pPr>
              <w:widowControl/>
              <w:jc w:val="center"/>
              <w:textAlignment w:val="center"/>
              <w:rPr>
                <w:rFonts w:ascii="宋体" w:hAnsi="宋体" w:cs="宋体"/>
                <w:color w:val="auto"/>
                <w:szCs w:val="21"/>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snapToGrid w:val="0"/>
              <w:rPr>
                <w:rFonts w:ascii="宋体" w:hAnsi="宋体" w:cs="宋体"/>
                <w:color w:val="auto"/>
                <w:kern w:val="0"/>
                <w:szCs w:val="21"/>
                <w:lang w:bidi="ar"/>
              </w:rPr>
            </w:pPr>
            <w:r>
              <w:rPr>
                <w:rFonts w:hint="eastAsia" w:ascii="宋体" w:hAnsi="宋体" w:cs="宋体"/>
                <w:color w:val="auto"/>
                <w:szCs w:val="21"/>
                <w:highlight w:val="none"/>
              </w:rPr>
              <w:t>督促加油站和储油库在夏季错峰装卸油，引导加油站出台鼓励夜间加油的措施。</w:t>
            </w:r>
          </w:p>
        </w:tc>
        <w:tc>
          <w:tcPr>
            <w:tcW w:w="360"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kern w:val="0"/>
                <w:szCs w:val="21"/>
                <w:lang w:bidi="ar"/>
              </w:rPr>
            </w:pPr>
            <w:r>
              <w:rPr>
                <w:rFonts w:hint="eastAsia" w:ascii="宋体" w:hAnsi="宋体" w:cs="宋体"/>
                <w:color w:val="auto"/>
                <w:szCs w:val="21"/>
                <w:highlight w:val="none"/>
              </w:rPr>
              <w:t>6-9月</w:t>
            </w:r>
          </w:p>
        </w:tc>
        <w:tc>
          <w:tcPr>
            <w:tcW w:w="1351"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lang w:eastAsia="zh-CN"/>
              </w:rPr>
              <w:t>区</w:t>
            </w:r>
            <w:r>
              <w:rPr>
                <w:rFonts w:hint="eastAsia" w:ascii="宋体" w:hAnsi="宋体" w:cs="宋体"/>
                <w:color w:val="auto"/>
                <w:szCs w:val="21"/>
                <w:highlight w:val="none"/>
              </w:rPr>
              <w:t>商务局</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szCs w:val="21"/>
                <w:highlight w:val="none"/>
                <w:lang w:eastAsia="zh-CN"/>
              </w:rPr>
              <w:t>区</w:t>
            </w:r>
            <w:r>
              <w:rPr>
                <w:rFonts w:hint="eastAsia" w:ascii="宋体" w:hAnsi="宋体" w:cs="宋体"/>
                <w:color w:val="auto"/>
                <w:szCs w:val="21"/>
                <w:highlight w:val="none"/>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7" w:type="pct"/>
            <w:vMerge w:val="restart"/>
            <w:tcBorders>
              <w:left w:val="single" w:color="auto" w:sz="4" w:space="0"/>
              <w:right w:val="single" w:color="auto" w:sz="4" w:space="0"/>
            </w:tcBorders>
            <w:noWrap w:val="0"/>
            <w:vAlign w:val="center"/>
          </w:tcPr>
          <w:p>
            <w:pPr>
              <w:snapToGrid w:val="0"/>
              <w:spacing w:line="260" w:lineRule="exact"/>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9</w:t>
            </w:r>
          </w:p>
        </w:tc>
        <w:tc>
          <w:tcPr>
            <w:tcW w:w="367" w:type="pct"/>
            <w:vMerge w:val="restart"/>
            <w:tcBorders>
              <w:left w:val="nil"/>
              <w:right w:val="single" w:color="auto" w:sz="4" w:space="0"/>
            </w:tcBorders>
            <w:noWrap w:val="0"/>
            <w:vAlign w:val="center"/>
          </w:tcPr>
          <w:p>
            <w:pPr>
              <w:snapToGrid w:val="0"/>
              <w:spacing w:line="260" w:lineRule="exact"/>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持续优化调整运输结构</w:t>
            </w:r>
          </w:p>
        </w:tc>
        <w:tc>
          <w:tcPr>
            <w:tcW w:w="1948" w:type="pct"/>
            <w:tcBorders>
              <w:top w:val="single" w:color="auto" w:sz="4" w:space="0"/>
              <w:left w:val="nil"/>
              <w:bottom w:val="single" w:color="auto" w:sz="4" w:space="0"/>
              <w:right w:val="single" w:color="auto" w:sz="4" w:space="0"/>
            </w:tcBorders>
            <w:noWrap w:val="0"/>
            <w:vAlign w:val="center"/>
          </w:tcPr>
          <w:p>
            <w:pPr>
              <w:pStyle w:val="6"/>
              <w:ind w:left="0" w:leftChars="0"/>
              <w:rPr>
                <w:rFonts w:hint="eastAsia" w:ascii="宋体" w:hAnsi="宋体" w:eastAsia="宋体" w:cs="宋体"/>
                <w:b w:val="0"/>
                <w:color w:val="auto"/>
                <w:kern w:val="0"/>
                <w:sz w:val="21"/>
                <w:szCs w:val="21"/>
                <w:lang w:val="en-US" w:eastAsia="zh-CN" w:bidi="ar"/>
              </w:rPr>
            </w:pPr>
            <w:r>
              <w:rPr>
                <w:rFonts w:hint="eastAsia" w:ascii="宋体" w:hAnsi="宋体" w:eastAsia="宋体" w:cs="宋体"/>
                <w:b w:val="0"/>
                <w:color w:val="auto"/>
                <w:kern w:val="0"/>
                <w:sz w:val="21"/>
                <w:szCs w:val="21"/>
                <w:lang w:val="en-US" w:eastAsia="zh-CN" w:bidi="ar"/>
              </w:rPr>
              <w:t>推动混凝土搅拌站逐步提高矿建材料的绿色运输比例，鼓励搅拌站经营者使用纯电动或氢能源搅拌罐车运输混凝土。</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color w:val="auto"/>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eastAsia="zh-CN" w:bidi="ar"/>
              </w:rPr>
              <w:t>市</w:t>
            </w:r>
            <w:r>
              <w:rPr>
                <w:rFonts w:hint="eastAsia" w:ascii="宋体" w:hAnsi="宋体" w:cs="宋体"/>
                <w:color w:val="auto"/>
                <w:kern w:val="0"/>
                <w:szCs w:val="21"/>
                <w:lang w:bidi="ar"/>
              </w:rPr>
              <w:t>建设委</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strike w:val="0"/>
                <w:dstrike w:val="0"/>
                <w:color w:val="auto"/>
                <w:kern w:val="0"/>
                <w:sz w:val="21"/>
                <w:szCs w:val="21"/>
                <w:highlight w:val="none"/>
                <w:lang w:val="en-US" w:eastAsia="zh-CN" w:bidi="ar"/>
              </w:rPr>
            </w:pPr>
            <w:r>
              <w:rPr>
                <w:rFonts w:hint="eastAsia" w:ascii="宋体" w:hAnsi="宋体" w:cs="宋体"/>
                <w:strike w:val="0"/>
                <w:dstrike w:val="0"/>
                <w:color w:val="auto"/>
                <w:kern w:val="0"/>
                <w:szCs w:val="21"/>
                <w:highlight w:val="none"/>
                <w:lang w:bidi="ar"/>
              </w:rPr>
              <w:t>鼓励重点企业等用车单位通过与运输企业（个人）签订合作协议等方式实现绿色运输。</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trike w:val="0"/>
                <w:dstrike w:val="0"/>
                <w:color w:val="auto"/>
                <w:kern w:val="0"/>
                <w:sz w:val="21"/>
                <w:szCs w:val="21"/>
                <w:highlight w:val="none"/>
                <w:lang w:val="en-US" w:eastAsia="zh-CN" w:bidi="ar"/>
              </w:rPr>
            </w:pPr>
            <w:r>
              <w:rPr>
                <w:rFonts w:hint="eastAsia" w:ascii="宋体" w:hAnsi="宋体" w:eastAsia="宋体" w:cs="宋体"/>
                <w:strike w:val="0"/>
                <w:dstrike w:val="0"/>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auto"/>
              <w:rPr>
                <w:rFonts w:hint="eastAsia" w:ascii="宋体" w:hAnsi="宋体" w:cs="宋体"/>
                <w:color w:val="auto"/>
                <w:kern w:val="0"/>
                <w:szCs w:val="21"/>
                <w:lang w:eastAsia="zh-CN" w:bidi="ar"/>
              </w:rPr>
            </w:pPr>
            <w:r>
              <w:rPr>
                <w:rFonts w:hint="eastAsia" w:ascii="宋体" w:hAnsi="宋体" w:cs="宋体"/>
                <w:color w:val="auto"/>
                <w:kern w:val="0"/>
                <w:szCs w:val="21"/>
                <w:lang w:val="en-US" w:eastAsia="zh-CN" w:bidi="ar"/>
              </w:rPr>
              <w:t>区住房</w:t>
            </w:r>
            <w:r>
              <w:rPr>
                <w:rFonts w:hint="eastAsia" w:ascii="宋体" w:hAnsi="宋体" w:cs="宋体"/>
                <w:color w:val="auto"/>
                <w:kern w:val="0"/>
                <w:szCs w:val="21"/>
                <w:lang w:eastAsia="zh-CN" w:bidi="ar"/>
              </w:rPr>
              <w:t>城市建设委</w:t>
            </w:r>
          </w:p>
          <w:p>
            <w:pPr>
              <w:widowControl/>
              <w:jc w:val="center"/>
              <w:textAlignment w:val="auto"/>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区城市管理委</w:t>
            </w:r>
          </w:p>
          <w:p>
            <w:pPr>
              <w:widowControl/>
              <w:jc w:val="center"/>
              <w:textAlignment w:val="auto"/>
              <w:rPr>
                <w:rFonts w:hint="eastAsia"/>
              </w:rPr>
            </w:pPr>
            <w:r>
              <w:rPr>
                <w:rFonts w:hint="eastAsia" w:ascii="宋体" w:hAnsi="宋体" w:cs="宋体"/>
                <w:color w:val="auto"/>
                <w:kern w:val="0"/>
                <w:szCs w:val="21"/>
                <w:lang w:val="en-US" w:eastAsia="zh-CN" w:bidi="ar"/>
              </w:rPr>
              <w:t>区经济和信息化局</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eastAsia="zh-CN"/>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6"/>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黑体" w:hAnsi="黑体" w:eastAsia="黑体" w:cs="黑体"/>
                <w:color w:val="auto"/>
                <w:szCs w:val="21"/>
              </w:rPr>
              <w:t>三、以企业含绿量提升为主线，推动工程减排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37" w:type="pct"/>
            <w:vMerge w:val="restart"/>
            <w:tcBorders>
              <w:top w:val="nil"/>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推动企业“含绿量”提升</w:t>
            </w: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推进重点行业企业绿色升级，结合实际</w:t>
            </w:r>
            <w:r>
              <w:rPr>
                <w:rFonts w:hint="eastAsia" w:ascii="宋体" w:hAnsi="宋体" w:cs="宋体"/>
                <w:kern w:val="0"/>
                <w:szCs w:val="21"/>
                <w:highlight w:val="none"/>
                <w:lang w:eastAsia="zh-CN" w:bidi="ar"/>
              </w:rPr>
              <w:t>加大减排力度</w:t>
            </w:r>
            <w:r>
              <w:rPr>
                <w:rFonts w:hint="eastAsia" w:ascii="宋体" w:hAnsi="宋体" w:cs="宋体"/>
                <w:kern w:val="0"/>
                <w:szCs w:val="21"/>
                <w:highlight w:val="none"/>
                <w:lang w:bidi="ar"/>
              </w:rPr>
              <w:t>，2025年绿色企业比率</w:t>
            </w:r>
            <w:r>
              <w:rPr>
                <w:rFonts w:hint="eastAsia" w:ascii="宋体" w:hAnsi="宋体" w:cs="宋体"/>
                <w:kern w:val="0"/>
                <w:szCs w:val="21"/>
                <w:highlight w:val="none"/>
                <w:lang w:eastAsia="zh-CN" w:bidi="ar"/>
              </w:rPr>
              <w:t>平均</w:t>
            </w:r>
            <w:r>
              <w:rPr>
                <w:rFonts w:hint="eastAsia" w:ascii="宋体" w:hAnsi="宋体" w:cs="宋体"/>
                <w:kern w:val="0"/>
                <w:szCs w:val="21"/>
                <w:highlight w:val="none"/>
                <w:lang w:bidi="ar"/>
              </w:rPr>
              <w:t>不低于</w:t>
            </w:r>
            <w:r>
              <w:rPr>
                <w:rFonts w:hint="eastAsia" w:ascii="宋体" w:hAnsi="宋体" w:cs="宋体"/>
                <w:kern w:val="0"/>
                <w:szCs w:val="21"/>
                <w:highlight w:val="none"/>
                <w:lang w:val="en-US" w:eastAsia="zh-CN" w:bidi="ar"/>
              </w:rPr>
              <w:t>30</w:t>
            </w:r>
            <w:r>
              <w:rPr>
                <w:rFonts w:hint="eastAsia" w:ascii="宋体" w:hAnsi="宋体" w:cs="宋体"/>
                <w:kern w:val="0"/>
                <w:szCs w:val="21"/>
                <w:highlight w:val="none"/>
                <w:lang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p>
            <w:pPr>
              <w:widowControl/>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widowControl/>
              <w:jc w:val="center"/>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经济和信息化局</w:t>
            </w:r>
          </w:p>
          <w:p>
            <w:pPr>
              <w:widowControl/>
              <w:jc w:val="center"/>
              <w:textAlignment w:val="center"/>
              <w:rPr>
                <w:rFonts w:hint="eastAsia" w:ascii="宋体" w:hAnsi="宋体" w:cs="宋体"/>
                <w:kern w:val="0"/>
                <w:szCs w:val="21"/>
                <w:highlight w:val="none"/>
                <w:lang w:bidi="ar"/>
              </w:rPr>
            </w:pPr>
            <w:r>
              <w:rPr>
                <w:rFonts w:hint="eastAsia" w:ascii="宋体" w:hAnsi="宋体" w:eastAsia="宋体" w:cs="宋体"/>
                <w:color w:val="auto"/>
                <w:kern w:val="0"/>
                <w:sz w:val="21"/>
                <w:szCs w:val="21"/>
                <w:highlight w:val="none"/>
                <w:lang w:val="en-US" w:eastAsia="zh-CN" w:bidi="ar"/>
              </w:rPr>
              <w:t>市交通委石景山运输管理分局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hint="eastAsia" w:ascii="宋体" w:hAnsi="宋体" w:eastAsia="宋体" w:cs="宋体"/>
                <w:b/>
                <w:bCs/>
                <w:color w:val="auto"/>
                <w:kern w:val="0"/>
                <w:szCs w:val="21"/>
                <w:highlight w:val="yellow"/>
                <w:lang w:eastAsia="zh-CN"/>
              </w:rPr>
            </w:pPr>
            <w:r>
              <w:rPr>
                <w:rFonts w:hint="eastAsia" w:ascii="宋体" w:hAnsi="宋体" w:cs="宋体"/>
                <w:kern w:val="0"/>
                <w:szCs w:val="21"/>
                <w:highlight w:val="none"/>
                <w:lang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开展清洁生产审核和技术改造升级，推动节能、降耗、减污、增效。按照全市统一部署全面承担强制性清洁生产审核单位名单制定和评估、技术改造、验收等工作。</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发展改革委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组织企业开展环保技</w:t>
            </w:r>
            <w:r>
              <w:rPr>
                <w:rFonts w:hint="eastAsia" w:ascii="宋体" w:hAnsi="宋体" w:cs="宋体"/>
                <w:color w:val="auto"/>
                <w:kern w:val="0"/>
                <w:szCs w:val="21"/>
                <w:highlight w:val="none"/>
                <w:lang w:eastAsia="zh-CN" w:bidi="ar"/>
              </w:rPr>
              <w:t>术</w:t>
            </w:r>
            <w:r>
              <w:rPr>
                <w:rFonts w:hint="eastAsia" w:ascii="宋体" w:hAnsi="宋体" w:cs="宋体"/>
                <w:color w:val="auto"/>
                <w:kern w:val="0"/>
                <w:szCs w:val="21"/>
                <w:highlight w:val="none"/>
                <w:lang w:bidi="ar"/>
              </w:rPr>
              <w:t>改</w:t>
            </w:r>
            <w:r>
              <w:rPr>
                <w:rFonts w:hint="eastAsia" w:ascii="宋体" w:hAnsi="宋体" w:cs="宋体"/>
                <w:color w:val="auto"/>
                <w:kern w:val="0"/>
                <w:szCs w:val="21"/>
                <w:highlight w:val="none"/>
                <w:lang w:eastAsia="zh-CN" w:bidi="ar"/>
              </w:rPr>
              <w:t>造</w:t>
            </w:r>
            <w:r>
              <w:rPr>
                <w:rFonts w:hint="eastAsia" w:ascii="宋体" w:hAnsi="宋体" w:cs="宋体"/>
                <w:color w:val="auto"/>
                <w:kern w:val="0"/>
                <w:szCs w:val="21"/>
                <w:highlight w:val="none"/>
                <w:lang w:bidi="ar"/>
              </w:rPr>
              <w:t>升级，实施重点行业“一厂一策”精细化治理。开展锅炉使用单位环保绩效分级管理，组织锅炉使用单位进行环保绩效评级和提级改造，力争年底前B级及以上锅炉使用单位达到</w:t>
            </w:r>
            <w:r>
              <w:rPr>
                <w:rFonts w:hint="eastAsia" w:ascii="宋体" w:hAnsi="宋体" w:cs="宋体"/>
                <w:color w:val="auto"/>
                <w:kern w:val="0"/>
                <w:szCs w:val="21"/>
                <w:highlight w:val="none"/>
                <w:lang w:val="en-US" w:eastAsia="zh-CN" w:bidi="ar"/>
              </w:rPr>
              <w:t>12</w:t>
            </w:r>
            <w:r>
              <w:rPr>
                <w:rFonts w:ascii="宋体" w:hAnsi="宋体" w:cs="宋体"/>
                <w:color w:val="auto"/>
                <w:kern w:val="0"/>
                <w:szCs w:val="21"/>
                <w:highlight w:val="none"/>
                <w:lang w:bidi="ar"/>
              </w:rPr>
              <w:t>家</w:t>
            </w:r>
            <w:r>
              <w:rPr>
                <w:rFonts w:hint="eastAsia" w:ascii="宋体" w:hAnsi="宋体" w:cs="宋体"/>
                <w:color w:val="auto"/>
                <w:kern w:val="0"/>
                <w:szCs w:val="21"/>
                <w:highlight w:val="none"/>
                <w:lang w:bidi="ar"/>
              </w:rPr>
              <w:t>以上。</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生态环境局</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经济和信息化局</w:t>
            </w:r>
          </w:p>
          <w:p>
            <w:pPr>
              <w:snapToGrid w:val="0"/>
              <w:spacing w:line="260" w:lineRule="exact"/>
              <w:ind w:right="-105" w:rightChars="-5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财政局</w:t>
            </w:r>
          </w:p>
          <w:p>
            <w:pPr>
              <w:snapToGrid w:val="0"/>
              <w:spacing w:line="260" w:lineRule="exact"/>
              <w:ind w:right="-105" w:rightChars="-5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市规划自然资源委</w:t>
            </w:r>
          </w:p>
          <w:p>
            <w:pPr>
              <w:snapToGrid w:val="0"/>
              <w:spacing w:line="260" w:lineRule="exact"/>
              <w:ind w:right="-105" w:rightChars="-5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石景山分局</w:t>
            </w:r>
          </w:p>
          <w:p>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kern w:val="0"/>
                <w:szCs w:val="21"/>
                <w:lang w:eastAsia="zh-CN" w:bidi="ar"/>
              </w:rPr>
              <w:t>结合资源禀赋、实施条件，带动一批锅炉使用单位通过新能源利用、深度低氮改造等工程措施开展提级改造，完成40蒸吨以上。</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spacing w:line="240" w:lineRule="auto"/>
              <w:jc w:val="center"/>
              <w:rPr>
                <w:rFonts w:hint="eastAsia"/>
                <w:lang w:eastAsia="zh-CN"/>
              </w:rPr>
            </w:pPr>
            <w:r>
              <w:rPr>
                <w:rFonts w:hint="eastAsia"/>
                <w:lang w:eastAsia="zh-CN"/>
              </w:rPr>
              <w:t>区生态环境局</w:t>
            </w:r>
          </w:p>
          <w:p>
            <w:pPr>
              <w:snapToGrid/>
              <w:spacing w:line="240" w:lineRule="auto"/>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城市管理委</w:t>
            </w:r>
          </w:p>
          <w:p>
            <w:pPr>
              <w:jc w:val="center"/>
              <w:rPr>
                <w:rFonts w:hint="eastAsia" w:ascii="Calibri" w:hAnsi="Calibri" w:eastAsia="宋体" w:cs="Times New Roman"/>
                <w:kern w:val="2"/>
                <w:sz w:val="21"/>
                <w:szCs w:val="24"/>
                <w:lang w:val="en-US" w:eastAsia="zh-CN" w:bidi="ar-SA"/>
              </w:rPr>
            </w:pPr>
            <w:r>
              <w:rPr>
                <w:rFonts w:hint="eastAsia" w:ascii="宋体" w:hAnsi="宋体" w:cs="宋体"/>
                <w:color w:val="auto"/>
                <w:szCs w:val="21"/>
                <w:lang w:eastAsia="zh-CN"/>
              </w:rPr>
              <w:t>区</w:t>
            </w:r>
            <w:r>
              <w:rPr>
                <w:rFonts w:hint="eastAsia" w:ascii="宋体" w:hAnsi="宋体" w:cs="宋体"/>
                <w:color w:val="auto"/>
                <w:szCs w:val="21"/>
              </w:rPr>
              <w:t>发展改革委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kern w:val="0"/>
                <w:szCs w:val="21"/>
                <w:highlight w:val="none"/>
                <w:lang w:eastAsia="zh" w:bidi="ar"/>
              </w:rPr>
              <w:t>鼓励</w:t>
            </w:r>
            <w:r>
              <w:rPr>
                <w:rFonts w:hint="eastAsia" w:ascii="宋体" w:hAnsi="宋体" w:cs="宋体"/>
                <w:kern w:val="0"/>
                <w:szCs w:val="21"/>
                <w:highlight w:val="none"/>
                <w:lang w:bidi="ar"/>
              </w:rPr>
              <w:t>企业和项目</w:t>
            </w:r>
            <w:r>
              <w:rPr>
                <w:rFonts w:hint="eastAsia" w:ascii="宋体" w:hAnsi="宋体" w:cs="宋体"/>
                <w:kern w:val="0"/>
                <w:szCs w:val="21"/>
                <w:highlight w:val="none"/>
                <w:lang w:eastAsia="zh" w:bidi="ar"/>
              </w:rPr>
              <w:t>开展</w:t>
            </w:r>
            <w:r>
              <w:rPr>
                <w:rFonts w:hint="eastAsia" w:ascii="宋体" w:hAnsi="宋体" w:cs="宋体"/>
                <w:kern w:val="0"/>
                <w:szCs w:val="21"/>
                <w:highlight w:val="none"/>
                <w:lang w:bidi="ar"/>
              </w:rPr>
              <w:t>绿色绩效评价</w:t>
            </w:r>
            <w:r>
              <w:rPr>
                <w:rFonts w:hint="eastAsia" w:ascii="宋体" w:hAnsi="宋体" w:cs="宋体"/>
                <w:kern w:val="0"/>
                <w:szCs w:val="21"/>
                <w:highlight w:val="none"/>
                <w:lang w:eastAsia="zh" w:bidi="ar"/>
              </w:rPr>
              <w:t>，推进火电</w:t>
            </w:r>
            <w:r>
              <w:rPr>
                <w:rFonts w:hint="eastAsia" w:ascii="宋体" w:hAnsi="宋体" w:cs="宋体"/>
                <w:kern w:val="0"/>
                <w:szCs w:val="21"/>
                <w:highlight w:val="none"/>
                <w:lang w:bidi="ar"/>
              </w:rPr>
              <w:t>行业创绿先行先试</w:t>
            </w:r>
            <w:r>
              <w:rPr>
                <w:rFonts w:hint="eastAsia" w:ascii="宋体" w:hAnsi="宋体" w:cs="宋体"/>
                <w:kern w:val="0"/>
                <w:szCs w:val="21"/>
                <w:highlight w:val="none"/>
                <w:lang w:eastAsia="zh"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hint="eastAsia" w:ascii="宋体" w:hAnsi="宋体" w:eastAsia="宋体" w:cs="宋体"/>
                <w:color w:val="auto"/>
                <w:kern w:val="0"/>
                <w:szCs w:val="21"/>
                <w:highlight w:val="yellow"/>
                <w:lang w:eastAsia="zh-CN"/>
              </w:rPr>
            </w:pPr>
            <w:r>
              <w:rPr>
                <w:rFonts w:hint="eastAsia" w:ascii="宋体" w:hAnsi="宋体" w:cs="宋体"/>
                <w:color w:val="auto"/>
                <w:kern w:val="0"/>
                <w:szCs w:val="21"/>
                <w:highlight w:val="none"/>
                <w:lang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kern w:val="0"/>
                <w:szCs w:val="21"/>
                <w:highlight w:val="none"/>
                <w:lang w:bidi="ar"/>
              </w:rPr>
              <w:t>全面推行绿色制造，鼓励重点行业企业开展绿色诊断服务</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完成一般制造业企业提质1家</w:t>
            </w:r>
            <w:r>
              <w:rPr>
                <w:rFonts w:hint="eastAsia" w:ascii="宋体" w:hAnsi="宋体" w:cs="宋体"/>
                <w:kern w:val="0"/>
                <w:szCs w:val="21"/>
                <w:highlight w:val="none"/>
                <w:lang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经济和信息化局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kern w:val="0"/>
                <w:szCs w:val="21"/>
                <w:highlight w:val="yellow"/>
                <w:lang w:bidi="ar"/>
              </w:rPr>
            </w:pPr>
            <w:r>
              <w:rPr>
                <w:rFonts w:hint="eastAsia" w:ascii="宋体" w:hAnsi="宋体" w:cs="宋体"/>
                <w:kern w:val="0"/>
                <w:szCs w:val="21"/>
                <w:lang w:bidi="ar"/>
              </w:rPr>
              <w:t>对标空气重污染应急环保绩效评级要求，督促重点行业企业实施治理改造、管理升级等措施；年底前，</w:t>
            </w:r>
            <w:r>
              <w:rPr>
                <w:rFonts w:hint="eastAsia" w:ascii="宋体" w:hAnsi="宋体" w:cs="宋体"/>
                <w:kern w:val="0"/>
                <w:szCs w:val="21"/>
                <w:lang w:eastAsia="zh-CN" w:bidi="ar"/>
              </w:rPr>
              <w:t>区内</w:t>
            </w:r>
            <w:r>
              <w:rPr>
                <w:rFonts w:hint="eastAsia" w:ascii="宋体" w:hAnsi="宋体" w:cs="宋体"/>
                <w:kern w:val="0"/>
                <w:szCs w:val="21"/>
                <w:lang w:bidi="ar"/>
              </w:rPr>
              <w:t>环保绩效D级企业基本清零</w:t>
            </w:r>
            <w:r>
              <w:rPr>
                <w:rFonts w:hint="eastAsia" w:ascii="宋体" w:hAnsi="宋体" w:cs="宋体"/>
                <w:kern w:val="0"/>
                <w:szCs w:val="21"/>
                <w:lang w:eastAsia="zh-CN" w:bidi="ar"/>
              </w:rPr>
              <w:t>，</w:t>
            </w:r>
            <w:r>
              <w:rPr>
                <w:rFonts w:hint="eastAsia" w:ascii="宋体" w:hAnsi="宋体" w:cs="宋体"/>
                <w:kern w:val="0"/>
                <w:szCs w:val="21"/>
                <w:lang w:bidi="ar"/>
              </w:rPr>
              <w:t>A级（绩效引领）、B级企业占比达到15</w:t>
            </w:r>
            <w:r>
              <w:rPr>
                <w:rFonts w:ascii="宋体" w:hAnsi="宋体" w:cs="宋体"/>
                <w:kern w:val="0"/>
                <w:szCs w:val="21"/>
                <w:lang w:bidi="ar"/>
              </w:rPr>
              <w:t>%</w:t>
            </w:r>
            <w:r>
              <w:rPr>
                <w:rFonts w:hint="eastAsia" w:ascii="宋体" w:hAnsi="宋体" w:cs="宋体"/>
                <w:kern w:val="0"/>
                <w:szCs w:val="21"/>
                <w:lang w:bidi="ar"/>
              </w:rPr>
              <w:t>左右。</w:t>
            </w:r>
          </w:p>
        </w:tc>
        <w:tc>
          <w:tcPr>
            <w:tcW w:w="36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13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p>
            <w:pPr>
              <w:widowControl/>
              <w:jc w:val="center"/>
              <w:textAlignment w:val="center"/>
              <w:rPr>
                <w:rFonts w:hint="eastAsia"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经济和信息化局</w:t>
            </w:r>
          </w:p>
          <w:p>
            <w:pPr>
              <w:widowControl/>
              <w:jc w:val="center"/>
              <w:textAlignment w:val="auto"/>
              <w:rPr>
                <w:rFonts w:hint="eastAsia" w:ascii="宋体" w:hAnsi="宋体" w:cs="宋体"/>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ascii="宋体" w:hAnsi="宋体" w:cs="宋体"/>
                <w:color w:val="auto"/>
                <w:kern w:val="0"/>
                <w:szCs w:val="21"/>
                <w:highlight w:val="yellow"/>
                <w:lang w:bidi="ar"/>
              </w:rPr>
            </w:pPr>
            <w:r>
              <w:rPr>
                <w:rFonts w:hint="eastAsia" w:ascii="宋体" w:hAnsi="宋体" w:cs="宋体"/>
                <w:color w:val="auto"/>
                <w:kern w:val="0"/>
                <w:szCs w:val="21"/>
                <w:highlight w:val="none"/>
                <w:lang w:bidi="ar"/>
              </w:rPr>
              <w:t>市交通委石景山运输管理分局</w:t>
            </w:r>
          </w:p>
        </w:tc>
        <w:tc>
          <w:tcPr>
            <w:tcW w:w="733" w:type="pct"/>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ind w:right="0" w:rightChars="0"/>
              <w:jc w:val="left"/>
              <w:rPr>
                <w:rFonts w:ascii="宋体" w:hAnsi="宋体" w:cs="宋体"/>
                <w:color w:val="auto"/>
                <w:kern w:val="0"/>
                <w:szCs w:val="21"/>
                <w:highlight w:val="yellow"/>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空气重污染应急指挥部成员单位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6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推广使用低VOCs含量产品</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kern w:val="0"/>
                <w:szCs w:val="21"/>
                <w:lang w:eastAsia="zh-CN" w:bidi="ar"/>
              </w:rPr>
            </w:pPr>
            <w:r>
              <w:rPr>
                <w:rFonts w:hint="eastAsia" w:ascii="宋体" w:hAnsi="宋体" w:cs="宋体"/>
                <w:kern w:val="0"/>
                <w:szCs w:val="21"/>
                <w:lang w:bidi="ar"/>
              </w:rPr>
              <w:t>各行业主管部门推进本行业使用含VOCs产品源头替代。工业企业涂装工序应使用符合国家和本市标准的低VOCs含量涂料，推广使用水基、本体型等低VOCs含量胶粘剂；建筑施工、室外构筑物防护和道路交通标识等其他涂装作业，推广使用水性、高固体分、无溶剂、粉末等涂料和水基、本体型等低VOCs含量胶粘剂</w:t>
            </w:r>
            <w:r>
              <w:rPr>
                <w:rFonts w:hint="eastAsia" w:ascii="宋体" w:hAnsi="宋体" w:cs="宋体"/>
                <w:kern w:val="0"/>
                <w:szCs w:val="21"/>
                <w:lang w:eastAsia="zh-CN" w:bidi="ar"/>
              </w:rPr>
              <w:t>。</w:t>
            </w:r>
          </w:p>
          <w:p>
            <w:pPr>
              <w:widowControl/>
              <w:textAlignment w:val="center"/>
              <w:rPr>
                <w:rFonts w:ascii="宋体" w:hAnsi="宋体" w:cs="宋体"/>
                <w:kern w:val="0"/>
                <w:szCs w:val="21"/>
                <w:lang w:bidi="ar"/>
              </w:rPr>
            </w:pPr>
            <w:r>
              <w:rPr>
                <w:rFonts w:hint="eastAsia" w:ascii="宋体" w:hAnsi="宋体" w:cs="宋体"/>
                <w:kern w:val="0"/>
                <w:szCs w:val="21"/>
                <w:lang w:bidi="ar"/>
              </w:rPr>
              <w:t>政府采购项目在同等条件下应优先使用低VOCs含量产品。</w:t>
            </w:r>
          </w:p>
          <w:p>
            <w:pPr>
              <w:widowControl/>
              <w:textAlignment w:val="center"/>
              <w:rPr>
                <w:rFonts w:ascii="宋体" w:hAnsi="宋体" w:cs="宋体"/>
                <w:color w:val="auto"/>
                <w:kern w:val="0"/>
                <w:szCs w:val="21"/>
                <w:highlight w:val="yellow"/>
                <w:lang w:bidi="ar"/>
              </w:rPr>
            </w:pPr>
            <w:r>
              <w:rPr>
                <w:rFonts w:hint="eastAsia" w:ascii="宋体" w:hAnsi="宋体" w:cs="宋体"/>
                <w:kern w:val="0"/>
                <w:szCs w:val="21"/>
                <w:lang w:bidi="ar"/>
              </w:rPr>
              <w:t>严格控制生产和使用高VOCs含量涂料、油墨、胶粘剂、清洗剂等建设项目。</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经济和信息化局</w:t>
            </w:r>
          </w:p>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住房城</w:t>
            </w:r>
            <w:r>
              <w:rPr>
                <w:rFonts w:hint="eastAsia" w:ascii="宋体" w:hAnsi="宋体" w:cs="宋体"/>
                <w:kern w:val="0"/>
                <w:szCs w:val="21"/>
                <w:highlight w:val="none"/>
                <w:lang w:eastAsia="zh-CN" w:bidi="ar"/>
              </w:rPr>
              <w:t>市</w:t>
            </w:r>
            <w:r>
              <w:rPr>
                <w:rFonts w:hint="eastAsia" w:ascii="宋体" w:hAnsi="宋体" w:cs="宋体"/>
                <w:kern w:val="0"/>
                <w:szCs w:val="21"/>
                <w:highlight w:val="none"/>
                <w:lang w:bidi="ar"/>
              </w:rPr>
              <w:t>建设委</w:t>
            </w:r>
          </w:p>
          <w:p>
            <w:pPr>
              <w:widowControl/>
              <w:jc w:val="center"/>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市交通委石景山运输管理分局</w:t>
            </w:r>
          </w:p>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城市管理委</w:t>
            </w:r>
          </w:p>
          <w:p>
            <w:pPr>
              <w:widowControl/>
              <w:snapToGrid/>
              <w:ind w:left="0" w:leftChars="0" w:right="0" w:rightChars="0"/>
              <w:jc w:val="center"/>
              <w:textAlignment w:val="center"/>
              <w:rPr>
                <w:color w:val="auto"/>
                <w:highlight w:val="yellow"/>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财政局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hint="eastAsia" w:ascii="宋体" w:hAnsi="宋体" w:eastAsia="宋体" w:cs="宋体"/>
                <w:color w:val="auto"/>
                <w:kern w:val="0"/>
                <w:szCs w:val="21"/>
                <w:highlight w:val="yellow"/>
                <w:lang w:eastAsia="zh-CN"/>
              </w:rPr>
            </w:pPr>
            <w:r>
              <w:rPr>
                <w:rFonts w:hint="eastAsia" w:ascii="宋体" w:hAnsi="宋体" w:cs="宋体"/>
                <w:kern w:val="0"/>
                <w:szCs w:val="21"/>
                <w:highlight w:val="none"/>
                <w:lang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kern w:val="0"/>
                <w:szCs w:val="21"/>
                <w:highlight w:val="yellow"/>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snapToGrid/>
              <w:jc w:val="left"/>
              <w:textAlignment w:val="center"/>
              <w:rPr>
                <w:rFonts w:hint="eastAsia" w:ascii="宋体" w:hAnsi="宋体" w:cs="宋体"/>
                <w:szCs w:val="21"/>
              </w:rPr>
            </w:pPr>
            <w:r>
              <w:rPr>
                <w:rFonts w:hint="eastAsia" w:ascii="宋体" w:hAnsi="宋体" w:cs="宋体"/>
                <w:kern w:val="0"/>
                <w:szCs w:val="21"/>
                <w:highlight w:val="none"/>
                <w:lang w:eastAsia="zh-CN" w:bidi="ar"/>
              </w:rPr>
              <w:t>区市场监管局对生产、销售的涂料、胶粘剂等含VOCs产品开展抽检</w:t>
            </w:r>
            <w:r>
              <w:rPr>
                <w:rFonts w:hint="eastAsia" w:ascii="宋体" w:hAnsi="宋体" w:cs="宋体"/>
                <w:kern w:val="0"/>
                <w:szCs w:val="21"/>
                <w:highlight w:val="none"/>
                <w:lang w:val="en-US" w:eastAsia="zh-CN" w:bidi="ar"/>
              </w:rPr>
              <w:t>,</w:t>
            </w:r>
            <w:r>
              <w:rPr>
                <w:rFonts w:hint="eastAsia" w:ascii="宋体" w:hAnsi="宋体" w:cs="宋体"/>
                <w:szCs w:val="21"/>
              </w:rPr>
              <w:t>全年抽样检测量不低于</w:t>
            </w:r>
            <w:r>
              <w:rPr>
                <w:rFonts w:hint="eastAsia" w:ascii="宋体" w:hAnsi="宋体" w:cs="宋体"/>
                <w:szCs w:val="21"/>
                <w:highlight w:val="none"/>
                <w:lang w:eastAsia="zh-CN"/>
              </w:rPr>
              <w:t>1</w:t>
            </w:r>
            <w:r>
              <w:rPr>
                <w:rFonts w:hint="eastAsia" w:ascii="宋体" w:hAnsi="宋体" w:cs="宋体"/>
                <w:szCs w:val="21"/>
                <w:highlight w:val="none"/>
                <w:lang w:val="en-US" w:eastAsia="zh-CN"/>
              </w:rPr>
              <w:t>2</w:t>
            </w:r>
            <w:r>
              <w:rPr>
                <w:rFonts w:hint="eastAsia" w:ascii="宋体" w:hAnsi="宋体" w:cs="宋体"/>
                <w:szCs w:val="21"/>
                <w:highlight w:val="none"/>
              </w:rPr>
              <w:t>组；</w:t>
            </w:r>
            <w:r>
              <w:rPr>
                <w:rFonts w:hint="eastAsia" w:ascii="宋体" w:hAnsi="宋体" w:cs="宋体"/>
                <w:szCs w:val="21"/>
              </w:rPr>
              <w:t>VOCs含量</w:t>
            </w:r>
            <w:r>
              <w:rPr>
                <w:rFonts w:hint="eastAsia" w:ascii="宋体" w:hAnsi="宋体" w:cs="宋体"/>
                <w:szCs w:val="21"/>
                <w:lang w:eastAsia="zh"/>
              </w:rPr>
              <w:t>抽检</w:t>
            </w:r>
            <w:r>
              <w:rPr>
                <w:rFonts w:hint="eastAsia" w:ascii="宋体" w:hAnsi="宋体" w:cs="宋体"/>
                <w:szCs w:val="21"/>
              </w:rPr>
              <w:t>结果向住房城</w:t>
            </w:r>
            <w:r>
              <w:rPr>
                <w:rFonts w:hint="eastAsia" w:ascii="宋体" w:hAnsi="宋体" w:cs="宋体"/>
                <w:szCs w:val="21"/>
                <w:lang w:eastAsia="zh-CN"/>
              </w:rPr>
              <w:t>市</w:t>
            </w:r>
            <w:r>
              <w:rPr>
                <w:rFonts w:hint="eastAsia" w:ascii="宋体" w:hAnsi="宋体" w:cs="宋体"/>
                <w:szCs w:val="21"/>
              </w:rPr>
              <w:t>建设、城市管理、交通、生态环境等部门通报，抽检不合格的产品及时向社会公示。</w:t>
            </w:r>
          </w:p>
          <w:p>
            <w:pPr>
              <w:widowControl/>
              <w:snapToGrid w:val="0"/>
              <w:jc w:val="left"/>
              <w:textAlignment w:val="center"/>
              <w:rPr>
                <w:rFonts w:hint="eastAsia" w:hAnsi="宋体" w:eastAsia="宋体" w:cs="宋体"/>
                <w:color w:val="auto"/>
                <w:kern w:val="0"/>
                <w:szCs w:val="21"/>
                <w:highlight w:val="yellow"/>
                <w:lang w:eastAsia="zh-CN"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住房城</w:t>
            </w:r>
            <w:r>
              <w:rPr>
                <w:rFonts w:hint="eastAsia" w:ascii="宋体" w:hAnsi="宋体" w:cs="宋体"/>
                <w:kern w:val="0"/>
                <w:szCs w:val="21"/>
                <w:highlight w:val="none"/>
                <w:lang w:eastAsia="zh-CN" w:bidi="ar"/>
              </w:rPr>
              <w:t>市</w:t>
            </w:r>
            <w:r>
              <w:rPr>
                <w:rFonts w:hint="eastAsia" w:ascii="宋体" w:hAnsi="宋体" w:cs="宋体"/>
                <w:kern w:val="0"/>
                <w:szCs w:val="21"/>
                <w:highlight w:val="none"/>
                <w:lang w:bidi="ar"/>
              </w:rPr>
              <w:t>建设委</w:t>
            </w: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城市管理委</w:t>
            </w:r>
            <w:r>
              <w:rPr>
                <w:rFonts w:hint="eastAsia" w:ascii="宋体" w:hAnsi="宋体" w:cs="宋体"/>
                <w:szCs w:val="21"/>
              </w:rPr>
              <w:t>组织对建筑类涂料与胶粘剂台账、检测报告等材料开展定期检查，并按照不低于15%的比例对施工工地开展抽检，检查和抽检结果按季度通报</w:t>
            </w:r>
            <w:r>
              <w:rPr>
                <w:rFonts w:hint="eastAsia" w:hAnsi="宋体" w:cs="宋体"/>
                <w:szCs w:val="21"/>
                <w:lang w:eastAsia="zh-CN"/>
              </w:rPr>
              <w:t>区</w:t>
            </w:r>
            <w:r>
              <w:rPr>
                <w:rFonts w:hint="eastAsia" w:ascii="宋体" w:hAnsi="宋体" w:cs="宋体"/>
                <w:szCs w:val="21"/>
              </w:rPr>
              <w:t>生态环境局，对发现的含VOCs原辅材料检测超标线索移交</w:t>
            </w: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市场监管局</w:t>
            </w:r>
            <w:r>
              <w:rPr>
                <w:rFonts w:hint="eastAsia" w:ascii="宋体" w:hAnsi="宋体" w:cs="宋体"/>
                <w:szCs w:val="21"/>
                <w:lang w:eastAsia="zh-CN"/>
              </w:rPr>
              <w:t>。</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市场监管局</w:t>
            </w:r>
          </w:p>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住房城</w:t>
            </w:r>
            <w:r>
              <w:rPr>
                <w:rFonts w:hint="eastAsia" w:ascii="宋体" w:hAnsi="宋体" w:cs="宋体"/>
                <w:kern w:val="0"/>
                <w:szCs w:val="21"/>
                <w:highlight w:val="none"/>
                <w:lang w:eastAsia="zh-CN" w:bidi="ar"/>
              </w:rPr>
              <w:t>市</w:t>
            </w:r>
            <w:r>
              <w:rPr>
                <w:rFonts w:hint="eastAsia" w:ascii="宋体" w:hAnsi="宋体" w:cs="宋体"/>
                <w:kern w:val="0"/>
                <w:szCs w:val="21"/>
                <w:highlight w:val="none"/>
                <w:lang w:bidi="ar"/>
              </w:rPr>
              <w:t>建设委</w:t>
            </w:r>
          </w:p>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城市管理委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yellow"/>
              </w:rPr>
            </w:pP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37" w:type="pct"/>
            <w:vMerge w:val="restart"/>
            <w:tcBorders>
              <w:top w:val="nil"/>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深化重点行业治理</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围绕</w:t>
            </w:r>
            <w:r>
              <w:rPr>
                <w:rFonts w:hint="eastAsia" w:ascii="宋体" w:hAnsi="宋体" w:cs="宋体"/>
                <w:color w:val="auto"/>
                <w:kern w:val="0"/>
                <w:szCs w:val="21"/>
                <w:highlight w:val="none"/>
                <w:lang w:eastAsia="zh-CN" w:bidi="ar"/>
              </w:rPr>
              <w:t>化工、</w:t>
            </w:r>
            <w:r>
              <w:rPr>
                <w:rFonts w:hint="eastAsia" w:ascii="宋体" w:hAnsi="宋体" w:cs="宋体"/>
                <w:color w:val="auto"/>
                <w:kern w:val="0"/>
                <w:szCs w:val="21"/>
                <w:highlight w:val="none"/>
                <w:lang w:bidi="ar"/>
              </w:rPr>
              <w:t>工业涂装等重点行业，对照相关行业排放标准及无组织排放控制要求，常态化组织开展排查整治，提升治理设施“三率”（VOCs废气收集率、治理设施同步运行率和去除率）。</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组织实施本市《汽车维修业大气污染物排放标准》，加强汽修企业全环节监管，</w:t>
            </w:r>
            <w:r>
              <w:rPr>
                <w:rFonts w:hint="eastAsia" w:ascii="宋体" w:hAnsi="宋体" w:cs="宋体"/>
                <w:kern w:val="0"/>
                <w:szCs w:val="21"/>
                <w:highlight w:val="none"/>
                <w:lang w:eastAsia="zh-CN" w:bidi="ar"/>
              </w:rPr>
              <w:t>开展汽修企业智慧化平台建设，</w:t>
            </w:r>
            <w:r>
              <w:rPr>
                <w:rFonts w:hint="eastAsia" w:ascii="宋体" w:hAnsi="宋体" w:cs="宋体"/>
                <w:kern w:val="0"/>
                <w:szCs w:val="21"/>
                <w:lang w:eastAsia="zh-CN" w:bidi="ar"/>
              </w:rPr>
              <w:t>组织对古城汽修集群开展VOCs走航高值“削峰”行动。</w:t>
            </w:r>
          </w:p>
          <w:p>
            <w:pPr>
              <w:widowControl/>
              <w:jc w:val="left"/>
              <w:textAlignment w:val="center"/>
              <w:rPr>
                <w:rFonts w:hint="eastAsia" w:ascii="宋体" w:hAnsi="宋体" w:eastAsia="宋体" w:cs="宋体"/>
                <w:color w:val="auto"/>
                <w:kern w:val="0"/>
                <w:szCs w:val="21"/>
                <w:highlight w:val="yellow"/>
                <w:lang w:val="en-US" w:eastAsia="zh-CN" w:bidi="ar"/>
              </w:rPr>
            </w:pPr>
            <w:r>
              <w:rPr>
                <w:rFonts w:hint="eastAsia" w:ascii="宋体" w:hAnsi="宋体" w:cs="宋体"/>
                <w:kern w:val="0"/>
                <w:szCs w:val="21"/>
                <w:highlight w:val="none"/>
                <w:lang w:bidi="ar"/>
              </w:rPr>
              <w:t>加快推进汽修行业</w:t>
            </w:r>
            <w:r>
              <w:rPr>
                <w:rFonts w:hint="eastAsia" w:ascii="宋体" w:hAnsi="宋体" w:cs="宋体"/>
                <w:kern w:val="0"/>
                <w:szCs w:val="21"/>
                <w:highlight w:val="none"/>
                <w:lang w:eastAsia="zh-CN" w:bidi="ar"/>
              </w:rPr>
              <w:t>治理设施升级改造</w:t>
            </w:r>
            <w:r>
              <w:rPr>
                <w:rFonts w:hint="eastAsia" w:ascii="宋体" w:hAnsi="宋体" w:cs="宋体"/>
                <w:kern w:val="0"/>
                <w:szCs w:val="21"/>
                <w:highlight w:val="none"/>
                <w:lang w:bidi="ar"/>
              </w:rPr>
              <w:t>，绿色企业比率力争达到</w:t>
            </w:r>
            <w:r>
              <w:rPr>
                <w:rFonts w:hint="eastAsia" w:ascii="宋体" w:hAnsi="宋体" w:cs="宋体"/>
                <w:kern w:val="0"/>
                <w:szCs w:val="21"/>
                <w:highlight w:val="none"/>
                <w:lang w:val="en-US" w:eastAsia="zh-CN" w:bidi="ar"/>
              </w:rPr>
              <w:t>30</w:t>
            </w:r>
            <w:r>
              <w:rPr>
                <w:rFonts w:hint="eastAsia" w:ascii="宋体" w:hAnsi="宋体" w:cs="宋体"/>
                <w:kern w:val="0"/>
                <w:szCs w:val="21"/>
                <w:highlight w:val="none"/>
                <w:lang w:bidi="ar"/>
              </w:rPr>
              <w:t>%</w:t>
            </w:r>
            <w:r>
              <w:rPr>
                <w:rFonts w:hint="eastAsia" w:ascii="宋体" w:hAnsi="宋体" w:cs="宋体"/>
                <w:kern w:val="0"/>
                <w:szCs w:val="21"/>
                <w:highlight w:val="none"/>
                <w:lang w:val="en-US" w:eastAsia="zh-CN" w:bidi="ar"/>
              </w:rPr>
              <w:t>左右</w:t>
            </w:r>
            <w:r>
              <w:rPr>
                <w:rFonts w:hint="eastAsia" w:ascii="宋体" w:hAnsi="宋体" w:cs="宋体"/>
                <w:kern w:val="0"/>
                <w:szCs w:val="21"/>
                <w:highlight w:val="none"/>
                <w:lang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p>
            <w:pPr>
              <w:widowControl/>
              <w:jc w:val="center"/>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市交通委石景山运输管理分局</w:t>
            </w:r>
          </w:p>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eastAsia="zh-CN"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yellow"/>
              </w:rPr>
            </w:pP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color w:val="auto"/>
                <w:highlight w:val="yellow"/>
              </w:rPr>
            </w:pPr>
            <w:r>
              <w:rPr>
                <w:rFonts w:hint="eastAsia" w:ascii="宋体" w:hAnsi="宋体" w:cs="宋体"/>
                <w:kern w:val="0"/>
                <w:szCs w:val="21"/>
                <w:highlight w:val="none"/>
                <w:lang w:bidi="ar"/>
              </w:rPr>
              <w:t>在项目设计、审核、施工等环节推广使用温拌沥青，</w:t>
            </w:r>
            <w:r>
              <w:rPr>
                <w:rFonts w:hint="eastAsia" w:ascii="宋体" w:hAnsi="宋体" w:cs="宋体"/>
                <w:kern w:val="0"/>
                <w:szCs w:val="21"/>
                <w:highlight w:val="none"/>
                <w:lang w:eastAsia="zh-CN" w:bidi="ar"/>
              </w:rPr>
              <w:t>推动新建</w:t>
            </w:r>
            <w:r>
              <w:rPr>
                <w:rFonts w:hint="eastAsia" w:ascii="宋体" w:hAnsi="宋体" w:cs="宋体"/>
                <w:kern w:val="0"/>
                <w:szCs w:val="21"/>
                <w:highlight w:val="none"/>
                <w:lang w:bidi="ar"/>
              </w:rPr>
              <w:t>区属公路和城市道路</w:t>
            </w:r>
            <w:r>
              <w:rPr>
                <w:rFonts w:hint="eastAsia" w:ascii="宋体" w:hAnsi="宋体" w:cs="宋体"/>
                <w:kern w:val="0"/>
                <w:szCs w:val="21"/>
                <w:highlight w:val="none"/>
                <w:lang w:val="en-US" w:eastAsia="zh-CN" w:bidi="ar"/>
              </w:rPr>
              <w:t>基本</w:t>
            </w:r>
            <w:r>
              <w:rPr>
                <w:rFonts w:hint="eastAsia" w:ascii="宋体" w:hAnsi="宋体" w:cs="宋体"/>
                <w:kern w:val="0"/>
                <w:szCs w:val="21"/>
                <w:highlight w:val="none"/>
                <w:lang w:eastAsia="zh-CN" w:bidi="ar"/>
              </w:rPr>
              <w:t>应用</w:t>
            </w:r>
            <w:r>
              <w:rPr>
                <w:rFonts w:hint="eastAsia" w:ascii="宋体" w:hAnsi="宋体" w:cs="宋体"/>
                <w:kern w:val="0"/>
                <w:szCs w:val="21"/>
                <w:highlight w:val="none"/>
                <w:lang w:bidi="ar"/>
              </w:rPr>
              <w:t>温拌沥青</w:t>
            </w:r>
            <w:r>
              <w:rPr>
                <w:rFonts w:hint="eastAsia" w:ascii="宋体" w:hAnsi="宋体" w:cs="宋体"/>
                <w:kern w:val="0"/>
                <w:szCs w:val="21"/>
                <w:highlight w:val="none"/>
                <w:lang w:eastAsia="zh-CN" w:bidi="ar"/>
              </w:rPr>
              <w:t>，道路养护项目逐步提升温拌沥青使用比例，温拌沥青使用比例提升</w:t>
            </w:r>
            <w:r>
              <w:rPr>
                <w:rFonts w:hint="eastAsia" w:ascii="宋体" w:hAnsi="宋体" w:cs="宋体"/>
                <w:kern w:val="0"/>
                <w:szCs w:val="21"/>
                <w:highlight w:val="none"/>
                <w:lang w:val="en-US" w:eastAsia="zh-CN" w:bidi="ar"/>
              </w:rPr>
              <w:t>10个百分点</w:t>
            </w:r>
            <w:r>
              <w:rPr>
                <w:rFonts w:hint="eastAsia" w:ascii="宋体" w:hAnsi="宋体" w:cs="宋体"/>
                <w:kern w:val="0"/>
                <w:szCs w:val="21"/>
                <w:highlight w:val="none"/>
                <w:lang w:bidi="ar"/>
              </w:rPr>
              <w:t>。推进沥青</w:t>
            </w:r>
            <w:r>
              <w:rPr>
                <w:rFonts w:hint="eastAsia" w:ascii="宋体" w:hAnsi="宋体" w:cs="宋体"/>
                <w:kern w:val="0"/>
                <w:szCs w:val="21"/>
                <w:highlight w:val="none"/>
                <w:lang w:eastAsia="zh-CN" w:bidi="ar"/>
              </w:rPr>
              <w:t>混合料</w:t>
            </w:r>
            <w:r>
              <w:rPr>
                <w:rFonts w:hint="eastAsia" w:ascii="宋体" w:hAnsi="宋体" w:cs="宋体"/>
                <w:kern w:val="0"/>
                <w:szCs w:val="21"/>
                <w:highlight w:val="none"/>
                <w:lang w:bidi="ar"/>
              </w:rPr>
              <w:t>绿色运输，沥青</w:t>
            </w:r>
            <w:r>
              <w:rPr>
                <w:rFonts w:hint="eastAsia" w:ascii="宋体" w:hAnsi="宋体" w:cs="宋体"/>
                <w:kern w:val="0"/>
                <w:szCs w:val="21"/>
                <w:highlight w:val="none"/>
                <w:lang w:eastAsia="zh-CN" w:bidi="ar"/>
              </w:rPr>
              <w:t>混合料</w:t>
            </w:r>
            <w:r>
              <w:rPr>
                <w:rFonts w:hint="eastAsia" w:ascii="宋体" w:hAnsi="宋体" w:cs="宋体"/>
                <w:kern w:val="0"/>
                <w:szCs w:val="21"/>
                <w:highlight w:val="none"/>
                <w:lang w:bidi="ar"/>
              </w:rPr>
              <w:t>密闭式新能源运输比例不低于</w:t>
            </w:r>
            <w:r>
              <w:rPr>
                <w:rFonts w:hint="eastAsia" w:ascii="宋体" w:hAnsi="宋体" w:cs="宋体"/>
                <w:kern w:val="0"/>
                <w:szCs w:val="21"/>
                <w:highlight w:val="none"/>
                <w:lang w:val="en-US" w:eastAsia="zh-CN" w:bidi="ar"/>
              </w:rPr>
              <w:t>25</w:t>
            </w:r>
            <w:r>
              <w:rPr>
                <w:rFonts w:hint="eastAsia" w:ascii="宋体" w:hAnsi="宋体" w:cs="宋体"/>
                <w:kern w:val="0"/>
                <w:szCs w:val="21"/>
                <w:highlight w:val="none"/>
                <w:lang w:bidi="ar"/>
              </w:rPr>
              <w:t>%</w:t>
            </w:r>
            <w:r>
              <w:rPr>
                <w:rFonts w:hint="eastAsia" w:ascii="宋体" w:hAnsi="宋体" w:cs="宋体"/>
                <w:kern w:val="0"/>
                <w:szCs w:val="21"/>
                <w:highlight w:val="none"/>
                <w:lang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区城市管理委</w:t>
            </w:r>
          </w:p>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生态环境局</w:t>
            </w:r>
          </w:p>
          <w:p>
            <w:pPr>
              <w:widowControl/>
              <w:jc w:val="center"/>
              <w:textAlignment w:val="center"/>
              <w:rPr>
                <w:rFonts w:ascii="宋体" w:hAnsi="宋体" w:cs="宋体"/>
                <w:color w:val="auto"/>
                <w:kern w:val="0"/>
                <w:szCs w:val="21"/>
                <w:highlight w:val="yellow"/>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eastAsia="zh" w:bidi="ar"/>
              </w:rPr>
              <w:t>住房城</w:t>
            </w:r>
            <w:r>
              <w:rPr>
                <w:rFonts w:hint="eastAsia" w:ascii="宋体" w:hAnsi="宋体" w:cs="宋体"/>
                <w:kern w:val="0"/>
                <w:szCs w:val="21"/>
                <w:highlight w:val="none"/>
                <w:lang w:eastAsia="zh-CN" w:bidi="ar"/>
              </w:rPr>
              <w:t>市</w:t>
            </w:r>
            <w:r>
              <w:rPr>
                <w:rFonts w:hint="eastAsia" w:ascii="宋体" w:hAnsi="宋体" w:cs="宋体"/>
                <w:kern w:val="0"/>
                <w:szCs w:val="21"/>
                <w:highlight w:val="none"/>
                <w:lang w:eastAsia="zh" w:bidi="ar"/>
              </w:rPr>
              <w:t>建设委</w:t>
            </w:r>
          </w:p>
        </w:tc>
        <w:tc>
          <w:tcPr>
            <w:tcW w:w="733" w:type="pct"/>
            <w:tcBorders>
              <w:top w:val="single" w:color="auto" w:sz="4" w:space="0"/>
              <w:left w:val="nil"/>
              <w:bottom w:val="single" w:color="auto" w:sz="4" w:space="0"/>
              <w:right w:val="single" w:color="auto" w:sz="4" w:space="0"/>
            </w:tcBorders>
            <w:noWrap w:val="0"/>
            <w:vAlign w:val="center"/>
          </w:tcPr>
          <w:p>
            <w:pPr>
              <w:widowControl/>
              <w:snapToGrid/>
              <w:spacing w:line="240" w:lineRule="auto"/>
              <w:ind w:right="0" w:rightChars="0"/>
              <w:jc w:val="center"/>
              <w:textAlignment w:val="center"/>
              <w:rPr>
                <w:rFonts w:ascii="宋体" w:hAnsi="宋体" w:cs="宋体"/>
                <w:color w:val="auto"/>
                <w:kern w:val="0"/>
                <w:szCs w:val="21"/>
                <w:highlight w:val="yellow"/>
              </w:rPr>
            </w:pPr>
            <w:r>
              <w:rPr>
                <w:rFonts w:hint="eastAsia" w:ascii="宋体" w:hAnsi="宋体" w:cs="宋体"/>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highlight w:val="yellow"/>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巩固2024年接诉即办“每月一题”餐饮油烟治理工作成效，继续推行重点点位包案机制，生态环境、商务、市场监管等部门和</w:t>
            </w:r>
            <w:r>
              <w:rPr>
                <w:rFonts w:hint="eastAsia" w:ascii="宋体" w:hAnsi="宋体" w:cs="宋体"/>
                <w:color w:val="auto"/>
                <w:kern w:val="0"/>
                <w:szCs w:val="21"/>
                <w:highlight w:val="none"/>
                <w:lang w:eastAsia="zh-CN" w:bidi="ar"/>
              </w:rPr>
              <w:t>各</w:t>
            </w:r>
            <w:r>
              <w:rPr>
                <w:rFonts w:hint="eastAsia" w:ascii="宋体" w:hAnsi="宋体" w:cs="宋体"/>
                <w:color w:val="auto"/>
                <w:kern w:val="0"/>
                <w:szCs w:val="21"/>
                <w:highlight w:val="none"/>
                <w:lang w:bidi="ar"/>
              </w:rPr>
              <w:t>街</w:t>
            </w:r>
            <w:r>
              <w:rPr>
                <w:rFonts w:hint="eastAsia" w:ascii="宋体" w:hAnsi="宋体" w:cs="宋体"/>
                <w:color w:val="auto"/>
                <w:kern w:val="0"/>
                <w:szCs w:val="21"/>
                <w:highlight w:val="none"/>
                <w:lang w:eastAsia="zh-CN" w:bidi="ar"/>
              </w:rPr>
              <w:t>道</w:t>
            </w:r>
            <w:r>
              <w:rPr>
                <w:rFonts w:hint="eastAsia" w:ascii="宋体" w:hAnsi="宋体" w:cs="宋体"/>
                <w:color w:val="auto"/>
                <w:kern w:val="0"/>
                <w:szCs w:val="21"/>
                <w:highlight w:val="none"/>
                <w:lang w:bidi="ar"/>
              </w:rPr>
              <w:t>协同</w:t>
            </w:r>
            <w:r>
              <w:rPr>
                <w:rFonts w:hint="eastAsia" w:ascii="宋体" w:hAnsi="宋体" w:cs="宋体"/>
                <w:szCs w:val="21"/>
                <w:highlight w:val="none"/>
              </w:rPr>
              <w:t>开展餐饮选址引导，</w:t>
            </w:r>
            <w:r>
              <w:rPr>
                <w:rFonts w:hint="eastAsia" w:ascii="宋体" w:hAnsi="宋体" w:cs="宋体"/>
                <w:szCs w:val="21"/>
              </w:rPr>
              <w:t>制定</w:t>
            </w:r>
            <w:r>
              <w:rPr>
                <w:rFonts w:hint="eastAsia" w:ascii="宋体" w:hAnsi="宋体" w:cs="宋体"/>
                <w:szCs w:val="21"/>
                <w:lang w:eastAsia="zh"/>
              </w:rPr>
              <w:t>、公开</w:t>
            </w:r>
            <w:r>
              <w:rPr>
                <w:rFonts w:hint="eastAsia" w:ascii="宋体" w:hAnsi="宋体" w:cs="宋体"/>
                <w:szCs w:val="21"/>
              </w:rPr>
              <w:t>选址引导清单，街道等相关方加强清单应用</w:t>
            </w:r>
            <w:r>
              <w:rPr>
                <w:rFonts w:hint="eastAsia" w:ascii="宋体" w:hAnsi="宋体" w:cs="宋体"/>
                <w:szCs w:val="21"/>
                <w:lang w:eastAsia="zh"/>
              </w:rPr>
              <w:t>，市场监管部门提示餐饮单位关注清单内容</w:t>
            </w:r>
            <w:r>
              <w:rPr>
                <w:rFonts w:hint="eastAsia" w:ascii="宋体" w:hAnsi="宋体" w:cs="宋体"/>
                <w:szCs w:val="21"/>
              </w:rPr>
              <w:t>。</w:t>
            </w:r>
            <w:r>
              <w:rPr>
                <w:rFonts w:hint="eastAsia" w:ascii="宋体" w:hAnsi="宋体" w:cs="宋体"/>
                <w:szCs w:val="21"/>
                <w:lang w:eastAsia="zh-CN"/>
              </w:rPr>
              <w:t>完成</w:t>
            </w:r>
            <w:r>
              <w:rPr>
                <w:rFonts w:hint="eastAsia" w:ascii="宋体" w:hAnsi="宋体" w:cs="宋体"/>
                <w:color w:val="auto"/>
                <w:kern w:val="0"/>
                <w:szCs w:val="21"/>
                <w:highlight w:val="none"/>
                <w:lang w:eastAsia="zh-CN" w:bidi="ar"/>
              </w:rPr>
              <w:t>餐饮治理提升</w:t>
            </w:r>
            <w:r>
              <w:rPr>
                <w:rFonts w:hint="eastAsia" w:ascii="宋体" w:hAnsi="宋体" w:cs="宋体"/>
                <w:color w:val="auto"/>
                <w:kern w:val="0"/>
                <w:szCs w:val="21"/>
                <w:highlight w:val="none"/>
                <w:lang w:val="en-US" w:eastAsia="zh-CN" w:bidi="ar"/>
              </w:rPr>
              <w:t>30家次。</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生态环境局</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商务局</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市场监管局</w:t>
            </w:r>
          </w:p>
          <w:p>
            <w:pPr>
              <w:widowControl/>
              <w:snapToGrid w:val="0"/>
              <w:ind w:left="-105" w:leftChars="-50" w:right="-105" w:rightChars="-5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rPr>
              <w:t>区城管执法局</w:t>
            </w:r>
          </w:p>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tcBorders>
              <w:top w:val="nil"/>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67" w:type="pc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重点产业园区绿色升级</w:t>
            </w: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highlight w:val="none"/>
                <w:lang w:eastAsia="zh" w:bidi="ar"/>
              </w:rPr>
            </w:pPr>
            <w:r>
              <w:rPr>
                <w:rFonts w:hint="eastAsia" w:ascii="宋体" w:hAnsi="宋体" w:cs="宋体"/>
                <w:color w:val="auto"/>
                <w:kern w:val="0"/>
                <w:szCs w:val="21"/>
                <w:highlight w:val="none"/>
                <w:lang w:bidi="ar"/>
              </w:rPr>
              <w:t>全面实施汽修行业综合整治提升</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加强</w:t>
            </w:r>
            <w:r>
              <w:rPr>
                <w:rFonts w:hint="eastAsia" w:ascii="宋体" w:hAnsi="宋体" w:cs="宋体"/>
                <w:color w:val="auto"/>
                <w:kern w:val="0"/>
                <w:szCs w:val="21"/>
                <w:highlight w:val="none"/>
                <w:lang w:eastAsia="zh-CN" w:bidi="ar"/>
              </w:rPr>
              <w:t>古城汽修集群</w:t>
            </w:r>
            <w:r>
              <w:rPr>
                <w:rFonts w:hint="eastAsia" w:ascii="宋体" w:hAnsi="宋体" w:cs="宋体"/>
                <w:color w:val="auto"/>
                <w:kern w:val="0"/>
                <w:szCs w:val="21"/>
                <w:highlight w:val="none"/>
                <w:lang w:bidi="ar"/>
              </w:rPr>
              <w:t>VOCs精准溯源和精细化管控，重点开展无组织排放排查治理，推动VOCs高值点位得到有效整治。</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市交通委石景山运输管理分局</w:t>
            </w:r>
          </w:p>
          <w:p>
            <w:pPr>
              <w:widowControl/>
              <w:jc w:val="center"/>
              <w:textAlignment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区生态环境局</w:t>
            </w:r>
          </w:p>
          <w:p>
            <w:pPr>
              <w:widowControl/>
              <w:jc w:val="center"/>
              <w:textAlignment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古城街道办事处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tcBorders>
              <w:left w:val="single" w:color="auto" w:sz="4" w:space="0"/>
              <w:right w:val="single" w:color="auto" w:sz="4" w:space="0"/>
            </w:tcBorders>
            <w:noWrap w:val="0"/>
            <w:vAlign w:val="center"/>
          </w:tcPr>
          <w:p>
            <w:pPr>
              <w:snapToGrid w:val="0"/>
              <w:spacing w:line="260" w:lineRule="exact"/>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14</w:t>
            </w:r>
          </w:p>
        </w:tc>
        <w:tc>
          <w:tcPr>
            <w:tcW w:w="367" w:type="pct"/>
            <w:tcBorders>
              <w:left w:val="nil"/>
              <w:right w:val="single" w:color="auto" w:sz="4" w:space="0"/>
            </w:tcBorders>
            <w:noWrap w:val="0"/>
            <w:vAlign w:val="center"/>
          </w:tcPr>
          <w:p>
            <w:pPr>
              <w:snapToGrid w:val="0"/>
              <w:spacing w:line="260" w:lineRule="exac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巩固“无煤化”成果</w:t>
            </w:r>
          </w:p>
        </w:tc>
        <w:tc>
          <w:tcPr>
            <w:tcW w:w="194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Cs w:val="21"/>
                <w:lang w:bidi="ar"/>
              </w:rPr>
            </w:pPr>
            <w:r>
              <w:rPr>
                <w:rFonts w:hint="eastAsia" w:ascii="宋体" w:hAnsi="宋体" w:cs="宋体"/>
                <w:color w:val="auto"/>
                <w:kern w:val="0"/>
                <w:szCs w:val="21"/>
                <w:lang w:bidi="ar"/>
              </w:rPr>
              <w:t>开展无煤化管护工作，补贴“煤改电”居民户采暖季电费，</w:t>
            </w:r>
            <w:r>
              <w:rPr>
                <w:rFonts w:hint="eastAsia" w:ascii="宋体" w:hAnsi="宋体" w:cs="宋体"/>
                <w:color w:val="auto"/>
                <w:kern w:val="0"/>
                <w:szCs w:val="21"/>
                <w:lang w:eastAsia="zh-CN" w:bidi="ar"/>
              </w:rPr>
              <w:t>开展</w:t>
            </w:r>
            <w:r>
              <w:rPr>
                <w:rFonts w:hint="eastAsia" w:ascii="宋体" w:hAnsi="宋体" w:cs="宋体"/>
                <w:color w:val="auto"/>
                <w:kern w:val="0"/>
                <w:szCs w:val="21"/>
                <w:lang w:bidi="ar"/>
              </w:rPr>
              <w:t>“</w:t>
            </w:r>
            <w:r>
              <w:rPr>
                <w:rFonts w:hint="eastAsia" w:ascii="宋体" w:hAnsi="宋体" w:cs="宋体"/>
                <w:color w:val="auto"/>
                <w:kern w:val="0"/>
                <w:szCs w:val="21"/>
                <w:lang w:eastAsia="zh-CN" w:bidi="ar"/>
              </w:rPr>
              <w:t>煤改电</w:t>
            </w:r>
            <w:r>
              <w:rPr>
                <w:rFonts w:hint="eastAsia" w:ascii="宋体" w:hAnsi="宋体" w:cs="宋体"/>
                <w:color w:val="auto"/>
                <w:kern w:val="0"/>
                <w:szCs w:val="21"/>
                <w:lang w:bidi="ar"/>
              </w:rPr>
              <w:t>”线路</w:t>
            </w:r>
            <w:r>
              <w:rPr>
                <w:rFonts w:hint="eastAsia" w:ascii="宋体" w:hAnsi="宋体" w:cs="宋体"/>
                <w:color w:val="auto"/>
                <w:kern w:val="0"/>
                <w:szCs w:val="21"/>
                <w:lang w:eastAsia="zh-CN" w:bidi="ar"/>
              </w:rPr>
              <w:t>巡检</w:t>
            </w:r>
            <w:r>
              <w:rPr>
                <w:rFonts w:hint="eastAsia" w:ascii="宋体" w:hAnsi="宋体" w:cs="宋体"/>
                <w:color w:val="auto"/>
                <w:kern w:val="0"/>
                <w:szCs w:val="21"/>
                <w:lang w:bidi="ar"/>
              </w:rPr>
              <w:t>整改</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巩固“无煤化”成果。</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right="-65" w:rightChars="-31"/>
              <w:jc w:val="center"/>
              <w:rPr>
                <w:rFonts w:hint="eastAsia" w:ascii="宋体" w:hAnsi="宋体" w:cs="宋体"/>
                <w:color w:val="auto"/>
                <w:szCs w:val="21"/>
              </w:rPr>
            </w:pPr>
            <w:r>
              <w:rPr>
                <w:rFonts w:hint="eastAsia" w:ascii="宋体" w:hAnsi="宋体" w:cs="宋体"/>
                <w:color w:val="auto"/>
                <w:szCs w:val="21"/>
              </w:rPr>
              <w:t>区生态环境局</w:t>
            </w:r>
          </w:p>
          <w:p>
            <w:pPr>
              <w:widowControl/>
              <w:snapToGrid w:val="0"/>
              <w:spacing w:line="260" w:lineRule="exact"/>
              <w:ind w:right="-65" w:rightChars="-31"/>
              <w:jc w:val="center"/>
              <w:rPr>
                <w:rFonts w:ascii="宋体" w:hAnsi="宋体" w:cs="宋体"/>
                <w:color w:val="auto"/>
                <w:szCs w:val="21"/>
              </w:rPr>
            </w:pPr>
            <w:r>
              <w:rPr>
                <w:rFonts w:hint="eastAsia" w:ascii="宋体" w:hAnsi="宋体" w:cs="宋体"/>
                <w:color w:val="auto"/>
                <w:szCs w:val="21"/>
              </w:rPr>
              <w:t>各街道办事处</w:t>
            </w:r>
          </w:p>
        </w:tc>
        <w:tc>
          <w:tcPr>
            <w:tcW w:w="733" w:type="pct"/>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right="-65" w:rightChars="-31"/>
              <w:jc w:val="center"/>
              <w:rPr>
                <w:color w:val="auto"/>
              </w:rPr>
            </w:pPr>
            <w:r>
              <w:rPr>
                <w:rFonts w:hint="eastAsia" w:ascii="宋体" w:hAnsi="宋体" w:cs="宋体"/>
                <w:color w:val="auto"/>
                <w:szCs w:val="21"/>
                <w:lang w:eastAsia="zh-CN" w:bidi="ar"/>
              </w:rPr>
              <w:t>区</w:t>
            </w:r>
            <w:r>
              <w:rPr>
                <w:rFonts w:hint="eastAsia" w:ascii="宋体" w:hAnsi="宋体" w:cs="宋体"/>
                <w:color w:val="auto"/>
                <w:szCs w:val="21"/>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tcBorders>
              <w:left w:val="single" w:color="auto" w:sz="4" w:space="0"/>
              <w:right w:val="single" w:color="auto" w:sz="4" w:space="0"/>
            </w:tcBorders>
            <w:noWrap w:val="0"/>
            <w:vAlign w:val="center"/>
          </w:tcPr>
          <w:p>
            <w:pPr>
              <w:snapToGrid w:val="0"/>
              <w:spacing w:line="2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367" w:type="pct"/>
            <w:tcBorders>
              <w:left w:val="nil"/>
              <w:right w:val="single" w:color="auto" w:sz="4" w:space="0"/>
            </w:tcBorders>
            <w:noWrap w:val="0"/>
            <w:vAlign w:val="center"/>
          </w:tcPr>
          <w:p>
            <w:pPr>
              <w:snapToGrid w:val="0"/>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清洁能源示范项目</w:t>
            </w:r>
          </w:p>
        </w:tc>
        <w:tc>
          <w:tcPr>
            <w:tcW w:w="194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lang w:bidi="ar"/>
              </w:rPr>
            </w:pPr>
            <w:r>
              <w:rPr>
                <w:rFonts w:hint="eastAsia" w:ascii="宋体" w:hAnsi="宋体" w:cs="宋体"/>
                <w:color w:val="auto"/>
                <w:kern w:val="0"/>
                <w:szCs w:val="21"/>
                <w:lang w:bidi="ar"/>
              </w:rPr>
              <w:t>推进燃气壁挂炉供热绿色转型。结合城市更新进度</w:t>
            </w:r>
            <w:r>
              <w:rPr>
                <w:rFonts w:hint="eastAsia" w:ascii="宋体" w:hAnsi="宋体" w:cs="宋体"/>
                <w:color w:val="auto"/>
                <w:kern w:val="0"/>
                <w:szCs w:val="21"/>
                <w:lang w:eastAsia="zh-CN" w:bidi="ar"/>
              </w:rPr>
              <w:t>任务</w:t>
            </w:r>
            <w:r>
              <w:rPr>
                <w:rFonts w:hint="eastAsia" w:ascii="宋体" w:hAnsi="宋体" w:cs="宋体"/>
                <w:color w:val="auto"/>
                <w:kern w:val="0"/>
                <w:szCs w:val="21"/>
                <w:lang w:bidi="ar"/>
              </w:rPr>
              <w:t>，推动具备条件的燃气壁挂炉供热住宅小区试点开展电气化替代。</w:t>
            </w:r>
          </w:p>
          <w:p>
            <w:pPr>
              <w:widowControl/>
              <w:jc w:val="left"/>
              <w:rPr>
                <w:rFonts w:hint="eastAsia" w:ascii="宋体" w:hAnsi="宋体" w:cs="宋体"/>
                <w:color w:val="auto"/>
                <w:kern w:val="0"/>
                <w:szCs w:val="21"/>
                <w:lang w:bidi="ar"/>
              </w:rPr>
            </w:pPr>
            <w:r>
              <w:rPr>
                <w:rFonts w:hint="eastAsia" w:ascii="宋体" w:hAnsi="宋体" w:cs="宋体"/>
                <w:color w:val="auto"/>
                <w:kern w:val="0"/>
                <w:szCs w:val="21"/>
                <w:lang w:bidi="ar"/>
              </w:rPr>
              <w:t>继续支持老旧燃气壁挂炉用户开展消费品以旧换新，鼓励更换为一级能效设备。</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auto"/>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widowControl/>
              <w:jc w:val="center"/>
              <w:textAlignment w:val="auto"/>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eastAsia="zh-CN" w:bidi="ar"/>
              </w:rPr>
              <w:t>市</w:t>
            </w:r>
            <w:r>
              <w:rPr>
                <w:rFonts w:hint="eastAsia" w:ascii="宋体" w:hAnsi="宋体" w:cs="宋体"/>
                <w:color w:val="auto"/>
                <w:kern w:val="0"/>
                <w:szCs w:val="21"/>
                <w:lang w:bidi="ar"/>
              </w:rPr>
              <w:t>建设委</w:t>
            </w:r>
          </w:p>
          <w:p>
            <w:pPr>
              <w:jc w:val="center"/>
              <w:rPr>
                <w:rFonts w:hint="eastAsia" w:ascii="宋体" w:hAnsi="宋体" w:eastAsia="宋体" w:cs="宋体"/>
                <w:color w:val="auto"/>
                <w:kern w:val="2"/>
                <w:sz w:val="21"/>
                <w:szCs w:val="24"/>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商务局</w:t>
            </w:r>
          </w:p>
        </w:tc>
        <w:tc>
          <w:tcPr>
            <w:tcW w:w="733" w:type="pct"/>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right="-65" w:rightChars="-31"/>
              <w:jc w:val="center"/>
              <w:rPr>
                <w:rFonts w:hint="eastAsia" w:ascii="宋体" w:hAnsi="宋体" w:cs="宋体"/>
                <w:color w:val="auto"/>
                <w:szCs w:val="21"/>
                <w:lang w:eastAsia="zh-CN" w:bidi="ar"/>
              </w:rPr>
            </w:pPr>
            <w:r>
              <w:rPr>
                <w:rFonts w:hint="eastAsia" w:ascii="宋体" w:hAnsi="宋体" w:cs="宋体"/>
                <w:color w:val="auto"/>
                <w:szCs w:val="21"/>
                <w:highlight w:val="none"/>
                <w:lang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right="-105" w:rightChars="-50"/>
              <w:jc w:val="center"/>
              <w:rPr>
                <w:rFonts w:ascii="宋体" w:hAnsi="宋体" w:eastAsia="黑体" w:cs="宋体"/>
                <w:color w:val="auto"/>
                <w:spacing w:val="-14"/>
                <w:szCs w:val="21"/>
              </w:rPr>
            </w:pPr>
            <w:r>
              <w:rPr>
                <w:rFonts w:hint="eastAsia" w:ascii="黑体" w:hAnsi="黑体" w:eastAsia="黑体" w:cs="黑体"/>
                <w:color w:val="auto"/>
                <w:szCs w:val="21"/>
              </w:rPr>
              <w:t>四、以城市精细治理为抓手，推动管理减排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367" w:type="pct"/>
            <w:vMerge w:val="restart"/>
            <w:tcBorders>
              <w:top w:val="single" w:color="auto" w:sz="4" w:space="0"/>
              <w:left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落实扬尘管控责任</w:t>
            </w:r>
          </w:p>
        </w:tc>
        <w:tc>
          <w:tcPr>
            <w:tcW w:w="1948" w:type="pct"/>
            <w:tcBorders>
              <w:top w:val="single" w:color="auto" w:sz="4" w:space="0"/>
              <w:left w:val="nil"/>
              <w:bottom w:val="single" w:color="auto" w:sz="4" w:space="0"/>
              <w:right w:val="single" w:color="auto" w:sz="4" w:space="0"/>
            </w:tcBorders>
            <w:noWrap w:val="0"/>
            <w:vAlign w:val="center"/>
          </w:tcPr>
          <w:p>
            <w:pPr>
              <w:snapToGrid w:val="0"/>
              <w:rPr>
                <w:rFonts w:ascii="宋体" w:hAnsi="宋体" w:cs="宋体"/>
                <w:color w:val="auto"/>
                <w:szCs w:val="21"/>
              </w:rPr>
            </w:pPr>
            <w:r>
              <w:rPr>
                <w:rFonts w:hint="eastAsia"/>
                <w:color w:val="auto"/>
              </w:rPr>
              <w:t>降尘量</w:t>
            </w:r>
            <w:r>
              <w:rPr>
                <w:rFonts w:hint="eastAsia" w:ascii="宋体" w:hAnsi="宋体" w:cs="宋体"/>
                <w:color w:val="auto"/>
                <w:szCs w:val="21"/>
              </w:rPr>
              <w:t>控制在5吨/平方公里·月左右（扣除沙尘影响）。</w:t>
            </w:r>
          </w:p>
        </w:tc>
        <w:tc>
          <w:tcPr>
            <w:tcW w:w="360"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Ansi="宋体" w:cs="宋体"/>
                <w:color w:val="auto"/>
                <w:szCs w:val="21"/>
              </w:rPr>
            </w:pPr>
            <w:r>
              <w:rPr>
                <w:rFonts w:hint="eastAsia"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区住房城市建设委</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区城市管理委</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区园林绿化局</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区生态环境局</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区政府集体资产监管办</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区公园管理中心</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区环卫中心等部门</w:t>
            </w:r>
          </w:p>
          <w:p>
            <w:pPr>
              <w:snapToGrid w:val="0"/>
              <w:ind w:left="-105" w:leftChars="-50" w:right="-105" w:rightChars="-50"/>
              <w:jc w:val="center"/>
              <w:rPr>
                <w:rFonts w:ascii="宋体" w:hAnsi="宋体" w:cs="宋体"/>
                <w:color w:val="auto"/>
                <w:kern w:val="0"/>
                <w:szCs w:val="21"/>
              </w:rPr>
            </w:pPr>
            <w:r>
              <w:rPr>
                <w:rFonts w:hint="eastAsia" w:ascii="宋体" w:hAnsi="宋体" w:cs="宋体"/>
                <w:color w:val="auto"/>
                <w:kern w:val="0"/>
                <w:szCs w:val="21"/>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pStyle w:val="7"/>
              <w:snapToGrid w:val="0"/>
              <w:rPr>
                <w:rFonts w:hAnsi="宋体" w:cs="宋体"/>
                <w:color w:val="auto"/>
                <w:szCs w:val="21"/>
              </w:rPr>
            </w:pPr>
            <w:r>
              <w:rPr>
                <w:rFonts w:hint="eastAsia" w:hAnsi="宋体" w:cs="宋体"/>
                <w:color w:val="auto"/>
                <w:kern w:val="0"/>
                <w:szCs w:val="21"/>
                <w:lang w:bidi="ar"/>
              </w:rPr>
              <w:t>开展道路尘负荷监测。</w:t>
            </w:r>
            <w:r>
              <w:rPr>
                <w:rFonts w:hint="eastAsia" w:hAnsi="宋体" w:cs="宋体"/>
                <w:bCs/>
                <w:color w:val="auto"/>
                <w:szCs w:val="21"/>
              </w:rPr>
              <w:t>定期推送各街道TSP浓度、道路尘负荷，各行业工地（场站）出入口道路尘负荷等情况，督促落实扬尘管控措施及“门前三包”。</w:t>
            </w:r>
          </w:p>
        </w:tc>
        <w:tc>
          <w:tcPr>
            <w:tcW w:w="360" w:type="pct"/>
            <w:tcBorders>
              <w:top w:val="single" w:color="auto" w:sz="4" w:space="0"/>
              <w:left w:val="nil"/>
              <w:bottom w:val="single" w:color="auto" w:sz="4" w:space="0"/>
              <w:right w:val="single" w:color="auto" w:sz="4" w:space="0"/>
            </w:tcBorders>
            <w:noWrap w:val="0"/>
            <w:vAlign w:val="center"/>
          </w:tcPr>
          <w:p>
            <w:pPr>
              <w:pStyle w:val="7"/>
              <w:snapToGrid w:val="0"/>
              <w:ind w:left="-105" w:leftChars="-50" w:right="-105" w:rightChars="-50"/>
              <w:jc w:val="center"/>
              <w:rPr>
                <w:rFonts w:hAnsi="宋体" w:cs="宋体"/>
                <w:color w:val="auto"/>
                <w:szCs w:val="21"/>
              </w:rPr>
            </w:pPr>
            <w:r>
              <w:rPr>
                <w:rFonts w:hint="eastAsia" w:hAnsi="宋体" w:cs="宋体"/>
                <w:color w:val="auto"/>
                <w:szCs w:val="21"/>
              </w:rPr>
              <w:t>长期实施</w:t>
            </w:r>
          </w:p>
        </w:tc>
        <w:tc>
          <w:tcPr>
            <w:tcW w:w="1351"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Ansi="宋体" w:cs="宋体"/>
                <w:bCs/>
                <w:color w:val="auto"/>
                <w:szCs w:val="21"/>
              </w:rPr>
            </w:pPr>
            <w:r>
              <w:rPr>
                <w:rFonts w:hint="eastAsia" w:ascii="宋体" w:hAnsi="宋体" w:cs="宋体"/>
                <w:color w:val="auto"/>
                <w:kern w:val="0"/>
                <w:szCs w:val="21"/>
                <w:lang w:bidi="ar"/>
              </w:rPr>
              <w:t>以3-5月为重点开展扬尘专项治理百日攻坚行动，围绕施工扬尘、道路扬尘、裸地扬尘、外来沙尘等，加强“四尘”共治，提高城市精细化管理水平。</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Ansi="宋体" w:cs="宋体"/>
                <w:color w:val="auto"/>
                <w:szCs w:val="21"/>
              </w:rPr>
            </w:pPr>
            <w:r>
              <w:rPr>
                <w:rFonts w:hint="eastAsia" w:hAnsi="宋体" w:cs="宋体"/>
                <w:color w:val="auto"/>
                <w:szCs w:val="21"/>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生态环境局</w:t>
            </w:r>
          </w:p>
          <w:p>
            <w:pPr>
              <w:widowControl/>
              <w:jc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eastAsia="zh-CN" w:bidi="ar"/>
              </w:rPr>
              <w:t>市</w:t>
            </w:r>
            <w:r>
              <w:rPr>
                <w:rFonts w:hint="eastAsia" w:ascii="宋体" w:hAnsi="宋体" w:cs="宋体"/>
                <w:color w:val="auto"/>
                <w:kern w:val="0"/>
                <w:szCs w:val="21"/>
                <w:lang w:bidi="ar"/>
              </w:rPr>
              <w:t>建设委</w:t>
            </w:r>
          </w:p>
          <w:p>
            <w:pPr>
              <w:widowControl/>
              <w:jc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snapToGrid w:val="0"/>
              <w:ind w:left="-105" w:leftChars="-50" w:right="-105" w:rightChars="-50"/>
              <w:jc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园林绿化局</w:t>
            </w:r>
          </w:p>
          <w:p>
            <w:pPr>
              <w:widowControl/>
              <w:snapToGrid w:val="0"/>
              <w:ind w:left="-105" w:leftChars="-50" w:right="-105" w:rightChars="-5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rPr>
              <w:t>区城管执法局</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区政府集体资产监管办</w:t>
            </w:r>
          </w:p>
          <w:p>
            <w:pPr>
              <w:widowControl/>
              <w:snapToGrid/>
              <w:ind w:left="0" w:leftChars="0" w:right="0" w:rightChars="0"/>
              <w:jc w:val="center"/>
              <w:rPr>
                <w:rFonts w:hint="eastAsia" w:ascii="宋体" w:hAnsi="宋体" w:cs="宋体"/>
                <w:color w:val="auto"/>
                <w:kern w:val="0"/>
                <w:szCs w:val="21"/>
              </w:rPr>
            </w:pPr>
            <w:r>
              <w:rPr>
                <w:rFonts w:hint="eastAsia" w:ascii="宋体" w:hAnsi="宋体" w:cs="宋体"/>
                <w:color w:val="auto"/>
                <w:kern w:val="0"/>
                <w:szCs w:val="21"/>
              </w:rPr>
              <w:t>区环卫中心等部门</w:t>
            </w:r>
          </w:p>
          <w:p>
            <w:pPr>
              <w:widowControl/>
              <w:jc w:val="center"/>
              <w:textAlignment w:val="auto"/>
              <w:rPr>
                <w:rFonts w:ascii="宋体" w:hAnsi="宋体" w:cs="宋体"/>
                <w:color w:val="auto"/>
                <w:kern w:val="0"/>
                <w:szCs w:val="21"/>
              </w:rPr>
            </w:pPr>
            <w:r>
              <w:rPr>
                <w:rFonts w:hint="eastAsia" w:ascii="宋体" w:hAnsi="宋体" w:cs="宋体"/>
                <w:color w:val="auto"/>
                <w:kern w:val="0"/>
                <w:szCs w:val="21"/>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single" w:color="auto" w:sz="4" w:space="0"/>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加大扬尘管控力度，实现扬尘百日攻坚期间道路、各行业工地（场站）出入口道路尘负荷持续下降。</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Ansi="宋体" w:cs="宋体"/>
                <w:color w:val="auto"/>
                <w:szCs w:val="21"/>
              </w:rPr>
            </w:pPr>
            <w:r>
              <w:rPr>
                <w:rFonts w:hint="eastAsia" w:hAnsi="宋体" w:cs="宋体"/>
                <w:color w:val="auto"/>
                <w:szCs w:val="21"/>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eastAsia="zh-CN" w:bidi="ar"/>
              </w:rPr>
              <w:t>市</w:t>
            </w:r>
            <w:r>
              <w:rPr>
                <w:rFonts w:hint="eastAsia" w:ascii="宋体" w:hAnsi="宋体" w:cs="宋体"/>
                <w:color w:val="auto"/>
                <w:kern w:val="0"/>
                <w:szCs w:val="21"/>
                <w:lang w:bidi="ar"/>
              </w:rPr>
              <w:t>建设委</w:t>
            </w:r>
          </w:p>
          <w:p>
            <w:pPr>
              <w:widowControl/>
              <w:jc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snapToGrid w:val="0"/>
              <w:ind w:left="-105" w:leftChars="-50" w:right="-105" w:rightChars="-50"/>
              <w:jc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园林绿化局</w:t>
            </w:r>
          </w:p>
          <w:p>
            <w:pPr>
              <w:snapToGrid w:val="0"/>
              <w:ind w:left="-105" w:leftChars="-50" w:right="-105" w:rightChars="-50"/>
              <w:jc w:val="center"/>
              <w:rPr>
                <w:rFonts w:hint="eastAsia" w:ascii="宋体" w:hAnsi="宋体" w:cs="宋体"/>
                <w:color w:val="auto"/>
                <w:kern w:val="0"/>
                <w:szCs w:val="21"/>
              </w:rPr>
            </w:pPr>
            <w:r>
              <w:rPr>
                <w:rFonts w:hint="eastAsia" w:ascii="宋体" w:hAnsi="宋体" w:cs="宋体"/>
                <w:color w:val="auto"/>
                <w:kern w:val="0"/>
                <w:szCs w:val="21"/>
              </w:rPr>
              <w:t>区环卫中心等部门</w:t>
            </w:r>
          </w:p>
          <w:p>
            <w:pPr>
              <w:widowControl/>
              <w:jc w:val="center"/>
              <w:textAlignment w:val="auto"/>
              <w:rPr>
                <w:rFonts w:ascii="宋体" w:hAnsi="宋体" w:cs="宋体"/>
                <w:color w:val="auto"/>
                <w:kern w:val="0"/>
                <w:szCs w:val="21"/>
                <w:lang w:bidi="ar"/>
              </w:rPr>
            </w:pPr>
            <w:r>
              <w:rPr>
                <w:rFonts w:hint="eastAsia" w:ascii="宋体" w:hAnsi="宋体" w:cs="宋体"/>
                <w:color w:val="auto"/>
                <w:kern w:val="0"/>
                <w:szCs w:val="21"/>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367" w:type="pct"/>
            <w:vMerge w:val="restart"/>
            <w:tcBorders>
              <w:top w:val="single" w:color="auto" w:sz="4" w:space="0"/>
              <w:left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强化施工扬尘管控</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szCs w:val="21"/>
              </w:rPr>
            </w:pPr>
            <w:r>
              <w:rPr>
                <w:rFonts w:hint="eastAsia" w:ascii="宋体" w:hAnsi="宋体" w:cs="宋体"/>
                <w:kern w:val="0"/>
                <w:szCs w:val="21"/>
                <w:lang w:bidi="ar"/>
              </w:rPr>
              <w:t>进一步推动施工工地创绿创优。</w:t>
            </w:r>
            <w:r>
              <w:rPr>
                <w:rFonts w:hint="eastAsia" w:ascii="宋体" w:hAnsi="宋体" w:cs="宋体"/>
                <w:kern w:val="0"/>
                <w:szCs w:val="21"/>
                <w:lang w:eastAsia="zh-CN" w:bidi="ar"/>
              </w:rPr>
              <w:t>严格落实</w:t>
            </w:r>
            <w:r>
              <w:rPr>
                <w:rFonts w:hint="eastAsia" w:ascii="宋体" w:hAnsi="宋体" w:cs="宋体"/>
                <w:kern w:val="0"/>
                <w:szCs w:val="21"/>
                <w:lang w:bidi="ar"/>
              </w:rPr>
              <w:t>建设工程施工现场扬尘治理工地管理办法和绿色施工技术规范或指导意见，进一步提高扬尘管控要求。</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Ansi="宋体" w:cs="宋体"/>
                <w:color w:val="auto"/>
                <w:szCs w:val="21"/>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jc w:val="center"/>
              <w:textAlignment w:val="center"/>
              <w:rPr>
                <w:rFonts w:ascii="宋体" w:hAnsi="宋体" w:cs="宋体"/>
                <w:color w:val="auto"/>
                <w:kern w:val="0"/>
                <w:szCs w:val="21"/>
                <w:lang w:bidi="ar"/>
              </w:rPr>
            </w:pPr>
            <w:r>
              <w:rPr>
                <w:rFonts w:hint="eastAsia"/>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color w:val="auto"/>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color w:val="auto"/>
              </w:rPr>
            </w:pPr>
            <w:r>
              <w:rPr>
                <w:rFonts w:hint="eastAsia" w:ascii="宋体" w:hAnsi="宋体" w:cs="宋体"/>
                <w:color w:val="auto"/>
                <w:kern w:val="0"/>
                <w:szCs w:val="21"/>
                <w:lang w:bidi="ar"/>
              </w:rPr>
              <w:t>制定强化绿色施工措施，推广基坑气膜等先进技术，原则上符合基坑气膜使用标准的新建工程，推荐使用基坑气膜。</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eastAsia="zh-CN" w:bidi="ar"/>
              </w:rPr>
              <w:t>市</w:t>
            </w:r>
            <w:r>
              <w:rPr>
                <w:rFonts w:hint="eastAsia" w:ascii="宋体" w:hAnsi="宋体" w:cs="宋体"/>
                <w:color w:val="auto"/>
                <w:kern w:val="0"/>
                <w:szCs w:val="21"/>
                <w:lang w:bidi="ar"/>
              </w:rPr>
              <w:t>建设委</w:t>
            </w:r>
          </w:p>
          <w:p>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区城市管理委</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eastAsia="宋体"/>
                <w:color w:val="auto"/>
                <w:lang w:eastAsia="zh-CN"/>
              </w:rPr>
            </w:pPr>
            <w:r>
              <w:rPr>
                <w:rFonts w:hint="eastAsia"/>
                <w:color w:val="auto"/>
                <w:lang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kern w:val="0"/>
                <w:szCs w:val="21"/>
                <w:lang w:eastAsia="zh-CN" w:bidi="ar"/>
              </w:rPr>
              <w:t>加强</w:t>
            </w:r>
            <w:r>
              <w:rPr>
                <w:rFonts w:hint="eastAsia" w:ascii="宋体" w:hAnsi="宋体" w:cs="宋体"/>
                <w:kern w:val="0"/>
                <w:szCs w:val="21"/>
                <w:lang w:bidi="ar"/>
              </w:rPr>
              <w:t>施工扬尘视频监管、建筑垃圾运输车辆管理、</w:t>
            </w:r>
            <w:r>
              <w:rPr>
                <w:rFonts w:hint="eastAsia" w:ascii="宋体" w:hAnsi="宋体" w:cs="宋体"/>
                <w:kern w:val="0"/>
                <w:szCs w:val="21"/>
                <w:highlight w:val="none"/>
                <w:lang w:bidi="ar"/>
              </w:rPr>
              <w:t>交通管理</w:t>
            </w:r>
            <w:r>
              <w:rPr>
                <w:rFonts w:hint="eastAsia" w:ascii="宋体" w:hAnsi="宋体" w:cs="宋体"/>
                <w:kern w:val="0"/>
                <w:szCs w:val="21"/>
                <w:lang w:bidi="ar"/>
              </w:rPr>
              <w:t>等系统平台</w:t>
            </w:r>
            <w:r>
              <w:rPr>
                <w:rFonts w:hint="eastAsia" w:ascii="宋体" w:hAnsi="宋体" w:cs="宋体"/>
                <w:kern w:val="0"/>
                <w:szCs w:val="21"/>
                <w:lang w:eastAsia="zh-CN" w:bidi="ar"/>
              </w:rPr>
              <w:t>使用，行业部门发现问题及时督促整改，并移送相关街道办事处依法处罚。</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园林绿化局</w:t>
            </w:r>
          </w:p>
          <w:p>
            <w:pPr>
              <w:widowControl/>
              <w:jc w:val="center"/>
              <w:textAlignment w:val="center"/>
              <w:rPr>
                <w:rFonts w:hint="eastAsia" w:ascii="宋体" w:hAnsi="宋体" w:cs="宋体"/>
                <w:color w:val="auto"/>
                <w:kern w:val="0"/>
                <w:szCs w:val="21"/>
                <w:highlight w:val="yellow"/>
                <w:lang w:bidi="ar"/>
              </w:rPr>
            </w:pPr>
            <w:r>
              <w:rPr>
                <w:rFonts w:hint="eastAsia" w:ascii="宋体" w:hAnsi="宋体" w:cs="宋体"/>
                <w:color w:val="auto"/>
                <w:kern w:val="0"/>
                <w:szCs w:val="21"/>
                <w:highlight w:val="none"/>
                <w:lang w:eastAsia="zh-CN" w:bidi="ar"/>
              </w:rPr>
              <w:t>交通支队</w:t>
            </w:r>
            <w:r>
              <w:rPr>
                <w:rFonts w:hint="eastAsia" w:ascii="宋体" w:hAnsi="宋体" w:cs="宋体"/>
                <w:color w:val="auto"/>
                <w:kern w:val="0"/>
                <w:szCs w:val="21"/>
                <w:highlight w:val="none"/>
                <w:lang w:bidi="ar"/>
              </w:rPr>
              <w:t>等部门</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highlight w:val="none"/>
                <w:lang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kern w:val="0"/>
                <w:sz w:val="21"/>
                <w:szCs w:val="21"/>
                <w:highlight w:val="yellow"/>
                <w:lang w:bidi="ar"/>
              </w:rPr>
            </w:pPr>
            <w:r>
              <w:rPr>
                <w:rFonts w:hint="eastAsia" w:ascii="宋体" w:hAnsi="宋体" w:eastAsia="宋体" w:cs="宋体"/>
                <w:kern w:val="0"/>
                <w:sz w:val="21"/>
                <w:szCs w:val="21"/>
                <w:lang w:bidi="ar"/>
              </w:rPr>
              <w:t>开展建筑垃圾专项整治工作，建筑垃圾生产加工设备鼓励实现厂房密闭或结构式密闭，建筑垃圾及再生材料堆体区鼓励采用厂房或基坑气膜等方式实现全密闭。</w:t>
            </w:r>
          </w:p>
          <w:p>
            <w:pPr>
              <w:pStyle w:val="4"/>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kern w:val="0"/>
                <w:sz w:val="21"/>
                <w:szCs w:val="21"/>
                <w:lang w:eastAsia="zh-CN" w:bidi="ar"/>
              </w:rPr>
              <w:t>区</w:t>
            </w:r>
            <w:r>
              <w:rPr>
                <w:rFonts w:hint="eastAsia" w:ascii="宋体" w:hAnsi="宋体" w:eastAsia="宋体" w:cs="宋体"/>
                <w:kern w:val="0"/>
                <w:sz w:val="21"/>
                <w:szCs w:val="21"/>
                <w:lang w:bidi="ar"/>
              </w:rPr>
              <w:t>城市管理</w:t>
            </w:r>
            <w:r>
              <w:rPr>
                <w:rFonts w:hint="eastAsia" w:ascii="宋体" w:hAnsi="宋体" w:eastAsia="宋体" w:cs="宋体"/>
                <w:kern w:val="0"/>
                <w:sz w:val="21"/>
                <w:szCs w:val="21"/>
                <w:lang w:eastAsia="zh-CN" w:bidi="ar"/>
              </w:rPr>
              <w:t>委</w:t>
            </w:r>
            <w:r>
              <w:rPr>
                <w:rFonts w:hint="eastAsia" w:ascii="宋体" w:hAnsi="宋体" w:eastAsia="宋体" w:cs="宋体"/>
                <w:kern w:val="0"/>
                <w:sz w:val="21"/>
                <w:szCs w:val="21"/>
                <w:lang w:bidi="ar"/>
              </w:rPr>
              <w:t>定期公布高风险运输企业名单，住建、交通、园林、水务等工程建设主管部门协商工程建设施工单位，少使用、不使用或主动更换违法行为较多的建筑垃圾运输单位。</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ind w:firstLineChars="0"/>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城市管理委</w:t>
            </w:r>
          </w:p>
          <w:p>
            <w:pPr>
              <w:widowControl/>
              <w:ind w:firstLineChars="0"/>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住房城</w:t>
            </w:r>
            <w:r>
              <w:rPr>
                <w:rFonts w:hint="eastAsia" w:ascii="宋体" w:hAnsi="宋体" w:cs="宋体"/>
                <w:color w:val="auto"/>
                <w:kern w:val="0"/>
                <w:szCs w:val="21"/>
                <w:lang w:eastAsia="zh-CN" w:bidi="ar"/>
              </w:rPr>
              <w:t>市</w:t>
            </w:r>
            <w:r>
              <w:rPr>
                <w:rFonts w:hint="eastAsia" w:ascii="宋体" w:hAnsi="宋体" w:cs="宋体"/>
                <w:color w:val="auto"/>
                <w:kern w:val="0"/>
                <w:szCs w:val="21"/>
                <w:lang w:bidi="ar"/>
              </w:rPr>
              <w:t>建设委</w:t>
            </w:r>
          </w:p>
          <w:p>
            <w:pPr>
              <w:widowControl/>
              <w:ind w:firstLineChars="0"/>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园林绿化局</w:t>
            </w:r>
          </w:p>
          <w:p>
            <w:pPr>
              <w:widowControl/>
              <w:ind w:firstLineChars="0"/>
              <w:jc w:val="center"/>
              <w:textAlignment w:val="center"/>
              <w:rPr>
                <w:rFonts w:hint="eastAsia" w:ascii="宋体" w:hAnsi="宋体" w:cs="宋体"/>
                <w:color w:val="auto"/>
                <w:kern w:val="0"/>
                <w:szCs w:val="21"/>
                <w:lang w:bidi="ar"/>
              </w:rPr>
            </w:pPr>
            <w:r>
              <w:rPr>
                <w:rFonts w:hint="eastAsia" w:hAnsi="宋体" w:cs="宋体"/>
                <w:color w:val="auto"/>
                <w:kern w:val="0"/>
                <w:szCs w:val="21"/>
                <w:lang w:eastAsia="zh-CN" w:bidi="ar"/>
              </w:rPr>
              <w:t>区</w:t>
            </w:r>
            <w:r>
              <w:rPr>
                <w:rFonts w:hint="eastAsia" w:ascii="宋体" w:hAnsi="宋体" w:cs="宋体"/>
                <w:color w:val="auto"/>
                <w:kern w:val="0"/>
                <w:szCs w:val="21"/>
                <w:lang w:bidi="ar"/>
              </w:rPr>
              <w:t>生态环境局</w:t>
            </w:r>
          </w:p>
          <w:p>
            <w:pPr>
              <w:jc w:val="center"/>
              <w:rPr>
                <w:rFonts w:hint="eastAsia" w:eastAsia="宋体"/>
                <w:lang w:eastAsia="zh-CN"/>
              </w:rPr>
            </w:pPr>
            <w:r>
              <w:rPr>
                <w:rFonts w:hint="eastAsia" w:ascii="宋体" w:hAnsi="宋体" w:cs="宋体"/>
                <w:color w:val="auto"/>
                <w:kern w:val="0"/>
                <w:szCs w:val="21"/>
                <w:highlight w:val="none"/>
                <w:lang w:eastAsia="zh-CN" w:bidi="ar"/>
              </w:rPr>
              <w:t>市规划自然资源委石景山分局</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开展洗轮机规范使用专项行动</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进一步强化洗轮设施专项检查，</w:t>
            </w:r>
            <w:r>
              <w:rPr>
                <w:rFonts w:hint="eastAsia" w:ascii="宋体" w:hAnsi="宋体" w:cs="宋体"/>
                <w:color w:val="auto"/>
                <w:kern w:val="0"/>
                <w:szCs w:val="21"/>
                <w:lang w:eastAsia="zh-CN" w:bidi="ar"/>
              </w:rPr>
              <w:t>制定</w:t>
            </w:r>
            <w:r>
              <w:rPr>
                <w:rFonts w:hint="eastAsia" w:ascii="宋体" w:hAnsi="宋体" w:cs="宋体"/>
                <w:color w:val="auto"/>
                <w:kern w:val="0"/>
                <w:szCs w:val="21"/>
                <w:lang w:bidi="ar"/>
              </w:rPr>
              <w:t>洗轮机设置规范，督促各类施工企业落实绿色施工各项要求，做好工地（场站）洗轮机规范安装工作，把好扬尘“出口”，拒绝带泥上路行驶。</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城市管理委</w:t>
            </w:r>
          </w:p>
          <w:p>
            <w:pPr>
              <w:widowControl/>
              <w:ind w:left="0"/>
              <w:jc w:val="center"/>
              <w:textAlignment w:val="center"/>
              <w:rPr>
                <w:rFonts w:hint="eastAsia" w:ascii="宋体" w:hAnsi="宋体" w:cs="宋体"/>
                <w:b w:val="0"/>
                <w:color w:val="auto"/>
                <w:kern w:val="0"/>
                <w:sz w:val="21"/>
                <w:szCs w:val="21"/>
                <w:highlight w:val="none"/>
                <w:lang w:eastAsia="zh-CN" w:bidi="ar"/>
              </w:rPr>
            </w:pPr>
            <w:r>
              <w:rPr>
                <w:rFonts w:hint="eastAsia" w:ascii="宋体" w:hAnsi="宋体" w:cs="宋体"/>
                <w:b w:val="0"/>
                <w:color w:val="auto"/>
                <w:kern w:val="0"/>
                <w:sz w:val="21"/>
                <w:szCs w:val="21"/>
                <w:highlight w:val="none"/>
                <w:lang w:eastAsia="zh-CN" w:bidi="ar"/>
              </w:rPr>
              <w:t>区</w:t>
            </w:r>
            <w:r>
              <w:rPr>
                <w:rFonts w:hint="eastAsia" w:ascii="宋体" w:hAnsi="宋体" w:eastAsia="宋体" w:cs="宋体"/>
                <w:b w:val="0"/>
                <w:color w:val="auto"/>
                <w:kern w:val="0"/>
                <w:sz w:val="21"/>
                <w:szCs w:val="21"/>
                <w:highlight w:val="none"/>
                <w:lang w:bidi="ar"/>
              </w:rPr>
              <w:t>园林绿化局</w:t>
            </w:r>
            <w:r>
              <w:rPr>
                <w:rFonts w:hint="eastAsia" w:ascii="宋体" w:hAnsi="宋体" w:cs="宋体"/>
                <w:b w:val="0"/>
                <w:color w:val="auto"/>
                <w:kern w:val="0"/>
                <w:sz w:val="21"/>
                <w:szCs w:val="21"/>
                <w:highlight w:val="none"/>
                <w:lang w:eastAsia="zh-CN" w:bidi="ar"/>
              </w:rPr>
              <w:t>等部门</w:t>
            </w:r>
          </w:p>
          <w:p>
            <w:pPr>
              <w:widowControl/>
              <w:ind w:left="0"/>
              <w:jc w:val="center"/>
              <w:textAlignment w:val="center"/>
              <w:rPr>
                <w:rFonts w:hint="eastAsia" w:ascii="宋体" w:hAnsi="宋体" w:eastAsia="宋体" w:cs="宋体"/>
                <w:b w:val="0"/>
                <w:color w:val="auto"/>
                <w:kern w:val="0"/>
                <w:sz w:val="21"/>
                <w:szCs w:val="21"/>
                <w:highlight w:val="none"/>
                <w:lang w:bidi="ar"/>
              </w:rPr>
            </w:pPr>
            <w:r>
              <w:rPr>
                <w:rFonts w:hint="eastAsia" w:hAnsi="宋体" w:cs="宋体"/>
                <w:b w:val="0"/>
                <w:color w:val="auto"/>
                <w:kern w:val="0"/>
                <w:sz w:val="21"/>
                <w:szCs w:val="21"/>
                <w:highlight w:val="none"/>
                <w:lang w:eastAsia="zh-CN"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37" w:type="pct"/>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tcBorders>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加强对扬尘执法工作的指导，提升属地扬尘执法效能，重点指导空气质量</w:t>
            </w:r>
            <w:r>
              <w:rPr>
                <w:rFonts w:hint="eastAsia" w:ascii="宋体" w:hAnsi="宋体" w:cs="宋体"/>
                <w:color w:val="auto"/>
                <w:kern w:val="0"/>
                <w:szCs w:val="21"/>
                <w:lang w:eastAsia="zh-CN" w:bidi="ar"/>
              </w:rPr>
              <w:t>较差的</w:t>
            </w:r>
            <w:r>
              <w:rPr>
                <w:rFonts w:hint="eastAsia" w:ascii="宋体" w:hAnsi="宋体" w:cs="宋体"/>
                <w:color w:val="auto"/>
                <w:kern w:val="0"/>
                <w:szCs w:val="21"/>
                <w:lang w:bidi="ar"/>
              </w:rPr>
              <w:t>街道加强执法检查，做好各类扬尘执法数据的汇总、分析、通报，并及时向同级相关行业主管部门推送。</w:t>
            </w:r>
          </w:p>
        </w:tc>
        <w:tc>
          <w:tcPr>
            <w:tcW w:w="360" w:type="pct"/>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kinsoku/>
              <w:wordWrap/>
              <w:overflowPunct/>
              <w:topLinePunct w:val="0"/>
              <w:autoSpaceDN/>
              <w:bidi w:val="0"/>
              <w:adjustRightInd/>
              <w:spacing w:line="360" w:lineRule="exact"/>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kinsoku/>
              <w:wordWrap/>
              <w:overflowPunct/>
              <w:topLinePunct w:val="0"/>
              <w:autoSpaceDN/>
              <w:bidi w:val="0"/>
              <w:adjustRightInd/>
              <w:spacing w:line="360" w:lineRule="exact"/>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区城管执法局</w:t>
            </w:r>
          </w:p>
        </w:tc>
        <w:tc>
          <w:tcPr>
            <w:tcW w:w="73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val="0"/>
              <w:spacing w:line="360" w:lineRule="exact"/>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区住房城市建设委</w:t>
            </w:r>
          </w:p>
          <w:p>
            <w:pPr>
              <w:keepNext w:val="0"/>
              <w:keepLines w:val="0"/>
              <w:pageBreakBefore w:val="0"/>
              <w:kinsoku/>
              <w:wordWrap/>
              <w:overflowPunct/>
              <w:topLinePunct w:val="0"/>
              <w:autoSpaceDN/>
              <w:bidi w:val="0"/>
              <w:adjustRightInd/>
              <w:snapToGrid w:val="0"/>
              <w:spacing w:line="360" w:lineRule="exact"/>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区城市管理委</w:t>
            </w:r>
          </w:p>
          <w:p>
            <w:pPr>
              <w:keepNext w:val="0"/>
              <w:keepLines w:val="0"/>
              <w:pageBreakBefore w:val="0"/>
              <w:kinsoku/>
              <w:wordWrap/>
              <w:overflowPunct/>
              <w:topLinePunct w:val="0"/>
              <w:autoSpaceDE w:val="0"/>
              <w:autoSpaceDN/>
              <w:bidi w:val="0"/>
              <w:adjustRightInd/>
              <w:snapToGrid w:val="0"/>
              <w:spacing w:line="360" w:lineRule="exact"/>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区园林绿化局等部门</w:t>
            </w:r>
          </w:p>
          <w:p>
            <w:pPr>
              <w:keepNext w:val="0"/>
              <w:keepLines w:val="0"/>
              <w:pageBreakBefore w:val="0"/>
              <w:kinsoku/>
              <w:wordWrap/>
              <w:overflowPunct/>
              <w:topLinePunct w:val="0"/>
              <w:autoSpaceDN/>
              <w:bidi w:val="0"/>
              <w:adjustRightInd/>
              <w:snapToGrid w:val="0"/>
              <w:spacing w:line="360" w:lineRule="exact"/>
              <w:jc w:val="center"/>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37" w:type="pct"/>
            <w:vMerge w:val="restart"/>
            <w:tcBorders>
              <w:top w:val="nil"/>
              <w:left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367" w:type="pct"/>
            <w:vMerge w:val="restart"/>
            <w:tcBorders>
              <w:top w:val="single" w:color="auto" w:sz="4" w:space="0"/>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严格道路扬尘监管</w:t>
            </w:r>
          </w:p>
        </w:tc>
        <w:tc>
          <w:tcPr>
            <w:tcW w:w="1948" w:type="pct"/>
            <w:tcBorders>
              <w:top w:val="single" w:color="auto" w:sz="4" w:space="0"/>
              <w:left w:val="nil"/>
              <w:bottom w:val="single" w:color="auto" w:sz="4" w:space="0"/>
              <w:right w:val="single" w:color="auto" w:sz="4" w:space="0"/>
            </w:tcBorders>
            <w:noWrap w:val="0"/>
            <w:vAlign w:val="center"/>
          </w:tcPr>
          <w:p>
            <w:pPr>
              <w:pStyle w:val="7"/>
              <w:rPr>
                <w:rFonts w:hint="eastAsia" w:eastAsia="宋体"/>
                <w:lang w:eastAsia="zh-CN"/>
              </w:rPr>
            </w:pPr>
            <w:r>
              <w:rPr>
                <w:rFonts w:hint="eastAsia" w:ascii="宋体" w:hAnsi="宋体" w:cs="宋体"/>
                <w:color w:val="auto"/>
                <w:kern w:val="0"/>
                <w:szCs w:val="21"/>
                <w:lang w:bidi="ar"/>
              </w:rPr>
              <w:t>加大道路清扫保洁力度，城市道路机械化作业率达到97%。</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区城市管理委</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区环卫中心</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hint="eastAsia"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pStyle w:val="7"/>
              <w:rPr>
                <w:rFonts w:hint="eastAsia" w:hAnsi="宋体" w:cs="宋体"/>
                <w:color w:val="auto"/>
                <w:kern w:val="0"/>
                <w:szCs w:val="21"/>
                <w:lang w:eastAsia="zh-CN" w:bidi="ar"/>
              </w:rPr>
            </w:pPr>
            <w:r>
              <w:rPr>
                <w:rFonts w:hint="eastAsia" w:hAnsi="宋体" w:cs="宋体"/>
                <w:color w:val="auto"/>
                <w:kern w:val="0"/>
                <w:szCs w:val="21"/>
                <w:lang w:eastAsia="zh-CN" w:bidi="ar"/>
              </w:rPr>
              <w:t>各街道每季度组织开展一次社区内部道路“大扫除”行动。</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cs="宋体"/>
                <w:color w:val="auto"/>
                <w:kern w:val="0"/>
                <w:szCs w:val="21"/>
                <w:lang w:eastAsia="zh-CN" w:bidi="ar"/>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持续开展道路“消劣”专项行动。</w:t>
            </w:r>
            <w:r>
              <w:rPr>
                <w:rFonts w:hint="eastAsia" w:ascii="宋体" w:hAnsi="宋体" w:cs="宋体"/>
                <w:color w:val="auto"/>
                <w:kern w:val="0"/>
                <w:szCs w:val="21"/>
                <w:lang w:eastAsia="zh-CN" w:bidi="ar"/>
              </w:rPr>
              <w:t>区环卫中心、</w:t>
            </w:r>
            <w:r>
              <w:rPr>
                <w:rFonts w:hint="eastAsia" w:ascii="宋体" w:hAnsi="宋体" w:cs="宋体"/>
                <w:color w:val="auto"/>
                <w:kern w:val="0"/>
                <w:szCs w:val="21"/>
                <w:lang w:bidi="ar"/>
              </w:rPr>
              <w:t>各</w:t>
            </w:r>
            <w:r>
              <w:rPr>
                <w:rFonts w:hint="eastAsia" w:ascii="宋体" w:hAnsi="宋体" w:cs="宋体"/>
                <w:color w:val="auto"/>
                <w:kern w:val="0"/>
                <w:szCs w:val="21"/>
                <w:lang w:eastAsia="zh-CN" w:bidi="ar"/>
              </w:rPr>
              <w:t>街道</w:t>
            </w:r>
            <w:r>
              <w:rPr>
                <w:rFonts w:hint="eastAsia" w:ascii="宋体" w:hAnsi="宋体" w:cs="宋体"/>
                <w:color w:val="auto"/>
                <w:kern w:val="0"/>
                <w:szCs w:val="21"/>
                <w:lang w:bidi="ar"/>
              </w:rPr>
              <w:t>及时整改提升，实现差等级道路动态消除。</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区环卫中心</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367" w:type="pct"/>
            <w:vMerge w:val="restart"/>
            <w:tcBorders>
              <w:top w:val="single" w:color="auto" w:sz="4" w:space="0"/>
              <w:left w:val="nil"/>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优化裸地扬尘监管</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深入推进“揭网见绿”专项行动，有序推进分类揭网、多元见绿</w:t>
            </w:r>
            <w:r>
              <w:rPr>
                <w:rFonts w:hint="eastAsia" w:ascii="宋体" w:hAnsi="宋体" w:cs="宋体"/>
                <w:color w:val="auto"/>
                <w:kern w:val="0"/>
                <w:szCs w:val="21"/>
                <w:lang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园林绿化局</w:t>
            </w:r>
          </w:p>
          <w:p>
            <w:pPr>
              <w:widowControl/>
              <w:jc w:val="center"/>
              <w:textAlignment w:val="center"/>
              <w:rPr>
                <w:rFonts w:ascii="宋体" w:hAnsi="宋体" w:cs="宋体"/>
                <w:color w:val="auto"/>
                <w:kern w:val="0"/>
                <w:szCs w:val="21"/>
                <w:lang w:bidi="ar"/>
              </w:rPr>
            </w:pP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37" w:type="pct"/>
            <w:vMerge w:val="continue"/>
            <w:tcBorders>
              <w:left w:val="single" w:color="auto" w:sz="4" w:space="0"/>
              <w:right w:val="single" w:color="auto" w:sz="4" w:space="0"/>
            </w:tcBorders>
            <w:noWrap w:val="0"/>
            <w:vAlign w:val="center"/>
          </w:tcPr>
          <w:p>
            <w:pPr>
              <w:snapToGrid w:val="0"/>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ind w:left="-105" w:leftChars="-50" w:right="-105" w:rightChars="-50"/>
              <w:jc w:val="center"/>
              <w:rPr>
                <w:rFonts w:hint="eastAsia"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各街道</w:t>
            </w:r>
            <w:r>
              <w:rPr>
                <w:rFonts w:hint="eastAsia" w:ascii="宋体" w:hAnsi="宋体" w:eastAsia="宋体" w:cs="宋体"/>
                <w:b w:val="0"/>
                <w:color w:val="auto"/>
                <w:kern w:val="0"/>
                <w:sz w:val="21"/>
                <w:szCs w:val="21"/>
                <w:lang w:bidi="ar"/>
              </w:rPr>
              <w:t>因地制宜、分类施策，实现裸地动态整治。</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7" w:type="pct"/>
            <w:tcBorders>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20</w:t>
            </w:r>
          </w:p>
        </w:tc>
        <w:tc>
          <w:tcPr>
            <w:tcW w:w="367" w:type="pct"/>
            <w:tcBorders>
              <w:left w:val="nil"/>
              <w:right w:val="single" w:color="auto" w:sz="4" w:space="0"/>
            </w:tcBorders>
            <w:noWrap w:val="0"/>
            <w:vAlign w:val="center"/>
          </w:tcPr>
          <w:p>
            <w:pPr>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cs="宋体"/>
                <w:color w:val="auto"/>
                <w:szCs w:val="21"/>
                <w:lang w:eastAsia="zh-CN"/>
              </w:rPr>
              <w:t>推进外来沙尘监管</w:t>
            </w:r>
          </w:p>
        </w:tc>
        <w:tc>
          <w:tcPr>
            <w:tcW w:w="1948" w:type="pct"/>
            <w:tcBorders>
              <w:top w:val="single" w:color="auto" w:sz="4" w:space="0"/>
              <w:left w:val="nil"/>
              <w:bottom w:val="single" w:color="auto" w:sz="4" w:space="0"/>
              <w:right w:val="single" w:color="auto" w:sz="4" w:space="0"/>
            </w:tcBorders>
            <w:noWrap w:val="0"/>
            <w:vAlign w:val="center"/>
          </w:tcPr>
          <w:p>
            <w:pPr>
              <w:pStyle w:val="6"/>
              <w:ind w:left="0"/>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沙尘天气后及时开展屋顶清扫、冲洗和道路清扫工作，消除路面及屋顶覆土积尘。</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区生态环境局</w:t>
            </w:r>
          </w:p>
          <w:p>
            <w:pPr>
              <w:pStyle w:val="7"/>
              <w:jc w:val="center"/>
              <w:rPr>
                <w:rFonts w:hint="eastAsia" w:hAnsi="宋体" w:cs="宋体"/>
                <w:color w:val="auto"/>
                <w:kern w:val="0"/>
                <w:szCs w:val="21"/>
                <w:lang w:eastAsia="zh-CN" w:bidi="ar"/>
              </w:rPr>
            </w:pPr>
            <w:r>
              <w:rPr>
                <w:rFonts w:hint="eastAsia" w:hAnsi="宋体" w:cs="宋体"/>
                <w:color w:val="auto"/>
                <w:kern w:val="0"/>
                <w:szCs w:val="21"/>
                <w:lang w:eastAsia="zh-CN" w:bidi="ar"/>
              </w:rPr>
              <w:t>区环卫中心</w:t>
            </w:r>
          </w:p>
          <w:p>
            <w:pPr>
              <w:jc w:val="center"/>
              <w:rPr>
                <w:rFonts w:hint="eastAsia"/>
                <w:lang w:eastAsia="zh-CN"/>
              </w:rPr>
            </w:pPr>
            <w:r>
              <w:rPr>
                <w:rFonts w:hint="eastAsia" w:hAnsi="宋体" w:cs="宋体"/>
                <w:color w:val="auto"/>
                <w:kern w:val="0"/>
                <w:szCs w:val="21"/>
                <w:lang w:eastAsia="zh-CN" w:bidi="ar"/>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37" w:type="pct"/>
            <w:vMerge w:val="restart"/>
            <w:tcBorders>
              <w:left w:val="single" w:color="auto" w:sz="4" w:space="0"/>
              <w:right w:val="single" w:color="auto" w:sz="4" w:space="0"/>
            </w:tcBorders>
            <w:noWrap w:val="0"/>
            <w:vAlign w:val="center"/>
          </w:tcPr>
          <w:p>
            <w:pPr>
              <w:snapToGrid w:val="0"/>
              <w:spacing w:line="260" w:lineRule="exact"/>
              <w:jc w:val="center"/>
              <w:rPr>
                <w:rFonts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21</w:t>
            </w:r>
          </w:p>
        </w:tc>
        <w:tc>
          <w:tcPr>
            <w:tcW w:w="367" w:type="pct"/>
            <w:vMerge w:val="restart"/>
            <w:tcBorders>
              <w:left w:val="nil"/>
              <w:right w:val="single" w:color="auto" w:sz="4" w:space="0"/>
            </w:tcBorders>
            <w:noWrap w:val="0"/>
            <w:vAlign w:val="center"/>
          </w:tcPr>
          <w:p>
            <w:pPr>
              <w:snapToGrid w:val="0"/>
              <w:spacing w:line="260" w:lineRule="exact"/>
              <w:jc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加强面源污染管控</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kern w:val="0"/>
                <w:szCs w:val="21"/>
                <w:lang w:bidi="ar"/>
              </w:rPr>
              <w:t>严格落实《北京市烟花爆竹安全管理规定》和《北京市石景山区人民政府关于行政区域内禁止燃放烟花爆竹的通告》，禁止销售、燃放烟花爆竹。</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市公安局</w:t>
            </w:r>
            <w:r>
              <w:rPr>
                <w:rFonts w:hint="eastAsia" w:ascii="宋体" w:hAnsi="宋体" w:cs="宋体"/>
                <w:color w:val="auto"/>
                <w:kern w:val="0"/>
                <w:szCs w:val="21"/>
                <w:lang w:eastAsia="zh-CN" w:bidi="ar"/>
              </w:rPr>
              <w:t>石景山分局</w:t>
            </w: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应急局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kern w:val="0"/>
                <w:szCs w:val="21"/>
                <w:lang w:eastAsia="zh-CN" w:bidi="ar"/>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持续做好本市消耗臭氧层物质企业备案管理，加强对未备案及使用淘汰物质违法行为的执法检查。加强恶臭、有毒有害大气污染物防控。</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367" w:type="pct"/>
            <w:vMerge w:val="restart"/>
            <w:tcBorders>
              <w:left w:val="nil"/>
              <w:right w:val="single" w:color="auto" w:sz="4" w:space="0"/>
            </w:tcBorders>
            <w:noWrap w:val="0"/>
            <w:vAlign w:val="center"/>
          </w:tcPr>
          <w:p>
            <w:pPr>
              <w:snapToGrid w:val="0"/>
              <w:spacing w:line="260" w:lineRule="exact"/>
              <w:jc w:val="center"/>
              <w:rPr>
                <w:rFonts w:ascii="宋体" w:hAnsi="宋体" w:cs="宋体"/>
                <w:color w:val="auto"/>
                <w:kern w:val="0"/>
                <w:szCs w:val="21"/>
                <w:lang w:bidi="ar"/>
              </w:rPr>
            </w:pPr>
            <w:r>
              <w:rPr>
                <w:rFonts w:hint="eastAsia" w:ascii="宋体" w:hAnsi="宋体" w:cs="宋体"/>
                <w:color w:val="auto"/>
                <w:kern w:val="0"/>
                <w:szCs w:val="21"/>
                <w:lang w:bidi="ar"/>
              </w:rPr>
              <w:t>加强噪声污染治理</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kern w:val="0"/>
                <w:szCs w:val="21"/>
                <w:lang w:bidi="ar"/>
              </w:rPr>
              <w:t>2025年国控站点功能区声环境质量夜间达标率平均值达到国家要求。</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区生态环境局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hint="eastAsia"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制定并报送交通噪声缓解年度治理计划。组织实施</w:t>
            </w:r>
            <w:r>
              <w:rPr>
                <w:rFonts w:hint="eastAsia" w:ascii="宋体" w:hAnsi="宋体" w:cs="宋体"/>
                <w:color w:val="auto"/>
                <w:kern w:val="0"/>
                <w:szCs w:val="21"/>
                <w:lang w:val="en-US" w:eastAsia="zh-CN" w:bidi="ar"/>
              </w:rPr>
              <w:t>1项</w:t>
            </w:r>
            <w:r>
              <w:rPr>
                <w:rFonts w:hint="eastAsia" w:ascii="宋体" w:hAnsi="宋体" w:cs="宋体"/>
                <w:color w:val="auto"/>
                <w:kern w:val="0"/>
                <w:szCs w:val="21"/>
                <w:lang w:bidi="ar"/>
              </w:rPr>
              <w:t>重点路段交通噪声治理</w:t>
            </w:r>
            <w:r>
              <w:rPr>
                <w:rFonts w:hint="eastAsia" w:ascii="宋体" w:hAnsi="宋体" w:cs="宋体"/>
                <w:color w:val="auto"/>
                <w:kern w:val="0"/>
                <w:szCs w:val="21"/>
                <w:lang w:val="en-US"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eastAsia="zh-CN"/>
              </w:rPr>
              <w:t>区</w:t>
            </w:r>
            <w:r>
              <w:rPr>
                <w:rFonts w:hint="eastAsia" w:ascii="宋体" w:hAnsi="宋体" w:cs="宋体"/>
                <w:color w:val="auto"/>
                <w:kern w:val="0"/>
                <w:szCs w:val="21"/>
              </w:rPr>
              <w:t>城市管理委</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eastAsia="zh-CN" w:bidi="ar"/>
              </w:rPr>
            </w:pPr>
            <w:r>
              <w:rPr>
                <w:rFonts w:hint="eastAsia" w:ascii="宋体" w:hAnsi="宋体" w:cs="宋体"/>
                <w:kern w:val="0"/>
                <w:szCs w:val="21"/>
                <w:lang w:eastAsia="zh-CN" w:bidi="ar"/>
              </w:rPr>
              <w:t>区生态环境局</w:t>
            </w:r>
          </w:p>
          <w:p>
            <w:pPr>
              <w:snapToGrid w:val="0"/>
              <w:spacing w:line="260" w:lineRule="exact"/>
              <w:jc w:val="center"/>
              <w:rPr>
                <w:rFonts w:hint="eastAsia" w:ascii="宋体" w:hAnsi="宋体" w:cs="宋体"/>
                <w:color w:val="auto"/>
                <w:szCs w:val="21"/>
              </w:rPr>
            </w:pPr>
            <w:r>
              <w:rPr>
                <w:rFonts w:hint="eastAsia" w:ascii="宋体" w:hAnsi="宋体" w:cs="宋体"/>
                <w:kern w:val="0"/>
                <w:szCs w:val="21"/>
                <w:lang w:eastAsia="zh-CN" w:bidi="ar"/>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hint="eastAsia"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cs="宋体"/>
                <w:strike w:val="0"/>
                <w:dstrike w:val="0"/>
                <w:color w:val="auto"/>
                <w:kern w:val="0"/>
                <w:szCs w:val="21"/>
                <w:lang w:bidi="ar"/>
              </w:rPr>
              <w:t>按照全市的统一部署，审批发放夜间施工证明；落实房屋建筑和市政基础设施工程施工现场绿色</w:t>
            </w:r>
            <w:r>
              <w:rPr>
                <w:rFonts w:hint="eastAsia" w:ascii="宋体" w:hAnsi="宋体" w:cs="宋体"/>
                <w:strike w:val="0"/>
                <w:dstrike w:val="0"/>
                <w:color w:val="auto"/>
                <w:kern w:val="0"/>
                <w:szCs w:val="21"/>
                <w:lang w:eastAsia="zh-CN" w:bidi="ar"/>
              </w:rPr>
              <w:t>文明</w:t>
            </w:r>
            <w:r>
              <w:rPr>
                <w:rFonts w:hint="eastAsia" w:ascii="宋体" w:hAnsi="宋体" w:cs="宋体"/>
                <w:strike w:val="0"/>
                <w:dstrike w:val="0"/>
                <w:color w:val="auto"/>
                <w:kern w:val="0"/>
                <w:szCs w:val="21"/>
                <w:lang w:bidi="ar"/>
              </w:rPr>
              <w:t>施工考核评价办法要求；加大违法夜间施工查处力度；组织实施3家重点点位施工噪声治理</w:t>
            </w:r>
            <w:r>
              <w:rPr>
                <w:rFonts w:hint="eastAsia" w:ascii="宋体" w:hAnsi="宋体" w:cs="宋体"/>
                <w:strike w:val="0"/>
                <w:dstrike w:val="0"/>
                <w:color w:val="auto"/>
                <w:kern w:val="0"/>
                <w:szCs w:val="21"/>
                <w:lang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center"/>
              <w:rPr>
                <w:rFonts w:hint="eastAsia" w:ascii="宋体" w:hAnsi="宋体" w:eastAsia="宋体" w:cs="宋体"/>
                <w:strike w:val="0"/>
                <w:dstrike w:val="0"/>
                <w:color w:val="auto"/>
                <w:kern w:val="0"/>
                <w:sz w:val="21"/>
                <w:szCs w:val="21"/>
                <w:lang w:val="en-US" w:eastAsia="zh-CN" w:bidi="ar-SA"/>
              </w:rPr>
            </w:pPr>
            <w:r>
              <w:rPr>
                <w:rFonts w:hint="eastAsia" w:ascii="宋体" w:hAnsi="宋体" w:cs="宋体"/>
                <w:strike w:val="0"/>
                <w:dstrike w:val="0"/>
                <w:color w:val="auto"/>
                <w:kern w:val="0"/>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spacing w:line="240" w:lineRule="auto"/>
              <w:ind w:firstLine="0" w:firstLineChars="0"/>
              <w:jc w:val="center"/>
              <w:textAlignment w:val="center"/>
              <w:rPr>
                <w:rFonts w:hint="eastAsia" w:ascii="宋体" w:hAnsi="宋体" w:eastAsia="宋体" w:cs="宋体"/>
                <w:strike w:val="0"/>
                <w:dstrike w:val="0"/>
                <w:color w:val="auto"/>
                <w:kern w:val="0"/>
                <w:sz w:val="21"/>
                <w:szCs w:val="21"/>
                <w:lang w:val="en-US" w:eastAsia="zh-CN" w:bidi="ar-SA"/>
              </w:rPr>
            </w:pPr>
            <w:r>
              <w:rPr>
                <w:rFonts w:hint="eastAsia" w:ascii="宋体" w:hAnsi="宋体" w:cs="宋体"/>
                <w:color w:val="auto"/>
                <w:kern w:val="0"/>
                <w:szCs w:val="21"/>
                <w:highlight w:val="none"/>
                <w:lang w:eastAsia="zh-CN" w:bidi="ar"/>
              </w:rPr>
              <w:t>区</w:t>
            </w:r>
            <w:r>
              <w:rPr>
                <w:rFonts w:hint="eastAsia" w:ascii="宋体" w:hAnsi="宋体" w:cs="宋体"/>
                <w:color w:val="auto"/>
                <w:kern w:val="0"/>
                <w:szCs w:val="21"/>
                <w:highlight w:val="none"/>
                <w:lang w:bidi="ar"/>
              </w:rPr>
              <w:t>住房城</w:t>
            </w:r>
            <w:r>
              <w:rPr>
                <w:rFonts w:hint="eastAsia" w:ascii="宋体" w:hAnsi="宋体" w:cs="宋体"/>
                <w:color w:val="auto"/>
                <w:kern w:val="0"/>
                <w:szCs w:val="21"/>
                <w:highlight w:val="none"/>
                <w:lang w:eastAsia="zh-CN" w:bidi="ar"/>
              </w:rPr>
              <w:t>市</w:t>
            </w:r>
            <w:r>
              <w:rPr>
                <w:rFonts w:hint="eastAsia" w:ascii="宋体" w:hAnsi="宋体" w:cs="宋体"/>
                <w:color w:val="auto"/>
                <w:kern w:val="0"/>
                <w:szCs w:val="21"/>
                <w:highlight w:val="none"/>
                <w:lang w:bidi="ar"/>
              </w:rPr>
              <w:t>建设委</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kern w:val="0"/>
                <w:szCs w:val="21"/>
                <w:lang w:eastAsia="zh-CN"/>
              </w:rPr>
            </w:pPr>
            <w:r>
              <w:rPr>
                <w:rFonts w:hint="eastAsia" w:ascii="宋体" w:hAnsi="宋体" w:cs="宋体"/>
                <w:kern w:val="0"/>
                <w:szCs w:val="21"/>
                <w:lang w:eastAsia="zh-CN"/>
              </w:rPr>
              <w:t>区城市管理委</w:t>
            </w:r>
          </w:p>
          <w:p>
            <w:pPr>
              <w:pStyle w:val="4"/>
              <w:ind w:left="0" w:leftChars="0" w:firstLine="0" w:firstLineChars="0"/>
              <w:jc w:val="center"/>
              <w:rPr>
                <w:rFonts w:hint="eastAsia"/>
              </w:rPr>
            </w:pPr>
            <w:r>
              <w:rPr>
                <w:rFonts w:hint="eastAsia" w:ascii="宋体" w:hAnsi="宋体" w:eastAsia="宋体" w:cs="宋体"/>
                <w:kern w:val="0"/>
                <w:sz w:val="21"/>
                <w:szCs w:val="21"/>
                <w:lang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hint="eastAsia"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组织实施</w:t>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项重点点位商业固定设备噪声治理</w:t>
            </w:r>
            <w:r>
              <w:rPr>
                <w:rFonts w:hint="eastAsia" w:ascii="宋体" w:hAnsi="宋体" w:cs="宋体"/>
                <w:color w:val="auto"/>
                <w:kern w:val="0"/>
                <w:szCs w:val="21"/>
                <w:lang w:val="en-US"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37" w:type="pct"/>
            <w:vMerge w:val="continue"/>
            <w:tcBorders>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hint="eastAsia"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组织实施</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项重点点位公共场所文体娱乐活动噪声治理</w:t>
            </w:r>
            <w:r>
              <w:rPr>
                <w:rFonts w:hint="eastAsia" w:ascii="宋体" w:hAnsi="宋体" w:cs="宋体"/>
                <w:color w:val="auto"/>
                <w:kern w:val="0"/>
                <w:szCs w:val="21"/>
                <w:lang w:val="en-US" w:eastAsia="zh-CN" w:bidi="ar"/>
              </w:rPr>
              <w:t>。</w:t>
            </w:r>
          </w:p>
        </w:tc>
        <w:tc>
          <w:tcPr>
            <w:tcW w:w="360"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center"/>
              <w:rPr>
                <w:rFonts w:hint="eastAsia" w:ascii="宋体" w:hAnsi="宋体" w:cs="宋体"/>
                <w:kern w:val="0"/>
                <w:szCs w:val="21"/>
                <w:lang w:eastAsia="zh-CN" w:bidi="ar"/>
              </w:rPr>
            </w:pPr>
            <w:r>
              <w:rPr>
                <w:rFonts w:hint="eastAsia" w:ascii="宋体" w:hAnsi="宋体" w:cs="宋体"/>
                <w:kern w:val="0"/>
                <w:szCs w:val="21"/>
                <w:lang w:eastAsia="zh-CN" w:bidi="ar"/>
              </w:rPr>
              <w:t>八角街道办事处</w:t>
            </w:r>
          </w:p>
          <w:p>
            <w:pPr>
              <w:widowControl/>
              <w:snapToGrid w:val="0"/>
              <w:spacing w:line="260" w:lineRule="exact"/>
              <w:jc w:val="center"/>
              <w:rPr>
                <w:rFonts w:hint="eastAsia" w:ascii="宋体" w:hAnsi="宋体" w:cs="宋体"/>
                <w:kern w:val="0"/>
                <w:szCs w:val="21"/>
                <w:lang w:eastAsia="zh-CN" w:bidi="ar"/>
              </w:rPr>
            </w:pPr>
            <w:r>
              <w:rPr>
                <w:rFonts w:hint="eastAsia" w:ascii="宋体" w:hAnsi="宋体" w:cs="宋体"/>
                <w:kern w:val="0"/>
                <w:szCs w:val="21"/>
                <w:lang w:eastAsia="zh-CN" w:bidi="ar"/>
              </w:rPr>
              <w:t>老山街道办事处</w:t>
            </w:r>
          </w:p>
          <w:p>
            <w:pPr>
              <w:widowControl/>
              <w:snapToGrid w:val="0"/>
              <w:spacing w:line="26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cs="宋体"/>
                <w:kern w:val="0"/>
                <w:szCs w:val="21"/>
                <w:lang w:eastAsia="zh-CN" w:bidi="ar"/>
              </w:rPr>
              <w:t>苹果园街道办事处</w:t>
            </w:r>
          </w:p>
        </w:tc>
        <w:tc>
          <w:tcPr>
            <w:tcW w:w="73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eastAsia="zh-CN" w:bidi="ar"/>
              </w:rPr>
              <w:t>区</w:t>
            </w:r>
            <w:r>
              <w:rPr>
                <w:rFonts w:hint="eastAsia" w:ascii="宋体" w:hAnsi="宋体" w:cs="宋体"/>
                <w:kern w:val="0"/>
                <w:szCs w:val="21"/>
                <w:lang w:bidi="ar"/>
              </w:rPr>
              <w:t>园林绿化局</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eastAsia="zh-CN" w:bidi="ar"/>
              </w:rPr>
              <w:t>区</w:t>
            </w:r>
            <w:r>
              <w:rPr>
                <w:rFonts w:hint="eastAsia" w:ascii="宋体" w:hAnsi="宋体" w:cs="宋体"/>
                <w:kern w:val="0"/>
                <w:szCs w:val="21"/>
                <w:lang w:bidi="ar"/>
              </w:rPr>
              <w:t>生态环境局</w:t>
            </w:r>
          </w:p>
          <w:p>
            <w:pPr>
              <w:widowControl/>
              <w:jc w:val="center"/>
              <w:textAlignment w:val="center"/>
              <w:rPr>
                <w:rFonts w:hint="eastAsia" w:ascii="宋体" w:hAnsi="宋体" w:cs="宋体"/>
                <w:kern w:val="0"/>
                <w:szCs w:val="21"/>
                <w:lang w:eastAsia="zh-CN" w:bidi="ar"/>
              </w:rPr>
            </w:pPr>
            <w:r>
              <w:rPr>
                <w:rFonts w:hint="eastAsia" w:ascii="宋体" w:hAnsi="宋体" w:cs="宋体"/>
                <w:kern w:val="0"/>
                <w:szCs w:val="21"/>
                <w:lang w:bidi="ar"/>
              </w:rPr>
              <w:t>市公安局</w:t>
            </w:r>
            <w:r>
              <w:rPr>
                <w:rFonts w:hint="eastAsia" w:ascii="宋体" w:hAnsi="宋体" w:cs="宋体"/>
                <w:kern w:val="0"/>
                <w:szCs w:val="21"/>
                <w:lang w:eastAsia="zh-CN" w:bidi="ar"/>
              </w:rPr>
              <w:t>石景山分局</w:t>
            </w:r>
          </w:p>
          <w:p>
            <w:pPr>
              <w:widowControl/>
              <w:jc w:val="center"/>
              <w:textAlignment w:val="center"/>
              <w:rPr>
                <w:rFonts w:hint="eastAsia" w:ascii="宋体" w:hAnsi="宋体" w:cs="宋体"/>
                <w:kern w:val="0"/>
                <w:szCs w:val="21"/>
                <w:lang w:eastAsia="zh-CN" w:bidi="ar"/>
              </w:rPr>
            </w:pPr>
            <w:r>
              <w:rPr>
                <w:rFonts w:hint="eastAsia" w:ascii="宋体" w:hAnsi="宋体" w:cs="宋体"/>
                <w:kern w:val="0"/>
                <w:szCs w:val="21"/>
                <w:lang w:eastAsia="zh-CN" w:bidi="ar"/>
              </w:rPr>
              <w:t>区公园管理中心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237" w:type="pct"/>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367" w:type="pct"/>
            <w:tcBorders>
              <w:left w:val="nil"/>
              <w:right w:val="single" w:color="auto" w:sz="4" w:space="0"/>
            </w:tcBorders>
            <w:noWrap w:val="0"/>
            <w:vAlign w:val="center"/>
          </w:tcPr>
          <w:p>
            <w:pPr>
              <w:snapToGrid w:val="0"/>
              <w:spacing w:line="260" w:lineRule="exact"/>
              <w:jc w:val="center"/>
              <w:rPr>
                <w:rFonts w:ascii="宋体" w:hAnsi="宋体" w:cs="宋体"/>
                <w:color w:val="auto"/>
                <w:kern w:val="0"/>
                <w:szCs w:val="21"/>
                <w:lang w:bidi="ar"/>
              </w:rPr>
            </w:pPr>
            <w:r>
              <w:rPr>
                <w:rFonts w:hint="eastAsia" w:ascii="宋体" w:hAnsi="宋体" w:cs="宋体"/>
                <w:color w:val="auto"/>
                <w:szCs w:val="21"/>
              </w:rPr>
              <w:t>提升生态环境类接诉即办工作成效和能力</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区生态环境局</w:t>
            </w:r>
          </w:p>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区城管指挥中心</w:t>
            </w:r>
          </w:p>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区市场监管局</w:t>
            </w:r>
          </w:p>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区住房城市建设委</w:t>
            </w:r>
          </w:p>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区城市管理委等部门</w:t>
            </w:r>
          </w:p>
          <w:p>
            <w:pPr>
              <w:snapToGrid w:val="0"/>
              <w:spacing w:line="260" w:lineRule="exact"/>
              <w:jc w:val="center"/>
              <w:rPr>
                <w:rFonts w:hint="eastAsia" w:ascii="宋体" w:hAnsi="宋体" w:cs="宋体"/>
                <w:color w:val="auto"/>
                <w:kern w:val="0"/>
                <w:szCs w:val="21"/>
                <w:lang w:eastAsia="zh-CN" w:bidi="ar"/>
              </w:rPr>
            </w:pPr>
            <w:r>
              <w:rPr>
                <w:rFonts w:hint="eastAsia" w:ascii="宋体" w:hAnsi="宋体" w:cs="宋体"/>
                <w:color w:val="auto"/>
                <w:szCs w:val="21"/>
                <w:lang w:eastAsia="zh-CN"/>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区商务局</w:t>
            </w:r>
          </w:p>
          <w:p>
            <w:pPr>
              <w:snapToGrid w:val="0"/>
              <w:spacing w:line="260" w:lineRule="exact"/>
              <w:jc w:val="center"/>
              <w:rPr>
                <w:rFonts w:hint="eastAsia" w:ascii="宋体" w:hAnsi="宋体" w:cs="宋体"/>
                <w:color w:val="auto"/>
                <w:szCs w:val="21"/>
                <w:lang w:eastAsia="zh-CN"/>
              </w:rPr>
            </w:pPr>
            <w:r>
              <w:rPr>
                <w:rFonts w:hint="eastAsia" w:ascii="宋体" w:hAnsi="宋体" w:cs="宋体"/>
                <w:color w:val="auto"/>
                <w:szCs w:val="21"/>
                <w:lang w:eastAsia="zh-CN"/>
              </w:rPr>
              <w:t>区国资委</w:t>
            </w:r>
          </w:p>
          <w:p>
            <w:pPr>
              <w:snapToGrid w:val="0"/>
              <w:spacing w:line="260" w:lineRule="exact"/>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政务和数据局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eastAsia="黑体" w:cs="宋体"/>
                <w:color w:val="auto"/>
                <w:spacing w:val="-14"/>
                <w:szCs w:val="21"/>
              </w:rPr>
            </w:pPr>
            <w:r>
              <w:rPr>
                <w:rFonts w:hint="eastAsia" w:ascii="黑体" w:hAnsi="黑体" w:eastAsia="黑体" w:cs="黑体"/>
                <w:color w:val="auto"/>
                <w:szCs w:val="21"/>
                <w:lang w:eastAsia="zh-CN"/>
              </w:rPr>
              <w:t>五</w:t>
            </w:r>
            <w:r>
              <w:rPr>
                <w:rFonts w:hint="eastAsia" w:ascii="黑体" w:hAnsi="黑体" w:eastAsia="黑体" w:cs="黑体"/>
                <w:color w:val="auto"/>
                <w:szCs w:val="21"/>
              </w:rPr>
              <w:t>、加强大气环境治理保障支撑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4</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kern w:val="0"/>
                <w:szCs w:val="21"/>
                <w:lang w:bidi="ar"/>
              </w:rPr>
              <w:t>加强区域联防联控</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区域协同落实京津冀大气污染防治联防联控工作，共同开展秋冬季大气污染综合治理攻坚行动</w:t>
            </w:r>
            <w:r>
              <w:rPr>
                <w:rFonts w:hint="eastAsia" w:ascii="宋体" w:hAnsi="宋体" w:cs="宋体"/>
                <w:kern w:val="0"/>
                <w:szCs w:val="21"/>
                <w:lang w:bidi="ar"/>
              </w:rPr>
              <w:t>，</w:t>
            </w:r>
            <w:r>
              <w:rPr>
                <w:rFonts w:hint="eastAsia" w:ascii="宋体" w:hAnsi="宋体" w:cs="宋体"/>
                <w:kern w:val="0"/>
                <w:szCs w:val="21"/>
                <w:lang w:eastAsia="zh-CN" w:bidi="ar"/>
              </w:rPr>
              <w:t>强化秋冬季执法</w:t>
            </w:r>
            <w:r>
              <w:rPr>
                <w:rFonts w:hint="eastAsia" w:ascii="宋体" w:hAnsi="宋体" w:cs="宋体"/>
                <w:color w:val="auto"/>
                <w:kern w:val="0"/>
                <w:szCs w:val="21"/>
                <w:lang w:bidi="ar"/>
              </w:rPr>
              <w:t>，开展重大活动空气质量保障。</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Cs w:val="21"/>
                <w:lang w:bidi="ar"/>
              </w:rPr>
            </w:pPr>
            <w:r>
              <w:rPr>
                <w:rFonts w:hint="eastAsia" w:ascii="宋体" w:hAnsi="宋体" w:cs="宋体"/>
                <w:color w:val="auto"/>
                <w:kern w:val="0"/>
                <w:szCs w:val="21"/>
                <w:lang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kern w:val="0"/>
                <w:szCs w:val="21"/>
                <w:highlight w:val="none"/>
                <w:lang w:eastAsia="zh-CN" w:bidi="ar"/>
              </w:rPr>
              <w:t>区</w:t>
            </w:r>
            <w:r>
              <w:rPr>
                <w:rFonts w:hint="eastAsia" w:ascii="宋体" w:hAnsi="宋体" w:cs="宋体"/>
                <w:kern w:val="0"/>
                <w:szCs w:val="21"/>
                <w:highlight w:val="none"/>
                <w:lang w:bidi="ar"/>
              </w:rPr>
              <w:t>空气重污染应急指挥部成员单位</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依法依规启动重污染天气预警，在北京市统筹下，开展区域联防联控。空气重污染期间，区空气重污染应急指挥部各成员单位组织落实各项减排措施，并加强督查检查执法。</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kern w:val="0"/>
                <w:szCs w:val="21"/>
                <w:lang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pStyle w:val="7"/>
              <w:widowControl/>
              <w:jc w:val="center"/>
              <w:textAlignment w:val="center"/>
              <w:rPr>
                <w:rFonts w:ascii="宋体" w:hAnsi="宋体" w:cs="宋体"/>
                <w:color w:val="auto"/>
                <w:kern w:val="0"/>
                <w:szCs w:val="21"/>
                <w:lang w:bidi="ar"/>
              </w:rPr>
            </w:pPr>
            <w:r>
              <w:rPr>
                <w:rFonts w:hint="eastAsia" w:hAnsi="宋体" w:cs="宋体"/>
                <w:color w:val="auto"/>
                <w:kern w:val="0"/>
                <w:szCs w:val="21"/>
                <w:lang w:eastAsia="zh-CN" w:bidi="ar"/>
              </w:rPr>
              <w:t>区</w:t>
            </w:r>
            <w:r>
              <w:rPr>
                <w:rFonts w:hint="eastAsia" w:ascii="宋体" w:hAnsi="宋体" w:cs="宋体"/>
                <w:color w:val="auto"/>
                <w:kern w:val="0"/>
                <w:szCs w:val="21"/>
                <w:lang w:bidi="ar"/>
              </w:rPr>
              <w:t>空气重污染应急指挥部成员单位</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夯实空气重污染应急基础，动态更新涉气企业全清单、应急减排清单</w:t>
            </w:r>
            <w:r>
              <w:rPr>
                <w:rFonts w:hint="eastAsia" w:ascii="宋体" w:hAnsi="宋体" w:cs="宋体"/>
                <w:color w:val="auto"/>
                <w:kern w:val="0"/>
                <w:szCs w:val="21"/>
                <w:lang w:eastAsia="zh-CN" w:bidi="ar"/>
              </w:rPr>
              <w:t>，开展空气重污染应急减排效果评估。</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空气重污染应急指挥部成员单位</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237" w:type="pct"/>
            <w:tcBorders>
              <w:left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5</w:t>
            </w:r>
          </w:p>
        </w:tc>
        <w:tc>
          <w:tcPr>
            <w:tcW w:w="367" w:type="pct"/>
            <w:tcBorders>
              <w:left w:val="nil"/>
              <w:right w:val="single" w:color="auto" w:sz="4" w:space="0"/>
            </w:tcBorders>
            <w:noWrap w:val="0"/>
            <w:vAlign w:val="center"/>
          </w:tcPr>
          <w:p>
            <w:pPr>
              <w:snapToGrid w:val="0"/>
              <w:spacing w:line="260" w:lineRule="exact"/>
              <w:jc w:val="center"/>
              <w:rPr>
                <w:rFonts w:ascii="宋体" w:hAnsi="宋体" w:eastAsia="宋体" w:cs="宋体"/>
                <w:color w:val="auto"/>
                <w:kern w:val="0"/>
                <w:sz w:val="21"/>
                <w:szCs w:val="21"/>
                <w:lang w:val="en-US" w:eastAsia="zh-CN" w:bidi="ar"/>
              </w:rPr>
            </w:pPr>
            <w:r>
              <w:rPr>
                <w:rFonts w:hint="eastAsia" w:ascii="宋体" w:hAnsi="宋体" w:cs="宋体"/>
                <w:color w:val="auto"/>
                <w:szCs w:val="21"/>
              </w:rPr>
              <w:t>加强科技标准支撑</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Cs w:val="21"/>
                <w:highlight w:val="yellow"/>
                <w:lang w:eastAsia="zh-CN" w:bidi="ar"/>
              </w:rPr>
            </w:pPr>
            <w:r>
              <w:rPr>
                <w:rFonts w:hint="eastAsia" w:ascii="宋体" w:hAnsi="宋体" w:cs="宋体"/>
                <w:color w:val="auto"/>
                <w:kern w:val="0"/>
                <w:szCs w:val="21"/>
                <w:highlight w:val="none"/>
                <w:lang w:bidi="ar"/>
              </w:rPr>
              <w:t>加强大气环境智慧感知能力，强化大数据技术在空气重污染应对过程中的应用</w:t>
            </w:r>
            <w:r>
              <w:rPr>
                <w:rFonts w:hint="eastAsia" w:ascii="宋体" w:hAnsi="宋体" w:cs="宋体"/>
                <w:color w:val="auto"/>
                <w:kern w:val="0"/>
                <w:szCs w:val="21"/>
                <w:highlight w:val="none"/>
                <w:lang w:eastAsia="zh-CN" w:bidi="ar"/>
              </w:rPr>
              <w:t>。对固定源监管、移动源监管、精准治理等业务场景，开展数智化模型研发、智能化决策支撑等科技创新工作。</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lang w:bidi="ar"/>
              </w:rPr>
            </w:pPr>
            <w:r>
              <w:rPr>
                <w:rFonts w:hint="eastAsia" w:ascii="宋体" w:hAnsi="宋体" w:cs="宋体"/>
                <w:kern w:val="0"/>
                <w:szCs w:val="21"/>
                <w:highlight w:val="none"/>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val="0"/>
              <w:spacing w:line="260" w:lineRule="exact"/>
              <w:ind w:left="0" w:leftChars="0" w:right="0" w:rightChars="0"/>
              <w:jc w:val="center"/>
              <w:rPr>
                <w:rFonts w:hint="eastAsia"/>
              </w:rPr>
            </w:pPr>
            <w:r>
              <w:rPr>
                <w:rFonts w:hint="eastAsia" w:ascii="宋体" w:hAnsi="宋体" w:cs="宋体"/>
                <w:kern w:val="0"/>
                <w:szCs w:val="21"/>
                <w:lang w:eastAsia="zh-CN" w:bidi="ar"/>
              </w:rPr>
              <w:t>区</w:t>
            </w:r>
            <w:r>
              <w:rPr>
                <w:rFonts w:hint="eastAsia" w:ascii="宋体" w:hAnsi="宋体" w:cs="宋体"/>
                <w:kern w:val="0"/>
                <w:szCs w:val="21"/>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right="-105" w:rightChars="-50"/>
              <w:jc w:val="center"/>
              <w:rPr>
                <w:rFonts w:hint="eastAsia" w:ascii="宋体" w:hAnsi="宋体" w:cs="宋体"/>
                <w:color w:val="auto"/>
                <w:kern w:val="0"/>
                <w:szCs w:val="21"/>
              </w:rPr>
            </w:pPr>
            <w:r>
              <w:rPr>
                <w:rFonts w:hint="eastAsia" w:ascii="宋体" w:hAnsi="宋体" w:cs="宋体"/>
                <w:kern w:val="0"/>
                <w:szCs w:val="21"/>
                <w:lang w:eastAsia="zh-CN"/>
              </w:rPr>
              <w:t>区</w:t>
            </w:r>
            <w:r>
              <w:rPr>
                <w:rFonts w:hint="eastAsia" w:ascii="宋体" w:hAnsi="宋体" w:cs="宋体"/>
                <w:kern w:val="0"/>
                <w:szCs w:val="21"/>
              </w:rPr>
              <w:t>政务和数据局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6</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强化监测能力建设</w:t>
            </w: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highlight w:val="none"/>
                <w:lang w:eastAsia="zh-CN" w:bidi="ar"/>
              </w:rPr>
              <w:t>提升空气质量预测水平，</w:t>
            </w:r>
            <w:r>
              <w:rPr>
                <w:rFonts w:hint="eastAsia" w:ascii="宋体" w:hAnsi="宋体" w:eastAsia="宋体" w:cs="宋体"/>
                <w:b w:val="0"/>
                <w:bCs w:val="0"/>
                <w:color w:val="auto"/>
                <w:kern w:val="0"/>
                <w:sz w:val="21"/>
                <w:szCs w:val="21"/>
                <w:highlight w:val="none"/>
                <w:lang w:val="en-US" w:eastAsia="zh-CN" w:bidi="ar"/>
              </w:rPr>
              <w:t>以数值模型定量评估为关键技术</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精准溯源，精准治理，助力提升</w:t>
            </w:r>
            <w:r>
              <w:rPr>
                <w:rFonts w:hint="eastAsia" w:ascii="宋体" w:hAnsi="宋体" w:cs="宋体"/>
                <w:color w:val="auto"/>
                <w:kern w:val="0"/>
                <w:szCs w:val="21"/>
                <w:highlight w:val="none"/>
                <w:lang w:bidi="ar"/>
              </w:rPr>
              <w:t>空气质量。</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 w:val="22"/>
                <w:szCs w:val="22"/>
                <w:lang w:bidi="ar"/>
              </w:rPr>
            </w:pPr>
            <w:r>
              <w:rPr>
                <w:rFonts w:hint="eastAsia" w:ascii="宋体" w:hAnsi="宋体" w:cs="宋体"/>
                <w:color w:val="auto"/>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left="-105" w:leftChars="-50" w:right="-105" w:rightChars="-50"/>
              <w:jc w:val="center"/>
              <w:textAlignment w:val="auto"/>
              <w:rPr>
                <w:rFonts w:ascii="宋体" w:hAnsi="宋体" w:cs="宋体"/>
                <w:color w:val="auto"/>
                <w:kern w:val="0"/>
                <w:szCs w:val="21"/>
                <w:lang w:bidi="ar"/>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全面推进用电在线监控技术应用，加强对产治污设施运行状况的分析诊断。</w:t>
            </w:r>
          </w:p>
        </w:tc>
        <w:tc>
          <w:tcPr>
            <w:tcW w:w="360"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kern w:val="0"/>
                <w:szCs w:val="21"/>
                <w:lang w:bidi="ar"/>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健全智能化大气监测网络，完善基于现代感知技术和大数据技术的大气环境监测网络，通过热点网格、工地视频、企业用电、道路走航、裸地遥感等科技手段</w:t>
            </w:r>
            <w:r>
              <w:rPr>
                <w:rFonts w:hint="eastAsia" w:ascii="宋体" w:hAnsi="宋体" w:cs="宋体"/>
                <w:color w:val="auto"/>
                <w:kern w:val="0"/>
                <w:szCs w:val="21"/>
                <w:lang w:eastAsia="zh-CN" w:bidi="ar"/>
              </w:rPr>
              <w:t>，实现对</w:t>
            </w:r>
            <w:r>
              <w:rPr>
                <w:rFonts w:hint="eastAsia" w:ascii="宋体" w:hAnsi="宋体" w:cs="宋体"/>
                <w:color w:val="auto"/>
                <w:kern w:val="0"/>
                <w:szCs w:val="21"/>
                <w:lang w:bidi="ar"/>
              </w:rPr>
              <w:t>空气质量</w:t>
            </w:r>
            <w:r>
              <w:rPr>
                <w:rFonts w:hint="eastAsia" w:ascii="宋体" w:hAnsi="宋体" w:cs="宋体"/>
                <w:color w:val="auto"/>
                <w:kern w:val="0"/>
                <w:szCs w:val="21"/>
                <w:lang w:eastAsia="zh-CN" w:bidi="ar"/>
              </w:rPr>
              <w:t>的</w:t>
            </w:r>
            <w:r>
              <w:rPr>
                <w:rFonts w:hint="eastAsia" w:ascii="宋体" w:hAnsi="宋体" w:cs="宋体"/>
                <w:color w:val="auto"/>
                <w:kern w:val="0"/>
                <w:szCs w:val="21"/>
                <w:lang w:bidi="ar"/>
              </w:rPr>
              <w:t>立体</w:t>
            </w:r>
            <w:r>
              <w:rPr>
                <w:rFonts w:hint="eastAsia" w:ascii="宋体" w:hAnsi="宋体" w:cs="宋体"/>
                <w:color w:val="auto"/>
                <w:kern w:val="0"/>
                <w:szCs w:val="21"/>
                <w:lang w:eastAsia="zh-CN" w:bidi="ar"/>
              </w:rPr>
              <w:t>化监测</w:t>
            </w:r>
            <w:r>
              <w:rPr>
                <w:rFonts w:hint="eastAsia" w:ascii="宋体" w:hAnsi="宋体" w:cs="宋体"/>
                <w:color w:val="auto"/>
                <w:kern w:val="0"/>
                <w:szCs w:val="21"/>
                <w:lang w:bidi="ar"/>
              </w:rPr>
              <w:t>。</w:t>
            </w:r>
          </w:p>
        </w:tc>
        <w:tc>
          <w:tcPr>
            <w:tcW w:w="360"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spacing w:line="240" w:lineRule="auto"/>
              <w:ind w:left="0" w:leftChars="0" w:right="0" w:rightChars="0"/>
              <w:jc w:val="center"/>
              <w:textAlignment w:val="center"/>
              <w:rPr>
                <w:rFonts w:ascii="宋体" w:hAnsi="宋体" w:cs="宋体"/>
                <w:color w:val="auto"/>
                <w:kern w:val="0"/>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kern w:val="0"/>
                <w:szCs w:val="21"/>
              </w:rPr>
            </w:pPr>
            <w:r>
              <w:rPr>
                <w:rFonts w:hint="eastAsia" w:ascii="宋体" w:hAnsi="宋体" w:cs="宋体"/>
                <w:kern w:val="0"/>
                <w:szCs w:val="21"/>
                <w:lang w:eastAsia="zh-CN"/>
              </w:rPr>
              <w:t>区</w:t>
            </w:r>
            <w:r>
              <w:rPr>
                <w:rFonts w:hint="eastAsia" w:ascii="宋体" w:hAnsi="宋体" w:cs="宋体"/>
                <w:kern w:val="0"/>
                <w:szCs w:val="21"/>
              </w:rPr>
              <w:t>政务和数据局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37" w:type="pct"/>
            <w:vMerge w:val="restart"/>
            <w:tcBorders>
              <w:top w:val="single" w:color="auto" w:sz="4" w:space="0"/>
              <w:left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7</w:t>
            </w:r>
          </w:p>
        </w:tc>
        <w:tc>
          <w:tcPr>
            <w:tcW w:w="367" w:type="pct"/>
            <w:vMerge w:val="restart"/>
            <w:tcBorders>
              <w:top w:val="single" w:color="auto" w:sz="4" w:space="0"/>
              <w:left w:val="nil"/>
              <w:right w:val="single" w:color="auto" w:sz="4" w:space="0"/>
            </w:tcBorders>
            <w:noWrap w:val="0"/>
            <w:vAlign w:val="center"/>
          </w:tcPr>
          <w:p>
            <w:pPr>
              <w:snapToGrid w:val="0"/>
              <w:spacing w:line="260" w:lineRule="exact"/>
              <w:jc w:val="center"/>
              <w:rPr>
                <w:rFonts w:ascii="宋体" w:hAnsi="宋体" w:cs="宋体"/>
                <w:color w:val="auto"/>
                <w:szCs w:val="21"/>
              </w:rPr>
            </w:pPr>
            <w:r>
              <w:rPr>
                <w:rFonts w:hint="eastAsia" w:ascii="宋体" w:hAnsi="宋体" w:cs="宋体"/>
                <w:color w:val="auto"/>
                <w:szCs w:val="21"/>
              </w:rPr>
              <w:t>发挥经济政策激励引导作用</w:t>
            </w:r>
          </w:p>
        </w:tc>
        <w:tc>
          <w:tcPr>
            <w:tcW w:w="194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宋体" w:hAnsi="宋体" w:cs="宋体"/>
                <w:color w:val="auto"/>
                <w:kern w:val="0"/>
                <w:szCs w:val="21"/>
                <w:lang w:bidi="ar"/>
              </w:rPr>
            </w:pPr>
            <w:r>
              <w:rPr>
                <w:rFonts w:hint="eastAsia" w:ascii="宋体" w:hAnsi="宋体" w:cs="宋体"/>
                <w:color w:val="auto"/>
                <w:kern w:val="0"/>
                <w:szCs w:val="21"/>
                <w:lang w:bidi="ar"/>
              </w:rPr>
              <w:t>在建筑、交通新能源等重点领域，对符合条件的企业，给予信贷、保险等绿色金融支持，鼓励绿色环保企业在资本市场发展。</w:t>
            </w:r>
          </w:p>
        </w:tc>
        <w:tc>
          <w:tcPr>
            <w:tcW w:w="36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区银行保险产业园管委会</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37" w:type="pct"/>
            <w:vMerge w:val="continue"/>
            <w:tcBorders>
              <w:left w:val="single" w:color="auto" w:sz="4" w:space="0"/>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snapToGrid w:val="0"/>
              <w:rPr>
                <w:rFonts w:ascii="宋体" w:hAnsi="宋体" w:cs="宋体"/>
                <w:color w:val="auto"/>
                <w:kern w:val="0"/>
                <w:szCs w:val="21"/>
                <w:lang w:bidi="ar"/>
              </w:rPr>
            </w:pPr>
            <w:r>
              <w:rPr>
                <w:rFonts w:hint="eastAsia" w:ascii="宋体" w:hAnsi="宋体" w:cs="宋体"/>
                <w:color w:val="auto"/>
                <w:szCs w:val="21"/>
              </w:rPr>
              <w:t>加强市级资金统筹，加强项目储备与资金使用管理，并结合辖区实际，相应加大财政投入力度。</w:t>
            </w:r>
          </w:p>
        </w:tc>
        <w:tc>
          <w:tcPr>
            <w:tcW w:w="360"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财政局</w:t>
            </w:r>
          </w:p>
          <w:p>
            <w:pPr>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37" w:type="pct"/>
            <w:vMerge w:val="restart"/>
            <w:tcBorders>
              <w:left w:val="single" w:color="auto" w:sz="4" w:space="0"/>
              <w:right w:val="single" w:color="auto" w:sz="4" w:space="0"/>
            </w:tcBorders>
            <w:noWrap w:val="0"/>
            <w:vAlign w:val="center"/>
          </w:tcPr>
          <w:p>
            <w:pPr>
              <w:snapToGrid w:val="0"/>
              <w:spacing w:line="26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28</w:t>
            </w:r>
          </w:p>
        </w:tc>
        <w:tc>
          <w:tcPr>
            <w:tcW w:w="367" w:type="pct"/>
            <w:vMerge w:val="restart"/>
            <w:tcBorders>
              <w:left w:val="nil"/>
              <w:right w:val="single" w:color="auto" w:sz="4" w:space="0"/>
            </w:tcBorders>
            <w:noWrap w:val="0"/>
            <w:vAlign w:val="center"/>
          </w:tcPr>
          <w:p>
            <w:pPr>
              <w:snapToGrid w:val="0"/>
              <w:spacing w:line="260" w:lineRule="exact"/>
              <w:jc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强化督导和监管执法</w:t>
            </w:r>
          </w:p>
        </w:tc>
        <w:tc>
          <w:tcPr>
            <w:tcW w:w="1948" w:type="pct"/>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szCs w:val="21"/>
                <w:lang w:val="en-US" w:eastAsia="zh-CN"/>
              </w:rPr>
            </w:pPr>
            <w:r>
              <w:rPr>
                <w:rFonts w:hint="eastAsia" w:ascii="宋体" w:hAnsi="宋体" w:cs="宋体"/>
                <w:szCs w:val="21"/>
              </w:rPr>
              <w:t>加强对大气污染防治工作的统筹调度，聚焦空气质量和含绿量提升，强化</w:t>
            </w:r>
            <w:r>
              <w:rPr>
                <w:rFonts w:hint="eastAsia" w:ascii="宋体" w:hAnsi="宋体" w:cs="宋体"/>
                <w:szCs w:val="21"/>
                <w:lang w:eastAsia="zh-CN"/>
              </w:rPr>
              <w:t>帮扶</w:t>
            </w:r>
            <w:r>
              <w:rPr>
                <w:rFonts w:hint="eastAsia" w:ascii="宋体" w:hAnsi="宋体" w:cs="宋体"/>
                <w:szCs w:val="21"/>
              </w:rPr>
              <w:t>、</w:t>
            </w:r>
            <w:r>
              <w:rPr>
                <w:rFonts w:hint="eastAsia" w:ascii="宋体" w:hAnsi="宋体" w:cs="宋体"/>
                <w:szCs w:val="21"/>
                <w:lang w:eastAsia="zh-CN"/>
              </w:rPr>
              <w:t>指导</w:t>
            </w:r>
            <w:r>
              <w:rPr>
                <w:rFonts w:hint="eastAsia" w:ascii="宋体" w:hAnsi="宋体" w:cs="宋体"/>
                <w:szCs w:val="21"/>
              </w:rPr>
              <w:t>等机制，压紧压实相关部门</w:t>
            </w:r>
            <w:r>
              <w:rPr>
                <w:rFonts w:hint="eastAsia" w:ascii="宋体" w:hAnsi="宋体" w:cs="宋体"/>
                <w:szCs w:val="21"/>
                <w:lang w:eastAsia="zh-CN"/>
              </w:rPr>
              <w:t>、各街道</w:t>
            </w:r>
            <w:r>
              <w:rPr>
                <w:rFonts w:hint="eastAsia" w:ascii="宋体" w:hAnsi="宋体" w:cs="宋体"/>
                <w:szCs w:val="21"/>
              </w:rPr>
              <w:t>大气污染防治责任。</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ind w:left="-105" w:leftChars="-50" w:right="-105" w:rightChars="-50"/>
              <w:jc w:val="center"/>
              <w:textAlignment w:val="auto"/>
              <w:rPr>
                <w:rFonts w:hint="eastAsia" w:ascii="宋体" w:hAnsi="宋体" w:eastAsia="宋体" w:cs="宋体"/>
                <w:szCs w:val="21"/>
                <w:lang w:eastAsia="zh-CN"/>
              </w:rPr>
            </w:pPr>
            <w:r>
              <w:rPr>
                <w:rFonts w:hint="eastAsia" w:ascii="宋体" w:hAnsi="宋体" w:cs="宋体"/>
                <w:szCs w:val="21"/>
                <w:lang w:eastAsia="zh-CN"/>
              </w:rPr>
              <w:t>区生态环境局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经济和信息化局</w:t>
            </w:r>
          </w:p>
          <w:p>
            <w:pPr>
              <w:snapToGrid w:val="0"/>
              <w:ind w:left="-105" w:leftChars="-50" w:right="-105" w:rightChars="-50"/>
              <w:jc w:val="center"/>
              <w:rPr>
                <w:rFonts w:ascii="宋体" w:hAnsi="宋体" w:cs="宋体"/>
                <w:szCs w:val="21"/>
              </w:rPr>
            </w:pPr>
            <w:r>
              <w:rPr>
                <w:rFonts w:hint="eastAsia" w:ascii="宋体" w:hAnsi="宋体" w:cs="宋体"/>
                <w:szCs w:val="21"/>
              </w:rPr>
              <w:t>市交通委石景山运输管理分局</w:t>
            </w:r>
          </w:p>
          <w:p>
            <w:pPr>
              <w:snapToGrid w:val="0"/>
              <w:ind w:left="-105" w:leftChars="-50" w:right="-105" w:rightChars="-5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住房城</w:t>
            </w:r>
            <w:r>
              <w:rPr>
                <w:rFonts w:hint="eastAsia" w:ascii="宋体" w:hAnsi="宋体" w:cs="宋体"/>
                <w:szCs w:val="21"/>
                <w:lang w:eastAsia="zh-CN"/>
              </w:rPr>
              <w:t>市</w:t>
            </w:r>
            <w:r>
              <w:rPr>
                <w:rFonts w:hint="eastAsia" w:ascii="宋体" w:hAnsi="宋体" w:cs="宋体"/>
                <w:szCs w:val="21"/>
              </w:rPr>
              <w:t>建设委</w:t>
            </w:r>
          </w:p>
          <w:p>
            <w:pPr>
              <w:widowControl/>
              <w:snapToGrid w:val="0"/>
              <w:ind w:left="-105" w:leftChars="-50" w:right="-105" w:rightChars="-50"/>
              <w:jc w:val="center"/>
              <w:textAlignment w:val="auto"/>
              <w:rPr>
                <w:rFonts w:hint="eastAsia" w:ascii="宋体" w:hAnsi="宋体" w:cs="宋体"/>
                <w:szCs w:val="21"/>
                <w:lang w:eastAsia="zh-CN"/>
              </w:rPr>
            </w:pPr>
            <w:r>
              <w:rPr>
                <w:rFonts w:hint="eastAsia" w:ascii="宋体" w:hAnsi="宋体" w:cs="宋体"/>
                <w:szCs w:val="21"/>
                <w:lang w:eastAsia="zh-CN"/>
              </w:rPr>
              <w:t>区</w:t>
            </w:r>
            <w:r>
              <w:rPr>
                <w:rFonts w:hint="eastAsia" w:ascii="宋体" w:hAnsi="宋体" w:cs="宋体"/>
                <w:szCs w:val="21"/>
              </w:rPr>
              <w:t>城市管理委</w:t>
            </w:r>
            <w:r>
              <w:rPr>
                <w:rFonts w:hint="eastAsia" w:ascii="宋体" w:hAnsi="宋体" w:cs="宋体"/>
                <w:szCs w:val="21"/>
                <w:lang w:eastAsia="zh-CN"/>
              </w:rPr>
              <w:t>等部门</w:t>
            </w:r>
          </w:p>
          <w:p>
            <w:pPr>
              <w:snapToGrid w:val="0"/>
              <w:spacing w:line="260" w:lineRule="exact"/>
              <w:ind w:left="-105" w:leftChars="-50" w:right="-105" w:rightChars="-50"/>
              <w:jc w:val="center"/>
              <w:rPr>
                <w:rFonts w:hint="eastAsia" w:ascii="宋体" w:hAnsi="宋体" w:cs="宋体"/>
                <w:color w:val="auto"/>
                <w:szCs w:val="21"/>
              </w:rPr>
            </w:pPr>
            <w:r>
              <w:rPr>
                <w:rFonts w:hint="eastAsia" w:ascii="宋体" w:hAnsi="宋体" w:cs="宋体"/>
                <w:szCs w:val="21"/>
                <w:lang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Cs w:val="21"/>
                <w:lang w:val="en-US" w:eastAsia="zh-CN"/>
              </w:rPr>
            </w:pPr>
          </w:p>
        </w:tc>
        <w:tc>
          <w:tcPr>
            <w:tcW w:w="367" w:type="pct"/>
            <w:vMerge w:val="continue"/>
            <w:tcBorders>
              <w:left w:val="nil"/>
              <w:right w:val="single" w:color="auto" w:sz="4" w:space="0"/>
            </w:tcBorders>
            <w:noWrap w:val="0"/>
            <w:vAlign w:val="center"/>
          </w:tcPr>
          <w:p>
            <w:pPr>
              <w:snapToGrid w:val="0"/>
              <w:spacing w:line="260" w:lineRule="exact"/>
              <w:jc w:val="center"/>
              <w:rPr>
                <w:rFonts w:hint="eastAsia" w:ascii="宋体" w:hAnsi="宋体" w:cs="宋体"/>
                <w:color w:val="auto"/>
                <w:kern w:val="0"/>
                <w:szCs w:val="21"/>
                <w:lang w:bidi="ar"/>
              </w:rPr>
            </w:pPr>
          </w:p>
        </w:tc>
        <w:tc>
          <w:tcPr>
            <w:tcW w:w="1948" w:type="pct"/>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Cs w:val="21"/>
                <w:lang w:eastAsia="zh-CN"/>
              </w:rPr>
            </w:pPr>
            <w:r>
              <w:rPr>
                <w:rFonts w:hint="eastAsia" w:ascii="宋体" w:hAnsi="宋体" w:cs="宋体"/>
                <w:szCs w:val="21"/>
                <w:lang w:eastAsia="zh-CN"/>
              </w:rPr>
              <w:t>开展大气污染源巡查工作，强化推进问题整改。</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lang w:eastAsia="zh-CN" w:bidi="ar"/>
              </w:rPr>
            </w:pPr>
            <w:r>
              <w:rPr>
                <w:rFonts w:hint="eastAsia" w:ascii="宋体" w:hAnsi="宋体" w:cs="宋体"/>
                <w:color w:val="auto"/>
                <w:kern w:val="0"/>
                <w:szCs w:val="21"/>
                <w:lang w:eastAsia="zh-CN" w:bidi="ar"/>
              </w:rPr>
              <w:t>长期实施</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ind w:left="-105" w:leftChars="-50" w:right="-105" w:rightChars="-50"/>
              <w:jc w:val="center"/>
              <w:textAlignment w:val="auto"/>
              <w:rPr>
                <w:rFonts w:hint="eastAsia" w:ascii="宋体" w:hAnsi="宋体" w:cs="宋体"/>
                <w:szCs w:val="21"/>
                <w:lang w:eastAsia="zh-CN"/>
              </w:rPr>
            </w:pPr>
            <w:r>
              <w:rPr>
                <w:rFonts w:hint="eastAsia" w:ascii="宋体" w:hAnsi="宋体" w:cs="宋体"/>
                <w:szCs w:val="21"/>
                <w:lang w:eastAsia="zh-CN"/>
              </w:rPr>
              <w:t>区生态环境局</w:t>
            </w:r>
          </w:p>
          <w:p>
            <w:pPr>
              <w:widowControl/>
              <w:snapToGrid w:val="0"/>
              <w:ind w:left="-105" w:leftChars="-50" w:right="-105" w:rightChars="-50"/>
              <w:jc w:val="center"/>
              <w:textAlignment w:val="auto"/>
              <w:rPr>
                <w:rFonts w:hint="eastAsia" w:ascii="宋体" w:hAnsi="宋体" w:cs="宋体"/>
                <w:szCs w:val="21"/>
                <w:lang w:eastAsia="zh-CN"/>
              </w:rPr>
            </w:pPr>
            <w:r>
              <w:rPr>
                <w:rFonts w:hint="eastAsia" w:ascii="宋体" w:hAnsi="宋体" w:cs="宋体"/>
                <w:szCs w:val="21"/>
                <w:lang w:eastAsia="zh-CN"/>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住房城</w:t>
            </w:r>
            <w:r>
              <w:rPr>
                <w:rFonts w:hint="eastAsia" w:ascii="宋体" w:hAnsi="宋体" w:cs="宋体"/>
                <w:szCs w:val="21"/>
                <w:lang w:eastAsia="zh-CN"/>
              </w:rPr>
              <w:t>市</w:t>
            </w:r>
            <w:r>
              <w:rPr>
                <w:rFonts w:hint="eastAsia" w:ascii="宋体" w:hAnsi="宋体" w:cs="宋体"/>
                <w:szCs w:val="21"/>
              </w:rPr>
              <w:t>建设委</w:t>
            </w:r>
          </w:p>
          <w:p>
            <w:pPr>
              <w:snapToGrid w:val="0"/>
              <w:spacing w:line="260" w:lineRule="exact"/>
              <w:ind w:left="-105" w:leftChars="-50" w:right="-105" w:rightChars="-50"/>
              <w:jc w:val="center"/>
              <w:rPr>
                <w:rFonts w:hint="eastAsia" w:ascii="宋体" w:hAnsi="宋体" w:cs="宋体"/>
                <w:szCs w:val="21"/>
              </w:rPr>
            </w:pPr>
            <w:r>
              <w:rPr>
                <w:rFonts w:hint="eastAsia" w:ascii="宋体" w:hAnsi="宋体" w:cs="宋体"/>
                <w:szCs w:val="21"/>
                <w:lang w:eastAsia="zh-CN"/>
              </w:rPr>
              <w:t>区</w:t>
            </w:r>
            <w:r>
              <w:rPr>
                <w:rFonts w:hint="eastAsia" w:ascii="宋体" w:hAnsi="宋体" w:cs="宋体"/>
                <w:szCs w:val="21"/>
              </w:rPr>
              <w:t>城市管理委</w:t>
            </w:r>
          </w:p>
          <w:p>
            <w:pPr>
              <w:snapToGrid w:val="0"/>
              <w:spacing w:line="260" w:lineRule="exact"/>
              <w:ind w:left="-105" w:leftChars="-50" w:right="-105" w:rightChars="-50"/>
              <w:jc w:val="center"/>
              <w:rPr>
                <w:rFonts w:hint="eastAsia" w:ascii="宋体" w:hAnsi="宋体" w:cs="宋体"/>
                <w:szCs w:val="21"/>
                <w:lang w:eastAsia="zh-CN"/>
              </w:rPr>
            </w:pPr>
            <w:r>
              <w:rPr>
                <w:rFonts w:hint="eastAsia" w:ascii="宋体" w:hAnsi="宋体" w:cs="宋体"/>
                <w:szCs w:val="21"/>
                <w:lang w:eastAsia="zh-CN"/>
              </w:rPr>
              <w:t>区园林绿化局</w:t>
            </w:r>
          </w:p>
          <w:p>
            <w:pPr>
              <w:snapToGrid w:val="0"/>
              <w:spacing w:line="260" w:lineRule="exact"/>
              <w:ind w:left="-105" w:leftChars="-50" w:right="-105" w:rightChars="-50"/>
              <w:jc w:val="center"/>
              <w:rPr>
                <w:rFonts w:hint="eastAsia" w:ascii="宋体" w:hAnsi="宋体" w:cs="宋体"/>
                <w:szCs w:val="21"/>
                <w:lang w:eastAsia="zh-CN"/>
              </w:rPr>
            </w:pPr>
            <w:r>
              <w:rPr>
                <w:rFonts w:hint="eastAsia" w:ascii="宋体" w:hAnsi="宋体" w:cs="宋体"/>
                <w:szCs w:val="21"/>
                <w:lang w:eastAsia="zh-CN"/>
              </w:rPr>
              <w:t>区国资委</w:t>
            </w:r>
          </w:p>
          <w:p>
            <w:pPr>
              <w:snapToGrid w:val="0"/>
              <w:spacing w:line="260" w:lineRule="exact"/>
              <w:ind w:left="-105" w:leftChars="-50" w:right="-105" w:rightChars="-50"/>
              <w:jc w:val="center"/>
              <w:rPr>
                <w:rFonts w:hint="eastAsia" w:ascii="宋体" w:hAnsi="宋体" w:cs="宋体"/>
                <w:szCs w:val="21"/>
                <w:lang w:eastAsia="zh-CN"/>
              </w:rPr>
            </w:pPr>
            <w:r>
              <w:rPr>
                <w:rFonts w:hint="eastAsia" w:ascii="宋体" w:hAnsi="宋体" w:cs="宋体"/>
                <w:szCs w:val="21"/>
                <w:lang w:eastAsia="zh-CN"/>
              </w:rPr>
              <w:t>区环卫中心等部门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37" w:type="pct"/>
            <w:vMerge w:val="continue"/>
            <w:tcBorders>
              <w:left w:val="single" w:color="auto" w:sz="4" w:space="0"/>
              <w:right w:val="single" w:color="auto" w:sz="4" w:space="0"/>
            </w:tcBorders>
            <w:noWrap w:val="0"/>
            <w:vAlign w:val="center"/>
          </w:tcPr>
          <w:p>
            <w:pPr>
              <w:snapToGrid w:val="0"/>
              <w:spacing w:line="260" w:lineRule="exact"/>
              <w:jc w:val="center"/>
              <w:rPr>
                <w:rFonts w:ascii="宋体" w:hAnsi="宋体" w:eastAsia="宋体" w:cs="宋体"/>
                <w:color w:val="auto"/>
                <w:kern w:val="2"/>
                <w:sz w:val="21"/>
                <w:szCs w:val="21"/>
                <w:lang w:val="en-US" w:eastAsia="zh-CN" w:bidi="ar-SA"/>
              </w:rPr>
            </w:pPr>
          </w:p>
        </w:tc>
        <w:tc>
          <w:tcPr>
            <w:tcW w:w="367" w:type="pct"/>
            <w:vMerge w:val="continue"/>
            <w:tcBorders>
              <w:left w:val="nil"/>
              <w:right w:val="single" w:color="auto" w:sz="4" w:space="0"/>
            </w:tcBorders>
            <w:noWrap w:val="0"/>
            <w:vAlign w:val="center"/>
          </w:tcPr>
          <w:p>
            <w:pPr>
              <w:snapToGrid w:val="0"/>
              <w:spacing w:line="260" w:lineRule="exact"/>
              <w:jc w:val="center"/>
              <w:rPr>
                <w:rFonts w:ascii="宋体" w:hAnsi="宋体" w:eastAsia="宋体" w:cs="宋体"/>
                <w:color w:val="auto"/>
                <w:kern w:val="0"/>
                <w:sz w:val="21"/>
                <w:szCs w:val="21"/>
                <w:lang w:val="en-US" w:eastAsia="zh-CN" w:bidi="ar"/>
              </w:rPr>
            </w:pPr>
          </w:p>
        </w:tc>
        <w:tc>
          <w:tcPr>
            <w:tcW w:w="194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auto"/>
                <w:kern w:val="0"/>
                <w:szCs w:val="21"/>
                <w:lang w:bidi="ar"/>
              </w:rPr>
            </w:pPr>
            <w:r>
              <w:rPr>
                <w:rFonts w:hint="eastAsia" w:ascii="宋体" w:hAnsi="宋体" w:cs="宋体"/>
                <w:kern w:val="0"/>
                <w:szCs w:val="21"/>
                <w:lang w:bidi="ar"/>
              </w:rPr>
              <w:t>全面实行排污许可制。重点审核空气重污染应急减排要求等内容是否按规定记载；对重点行业排污许可证质量、2024年度排污许可证执行报告开展常态化审核，审核总数为持证单位总数的100%；全区2024年度排污许可执行报告按时提交率达到100%；按时完成火电等重点行业排污许可与生态环境统计衔接融合工作。督促排污单位依法披露环境信息。</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年底前</w:t>
            </w:r>
          </w:p>
        </w:tc>
        <w:tc>
          <w:tcPr>
            <w:tcW w:w="1351" w:type="pct"/>
            <w:tcBorders>
              <w:top w:val="single" w:color="auto" w:sz="4" w:space="0"/>
              <w:left w:val="nil"/>
              <w:bottom w:val="single" w:color="auto" w:sz="4" w:space="0"/>
              <w:right w:val="single" w:color="auto" w:sz="4" w:space="0"/>
            </w:tcBorders>
            <w:noWrap w:val="0"/>
            <w:vAlign w:val="center"/>
          </w:tcPr>
          <w:p>
            <w:pPr>
              <w:widowControl/>
              <w:snapToGrid w:val="0"/>
              <w:ind w:left="-105" w:leftChars="-50" w:right="-105" w:rightChars="-50"/>
              <w:jc w:val="center"/>
              <w:textAlignment w:val="center"/>
              <w:rPr>
                <w:rFonts w:ascii="宋体" w:hAnsi="宋体" w:cs="宋体"/>
                <w:color w:val="auto"/>
                <w:kern w:val="0"/>
                <w:szCs w:val="21"/>
              </w:rPr>
            </w:pPr>
            <w:r>
              <w:rPr>
                <w:rFonts w:hint="eastAsia" w:ascii="宋体" w:hAnsi="宋体" w:cs="宋体"/>
                <w:color w:val="auto"/>
                <w:kern w:val="0"/>
                <w:szCs w:val="21"/>
                <w:lang w:eastAsia="zh-CN" w:bidi="ar"/>
              </w:rPr>
              <w:t>区</w:t>
            </w:r>
            <w:r>
              <w:rPr>
                <w:rFonts w:hint="eastAsia" w:ascii="宋体" w:hAnsi="宋体" w:cs="宋体"/>
                <w:color w:val="auto"/>
                <w:kern w:val="0"/>
                <w:szCs w:val="21"/>
                <w:lang w:bidi="ar"/>
              </w:rPr>
              <w:t>生态环境局</w:t>
            </w:r>
          </w:p>
        </w:tc>
        <w:tc>
          <w:tcPr>
            <w:tcW w:w="733" w:type="pct"/>
            <w:tcBorders>
              <w:top w:val="single" w:color="auto" w:sz="4" w:space="0"/>
              <w:left w:val="nil"/>
              <w:bottom w:val="single" w:color="auto" w:sz="4" w:space="0"/>
              <w:right w:val="single" w:color="auto" w:sz="4" w:space="0"/>
            </w:tcBorders>
            <w:noWrap w:val="0"/>
            <w:vAlign w:val="center"/>
          </w:tcPr>
          <w:p>
            <w:pPr>
              <w:snapToGrid w:val="0"/>
              <w:spacing w:line="260" w:lineRule="exact"/>
              <w:ind w:left="-105" w:leftChars="-50" w:right="-105" w:rightChars="-50"/>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237" w:type="pct"/>
            <w:vMerge w:val="continue"/>
            <w:tcBorders>
              <w:left w:val="single" w:color="auto" w:sz="4" w:space="0"/>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367" w:type="pct"/>
            <w:vMerge w:val="continue"/>
            <w:tcBorders>
              <w:left w:val="nil"/>
              <w:bottom w:val="single" w:color="auto" w:sz="4" w:space="0"/>
              <w:right w:val="single" w:color="auto" w:sz="4" w:space="0"/>
            </w:tcBorders>
            <w:noWrap w:val="0"/>
            <w:vAlign w:val="center"/>
          </w:tcPr>
          <w:p>
            <w:pPr>
              <w:snapToGrid w:val="0"/>
              <w:spacing w:line="260" w:lineRule="exact"/>
              <w:jc w:val="center"/>
              <w:rPr>
                <w:rFonts w:ascii="宋体" w:hAnsi="宋体" w:cs="宋体"/>
                <w:color w:val="auto"/>
                <w:szCs w:val="21"/>
              </w:rPr>
            </w:pPr>
          </w:p>
        </w:tc>
        <w:tc>
          <w:tcPr>
            <w:tcW w:w="1948" w:type="pct"/>
            <w:tcBorders>
              <w:top w:val="single" w:color="auto" w:sz="4" w:space="0"/>
              <w:left w:val="nil"/>
              <w:bottom w:val="single" w:color="auto" w:sz="4" w:space="0"/>
              <w:right w:val="single" w:color="auto" w:sz="4" w:space="0"/>
            </w:tcBorders>
            <w:noWrap w:val="0"/>
            <w:vAlign w:val="center"/>
          </w:tcPr>
          <w:p>
            <w:pPr>
              <w:jc w:val="left"/>
              <w:rPr>
                <w:rFonts w:ascii="宋体" w:hAnsi="宋体" w:cs="宋体"/>
                <w:kern w:val="0"/>
                <w:szCs w:val="21"/>
                <w:lang w:bidi="ar"/>
              </w:rPr>
            </w:pPr>
            <w:r>
              <w:rPr>
                <w:rFonts w:hint="eastAsia" w:ascii="宋体" w:hAnsi="宋体" w:cs="宋体"/>
                <w:kern w:val="0"/>
                <w:szCs w:val="21"/>
                <w:lang w:bidi="ar"/>
              </w:rPr>
              <w:t>生态环境部门结合季节特点，以VOCs和NOx为重点，加强对涉气固定源的执法检查。</w:t>
            </w:r>
            <w:r>
              <w:rPr>
                <w:rFonts w:hint="eastAsia" w:ascii="宋体" w:hAnsi="宋体" w:cs="宋体"/>
                <w:kern w:val="0"/>
                <w:szCs w:val="21"/>
                <w:lang w:eastAsia="zh-CN" w:bidi="ar"/>
              </w:rPr>
              <w:t>开展</w:t>
            </w:r>
            <w:r>
              <w:rPr>
                <w:rFonts w:hint="eastAsia" w:ascii="宋体" w:hAnsi="宋体" w:cs="宋体"/>
                <w:kern w:val="0"/>
                <w:szCs w:val="21"/>
                <w:lang w:bidi="ar"/>
              </w:rPr>
              <w:t>“点穴式”执法工作，以空气质量排名靠后区域为重点，帮扶属地提高管理能力和水平。强化非现场执法检查和科技执法手段应用，年底前非现场检查量占比超过40%。</w:t>
            </w:r>
            <w:r>
              <w:rPr>
                <w:rFonts w:hint="eastAsia" w:ascii="宋体" w:hAnsi="宋体" w:cs="宋体"/>
                <w:kern w:val="0"/>
                <w:szCs w:val="21"/>
                <w:lang w:eastAsia="zh-CN" w:bidi="ar"/>
              </w:rPr>
              <w:t>针对采暖季锅炉、柴油车（械）等重点领域可以开展专项执法。</w:t>
            </w:r>
          </w:p>
          <w:p>
            <w:pPr>
              <w:snapToGrid w:val="0"/>
              <w:rPr>
                <w:rFonts w:ascii="宋体" w:hAnsi="宋体" w:cs="宋体"/>
                <w:color w:val="auto"/>
                <w:kern w:val="0"/>
                <w:szCs w:val="21"/>
                <w:lang w:bidi="ar"/>
              </w:rPr>
            </w:pPr>
            <w:r>
              <w:rPr>
                <w:rFonts w:hint="eastAsia" w:ascii="宋体" w:hAnsi="宋体" w:cs="宋体"/>
                <w:szCs w:val="21"/>
              </w:rPr>
              <w:t>公安交管、城管执法等部门和街道执法部门依据职责，组织开展贯穿全年的环境问题专项执法检查，加强对移动源、施工工地和露天焚烧等问题的执法检查。</w:t>
            </w:r>
          </w:p>
        </w:tc>
        <w:tc>
          <w:tcPr>
            <w:tcW w:w="360"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rPr>
              <w:t>年底前</w:t>
            </w:r>
          </w:p>
        </w:tc>
        <w:tc>
          <w:tcPr>
            <w:tcW w:w="1351"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p>
            <w:pPr>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交通支队</w:t>
            </w:r>
          </w:p>
          <w:p>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城市管理委</w:t>
            </w:r>
          </w:p>
          <w:p>
            <w:pPr>
              <w:snapToGrid w:val="0"/>
              <w:ind w:left="-105" w:leftChars="-50" w:right="-105" w:rightChars="-50"/>
              <w:jc w:val="center"/>
              <w:rPr>
                <w:rFonts w:ascii="宋体" w:hAnsi="宋体" w:cs="宋体"/>
                <w:color w:val="auto"/>
                <w:szCs w:val="21"/>
              </w:rPr>
            </w:pPr>
            <w:r>
              <w:rPr>
                <w:rFonts w:hint="eastAsia" w:ascii="宋体" w:hAnsi="宋体" w:cs="宋体"/>
                <w:color w:val="auto"/>
                <w:szCs w:val="21"/>
                <w:lang w:eastAsia="zh-CN"/>
              </w:rPr>
              <w:t>各街道办事处</w:t>
            </w:r>
          </w:p>
        </w:tc>
        <w:tc>
          <w:tcPr>
            <w:tcW w:w="733" w:type="pct"/>
            <w:tcBorders>
              <w:top w:val="single" w:color="auto" w:sz="4" w:space="0"/>
              <w:left w:val="nil"/>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住房城</w:t>
            </w:r>
            <w:r>
              <w:rPr>
                <w:rFonts w:hint="eastAsia" w:ascii="宋体" w:hAnsi="宋体" w:cs="宋体"/>
                <w:color w:val="auto"/>
                <w:szCs w:val="21"/>
                <w:lang w:eastAsia="zh-CN"/>
              </w:rPr>
              <w:t>市</w:t>
            </w:r>
            <w:r>
              <w:rPr>
                <w:rFonts w:hint="eastAsia" w:ascii="宋体" w:hAnsi="宋体" w:cs="宋体"/>
                <w:color w:val="auto"/>
                <w:szCs w:val="21"/>
              </w:rPr>
              <w:t>建设委</w:t>
            </w:r>
          </w:p>
          <w:p>
            <w:pPr>
              <w:snapToGrid w:val="0"/>
              <w:ind w:left="-105" w:leftChars="-50" w:right="-105" w:rightChars="-50"/>
              <w:jc w:val="center"/>
              <w:rPr>
                <w:rFonts w:hint="eastAsia" w:ascii="宋体" w:hAnsi="宋体" w:cs="宋体"/>
                <w:color w:val="auto"/>
                <w:szCs w:val="21"/>
                <w:lang w:eastAsia="zh-CN"/>
              </w:rPr>
            </w:pPr>
            <w:r>
              <w:rPr>
                <w:rFonts w:hint="eastAsia" w:ascii="宋体" w:hAnsi="宋体" w:cs="宋体"/>
                <w:color w:val="auto"/>
                <w:szCs w:val="21"/>
                <w:lang w:eastAsia="zh-CN"/>
              </w:rPr>
              <w:t>市交通运输执法总队</w:t>
            </w:r>
          </w:p>
          <w:p>
            <w:pPr>
              <w:snapToGrid w:val="0"/>
              <w:ind w:left="-105" w:leftChars="-50" w:right="-105" w:rightChars="-50"/>
              <w:jc w:val="center"/>
              <w:rPr>
                <w:rFonts w:hint="eastAsia" w:ascii="宋体" w:hAnsi="宋体" w:eastAsia="宋体" w:cs="宋体"/>
                <w:color w:val="auto"/>
                <w:szCs w:val="21"/>
                <w:lang w:eastAsia="zh-CN"/>
              </w:rPr>
            </w:pPr>
            <w:r>
              <w:rPr>
                <w:rFonts w:hint="eastAsia" w:ascii="宋体" w:hAnsi="宋体" w:cs="宋体"/>
                <w:color w:val="auto"/>
                <w:szCs w:val="21"/>
                <w:lang w:eastAsia="zh-CN"/>
              </w:rPr>
              <w:t>八支队</w:t>
            </w:r>
          </w:p>
        </w:tc>
      </w:tr>
    </w:tbl>
    <w:p>
      <w:pPr>
        <w:adjustRightInd w:val="0"/>
        <w:snapToGrid w:val="0"/>
        <w:spacing w:before="120" w:beforeLines="50" w:after="120" w:afterLines="50"/>
        <w:jc w:val="left"/>
        <w:rPr>
          <w:rFonts w:hint="eastAsia" w:ascii="黑体" w:hAnsi="黑体" w:eastAsia="黑体" w:cs="方正小标宋简体"/>
          <w:sz w:val="32"/>
          <w:szCs w:val="32"/>
          <w:lang w:eastAsia="zh-CN"/>
        </w:rPr>
      </w:pPr>
      <w:r>
        <w:br w:type="page"/>
      </w:r>
    </w:p>
    <w:p>
      <w:pPr>
        <w:adjustRightInd w:val="0"/>
        <w:snapToGrid w:val="0"/>
        <w:spacing w:before="360" w:beforeLines="150" w:after="360" w:afterLines="15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石景山区</w:t>
      </w:r>
      <w:r>
        <w:rPr>
          <w:rFonts w:hint="eastAsia" w:ascii="方正小标宋简体" w:hAnsi="方正小标宋简体" w:eastAsia="方正小标宋简体"/>
          <w:sz w:val="44"/>
          <w:szCs w:val="44"/>
          <w:lang w:eastAsia="zh-CN"/>
        </w:rPr>
        <w:t>碧水</w:t>
      </w:r>
      <w:r>
        <w:rPr>
          <w:rFonts w:hint="eastAsia" w:ascii="方正小标宋简体" w:hAnsi="方正小标宋简体" w:eastAsia="方正小标宋简体"/>
          <w:sz w:val="44"/>
          <w:szCs w:val="44"/>
        </w:rPr>
        <w:t>保卫战202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年行动计划（征求意见稿）</w:t>
      </w:r>
    </w:p>
    <w:tbl>
      <w:tblPr>
        <w:tblStyle w:val="14"/>
        <w:tblW w:w="4996" w:type="pct"/>
        <w:jc w:val="center"/>
        <w:tblLayout w:type="autofit"/>
        <w:tblCellMar>
          <w:top w:w="0" w:type="dxa"/>
          <w:left w:w="108" w:type="dxa"/>
          <w:bottom w:w="0" w:type="dxa"/>
          <w:right w:w="108" w:type="dxa"/>
        </w:tblCellMar>
      </w:tblPr>
      <w:tblGrid>
        <w:gridCol w:w="713"/>
        <w:gridCol w:w="1325"/>
        <w:gridCol w:w="6589"/>
        <w:gridCol w:w="1278"/>
        <w:gridCol w:w="1986"/>
        <w:gridCol w:w="2272"/>
      </w:tblGrid>
      <w:tr>
        <w:tblPrEx>
          <w:tblCellMar>
            <w:top w:w="0" w:type="dxa"/>
            <w:left w:w="108" w:type="dxa"/>
            <w:bottom w:w="0" w:type="dxa"/>
            <w:right w:w="108" w:type="dxa"/>
          </w:tblCellMar>
        </w:tblPrEx>
        <w:trPr>
          <w:trHeight w:val="368" w:hRule="atLeast"/>
          <w:tblHeader/>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重点任务</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工作措施</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完成时限</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主责单位</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协办单位</w:t>
            </w: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kern w:val="0"/>
                <w:szCs w:val="21"/>
                <w:lang w:val="en-US" w:eastAsia="zh-CN" w:bidi="ar"/>
              </w:rPr>
            </w:pPr>
            <w:r>
              <w:rPr>
                <w:rFonts w:hint="eastAsia" w:ascii="黑体" w:hAnsi="黑体" w:eastAsia="黑体" w:cs="黑体"/>
                <w:color w:val="auto"/>
                <w:szCs w:val="21"/>
                <w:lang w:val="en-US" w:eastAsia="zh-CN"/>
              </w:rPr>
              <w:t>一、水环境质量目标</w:t>
            </w:r>
          </w:p>
        </w:tc>
      </w:tr>
      <w:tr>
        <w:tblPrEx>
          <w:tblCellMar>
            <w:top w:w="0" w:type="dxa"/>
            <w:left w:w="108" w:type="dxa"/>
            <w:bottom w:w="0" w:type="dxa"/>
            <w:right w:w="108" w:type="dxa"/>
          </w:tblCellMar>
        </w:tblPrEx>
        <w:trPr>
          <w:trHeight w:val="960"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目标任务</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巩固水生态环境质量改善成效，地表水</w:t>
            </w:r>
            <w:r>
              <w:rPr>
                <w:rFonts w:hint="eastAsia" w:ascii="宋体" w:hAnsi="宋体" w:cs="宋体"/>
                <w:color w:val="000000"/>
                <w:kern w:val="0"/>
                <w:szCs w:val="21"/>
                <w:highlight w:val="none"/>
                <w:lang w:val="en-US" w:eastAsia="zh-CN" w:bidi="ar"/>
              </w:rPr>
              <w:t>考核</w:t>
            </w:r>
            <w:r>
              <w:rPr>
                <w:rFonts w:hint="eastAsia" w:ascii="宋体" w:hAnsi="宋体" w:cs="宋体"/>
                <w:color w:val="000000"/>
                <w:kern w:val="0"/>
                <w:szCs w:val="21"/>
                <w:lang w:bidi="ar"/>
              </w:rPr>
              <w:t>断面水质达到国家</w:t>
            </w:r>
            <w:r>
              <w:rPr>
                <w:rFonts w:hint="eastAsia" w:ascii="宋体" w:hAnsi="宋体" w:cs="宋体"/>
                <w:color w:val="000000"/>
                <w:kern w:val="0"/>
                <w:szCs w:val="21"/>
                <w:lang w:val="en-US" w:eastAsia="zh-CN" w:bidi="ar"/>
              </w:rPr>
              <w:t>和北京市</w:t>
            </w:r>
            <w:r>
              <w:rPr>
                <w:rFonts w:hint="eastAsia" w:ascii="宋体" w:hAnsi="宋体" w:cs="宋体"/>
                <w:color w:val="000000"/>
                <w:kern w:val="0"/>
                <w:szCs w:val="21"/>
                <w:lang w:bidi="ar"/>
              </w:rPr>
              <w:t>的目标要求。集中式饮用水水源地水质保持稳定达标。地下水水质总体保持稳定。</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区生态环境局</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（区水务局）</w:t>
            </w:r>
          </w:p>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rPr>
              <w:t>区</w:t>
            </w:r>
            <w:r>
              <w:rPr>
                <w:rFonts w:hint="eastAsia" w:ascii="宋体" w:hAnsi="宋体" w:cs="宋体"/>
                <w:color w:val="000000"/>
                <w:szCs w:val="21"/>
                <w:lang w:val="en-US" w:eastAsia="zh-CN"/>
              </w:rPr>
              <w:t>公园管理中心</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市规划自然资源委石景山分局</w:t>
            </w:r>
          </w:p>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区政府集体资产监管办</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区经济和信息化局</w:t>
            </w:r>
          </w:p>
        </w:tc>
      </w:tr>
      <w:tr>
        <w:tblPrEx>
          <w:tblCellMar>
            <w:top w:w="0" w:type="dxa"/>
            <w:left w:w="108" w:type="dxa"/>
            <w:bottom w:w="0" w:type="dxa"/>
            <w:right w:w="108" w:type="dxa"/>
          </w:tblCellMar>
        </w:tblPrEx>
        <w:trPr>
          <w:trHeight w:val="54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cs="宋体"/>
                <w:strike w:val="0"/>
                <w:dstrike w:val="0"/>
                <w:color w:val="000000"/>
                <w:szCs w:val="21"/>
                <w:lang w:val="en-US"/>
              </w:rPr>
            </w:pPr>
            <w:r>
              <w:rPr>
                <w:rFonts w:hint="eastAsia" w:ascii="黑体" w:hAnsi="黑体" w:eastAsia="黑体" w:cs="黑体"/>
                <w:color w:val="auto"/>
                <w:szCs w:val="21"/>
                <w:lang w:val="en-US" w:eastAsia="zh-CN"/>
              </w:rPr>
              <w:t>二、水资源保护</w:t>
            </w:r>
          </w:p>
        </w:tc>
      </w:tr>
      <w:tr>
        <w:tblPrEx>
          <w:tblCellMar>
            <w:top w:w="0" w:type="dxa"/>
            <w:left w:w="108" w:type="dxa"/>
            <w:bottom w:w="0" w:type="dxa"/>
            <w:right w:w="108" w:type="dxa"/>
          </w:tblCellMar>
        </w:tblPrEx>
        <w:trPr>
          <w:trHeight w:val="2515"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加强饮用水保护</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落实《北京市推进供水高质量发展三年行动方案（2023年—2025年）》任务要求，结合饮用水供水设施建设进展和水源地布局调整，动态更新全区饮用水水源地名录及取水井、取水量、供水人口等数据并与生态环境部门共享。加强饮用水供水厂站水源水和出厂水水质检测；对水质不达标的饮用水水源，采取水源置换、集中供水、深度处理等措施确保饮用水安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strike w:val="0"/>
                <w:dstrike w:val="0"/>
                <w:color w:val="000000"/>
                <w:kern w:val="0"/>
                <w:szCs w:val="21"/>
                <w:lang w:val="en-US" w:eastAsia="zh-CN" w:bidi="ar"/>
              </w:rPr>
              <w:t>区生态环境局</w:t>
            </w:r>
          </w:p>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cs="宋体"/>
                <w:strike w:val="0"/>
                <w:dstrike w:val="0"/>
                <w:color w:val="000000"/>
                <w:szCs w:val="21"/>
              </w:rPr>
              <w:t>区卫生健康委</w:t>
            </w:r>
          </w:p>
        </w:tc>
      </w:tr>
      <w:tr>
        <w:tblPrEx>
          <w:tblCellMar>
            <w:top w:w="0" w:type="dxa"/>
            <w:left w:w="108" w:type="dxa"/>
            <w:bottom w:w="0" w:type="dxa"/>
            <w:right w:w="108" w:type="dxa"/>
          </w:tblCellMar>
        </w:tblPrEx>
        <w:trPr>
          <w:trHeight w:val="1682"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szCs w:val="21"/>
              </w:rPr>
              <w:t>结合饮用水水源地名录及区域规划，统筹实施辖区集中式饮用水水源保护区优化调整。</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r>
              <w:rPr>
                <w:rFonts w:hint="eastAsia" w:ascii="宋体" w:hAnsi="宋体" w:cs="宋体"/>
                <w:color w:val="000000"/>
                <w:kern w:val="0"/>
                <w:szCs w:val="21"/>
                <w:lang w:bidi="ar"/>
              </w:rPr>
              <w:br w:type="textWrapping"/>
            </w:r>
            <w:r>
              <w:rPr>
                <w:rFonts w:hint="eastAsia" w:ascii="宋体" w:hAnsi="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市规划自然资源委石景山分局</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区财政局</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区发展改革委</w:t>
            </w:r>
          </w:p>
          <w:p>
            <w:pPr>
              <w:pStyle w:val="4"/>
              <w:spacing w:line="240" w:lineRule="auto"/>
              <w:ind w:left="0" w:leftChars="0" w:firstLine="0" w:firstLineChars="0"/>
              <w:jc w:val="center"/>
              <w:rPr>
                <w:rFonts w:hint="default" w:eastAsia="宋体"/>
                <w:lang w:val="en-US" w:eastAsia="zh-CN"/>
              </w:rPr>
            </w:pPr>
            <w:r>
              <w:rPr>
                <w:rFonts w:hint="eastAsia" w:ascii="宋体" w:hAnsi="宋体" w:eastAsia="宋体" w:cs="宋体"/>
                <w:color w:val="000000"/>
                <w:sz w:val="21"/>
                <w:szCs w:val="21"/>
                <w:lang w:val="en-US" w:eastAsia="zh-CN"/>
              </w:rPr>
              <w:t>区园林绿化局</w:t>
            </w:r>
          </w:p>
        </w:tc>
      </w:tr>
      <w:tr>
        <w:tblPrEx>
          <w:tblCellMar>
            <w:top w:w="0" w:type="dxa"/>
            <w:left w:w="108" w:type="dxa"/>
            <w:bottom w:w="0" w:type="dxa"/>
            <w:right w:w="108" w:type="dxa"/>
          </w:tblCellMar>
        </w:tblPrEx>
        <w:trPr>
          <w:trHeight w:val="720"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开展全</w:t>
            </w: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饮用水水源地环境状况年度调查评估，按国家要求完成系统填报，年底前提交评估报告，实现水源地“一源一档”动态管理。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（区水务局）</w:t>
            </w:r>
          </w:p>
        </w:tc>
      </w:tr>
      <w:tr>
        <w:tblPrEx>
          <w:tblCellMar>
            <w:top w:w="0" w:type="dxa"/>
            <w:left w:w="108" w:type="dxa"/>
            <w:bottom w:w="0" w:type="dxa"/>
            <w:right w:w="108" w:type="dxa"/>
          </w:tblCellMar>
        </w:tblPrEx>
        <w:trPr>
          <w:trHeight w:val="1698"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开展水源地专项执法和日常监管，加强“三监联动”，动态清理整治水源保护区内影响水源安全的排污口、垃圾堆放等环境问题。完善封闭隔离设施和标志标识牌。加强饮用水水源地风险防范和应急管理。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区生态环境局</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pStyle w:val="4"/>
              <w:spacing w:line="240" w:lineRule="auto"/>
              <w:ind w:firstLine="210" w:firstLineChars="100"/>
              <w:rPr>
                <w:rFonts w:hint="eastAsia"/>
              </w:rPr>
            </w:pPr>
            <w:r>
              <w:rPr>
                <w:rFonts w:hint="eastAsia" w:ascii="宋体" w:hAnsi="宋体" w:eastAsia="宋体" w:cs="宋体"/>
                <w:color w:val="000000"/>
                <w:sz w:val="21"/>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r>
        <w:tblPrEx>
          <w:tblCellMar>
            <w:top w:w="0" w:type="dxa"/>
            <w:left w:w="108" w:type="dxa"/>
            <w:bottom w:w="0" w:type="dxa"/>
            <w:right w:w="108" w:type="dxa"/>
          </w:tblCellMar>
        </w:tblPrEx>
        <w:trPr>
          <w:trHeight w:val="1287"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加强饮用水水质监测评价，定期向社会公开区级饮用水安全状况信息。</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r>
              <w:rPr>
                <w:rFonts w:hint="eastAsia" w:ascii="宋体" w:hAnsi="宋体" w:cs="宋体"/>
                <w:color w:val="000000"/>
                <w:kern w:val="0"/>
                <w:szCs w:val="21"/>
                <w:lang w:bidi="ar"/>
              </w:rPr>
              <w:br w:type="textWrapping"/>
            </w:r>
            <w:r>
              <w:rPr>
                <w:rFonts w:hint="eastAsia" w:ascii="宋体" w:hAnsi="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（区水务局）</w:t>
            </w:r>
          </w:p>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rPr>
              <w:t>区卫生健康委</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highlight w:val="yellow"/>
                <w:lang w:val="en-US" w:eastAsia="zh-CN" w:bidi="ar"/>
              </w:rPr>
            </w:pPr>
            <w:r>
              <w:rPr>
                <w:rFonts w:hint="eastAsia" w:ascii="宋体" w:hAnsi="宋体" w:eastAsia="宋体" w:cs="宋体"/>
                <w:color w:val="000000"/>
                <w:szCs w:val="21"/>
                <w:lang w:val="en-US" w:eastAsia="zh-CN"/>
              </w:rPr>
              <w:t>-</w:t>
            </w:r>
          </w:p>
        </w:tc>
      </w:tr>
      <w:tr>
        <w:tblPrEx>
          <w:tblCellMar>
            <w:top w:w="0" w:type="dxa"/>
            <w:left w:w="108" w:type="dxa"/>
            <w:bottom w:w="0" w:type="dxa"/>
            <w:right w:w="108" w:type="dxa"/>
          </w:tblCellMar>
        </w:tblPrEx>
        <w:trPr>
          <w:trHeight w:val="921"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加强地下水保护</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落实辖区地下水水质保持方案，确保地下水水质保持稳定。对辖区地下水污染风险监控点开展丰、枯水期监测。</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（区水务局）</w:t>
            </w:r>
          </w:p>
        </w:tc>
      </w:tr>
      <w:tr>
        <w:tblPrEx>
          <w:tblCellMar>
            <w:top w:w="0" w:type="dxa"/>
            <w:left w:w="108" w:type="dxa"/>
            <w:bottom w:w="0" w:type="dxa"/>
            <w:right w:w="108" w:type="dxa"/>
          </w:tblCellMar>
        </w:tblPrEx>
        <w:trPr>
          <w:trHeight w:val="1201"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推进地下水超采治理，落实《北京市地下水超采综合治理实施方案(2023年-2025年)》各项任务。</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r>
        <w:tblPrEx>
          <w:tblCellMar>
            <w:top w:w="0" w:type="dxa"/>
            <w:left w:w="108" w:type="dxa"/>
            <w:bottom w:w="0" w:type="dxa"/>
            <w:right w:w="108" w:type="dxa"/>
          </w:tblCellMar>
        </w:tblPrEx>
        <w:trPr>
          <w:trHeight w:val="1125"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配合市生态环境局</w:t>
            </w:r>
            <w:r>
              <w:rPr>
                <w:rFonts w:hint="eastAsia" w:ascii="宋体" w:hAnsi="宋体" w:cs="宋体"/>
                <w:color w:val="000000"/>
                <w:kern w:val="0"/>
                <w:szCs w:val="21"/>
                <w:lang w:bidi="ar"/>
              </w:rPr>
              <w:t>强化地下水污染风险源分类分级措施，完成地下水风险源信息调查。</w:t>
            </w:r>
            <w:r>
              <w:rPr>
                <w:rFonts w:hint="eastAsia" w:ascii="宋体" w:hAnsi="宋体" w:cs="宋体"/>
                <w:color w:val="000000"/>
                <w:kern w:val="0"/>
                <w:szCs w:val="21"/>
                <w:lang w:val="en-US" w:eastAsia="zh-CN" w:bidi="ar"/>
              </w:rPr>
              <w:t>开展石景山区地下水环境状况调查及防控研究工作。</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lang w:val="en-US" w:eastAsia="zh-CN"/>
              </w:rPr>
              <w:t>-</w:t>
            </w:r>
          </w:p>
        </w:tc>
      </w:tr>
      <w:tr>
        <w:tblPrEx>
          <w:tblCellMar>
            <w:top w:w="0" w:type="dxa"/>
            <w:left w:w="108" w:type="dxa"/>
            <w:bottom w:w="0" w:type="dxa"/>
            <w:right w:w="108" w:type="dxa"/>
          </w:tblCellMar>
        </w:tblPrEx>
        <w:trPr>
          <w:trHeight w:val="1130"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节水型社会建设</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持续推进节水型社会建设，全区生产生活用水总量及万元GDP用水量达到市级要求。</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r>
      <w:tr>
        <w:tblPrEx>
          <w:tblCellMar>
            <w:top w:w="0" w:type="dxa"/>
            <w:left w:w="108" w:type="dxa"/>
            <w:bottom w:w="0" w:type="dxa"/>
            <w:right w:w="108" w:type="dxa"/>
          </w:tblCellMar>
        </w:tblPrEx>
        <w:trPr>
          <w:trHeight w:val="949"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健全供水管网漏损管控体系，推进供水管网漏损治理和老旧更新改造工程，城镇供水管网漏损率力达到市级要求</w:t>
            </w:r>
            <w:r>
              <w:rPr>
                <w:rFonts w:hint="eastAsia" w:ascii="宋体" w:hAnsi="宋体" w:eastAsia="宋体" w:cs="宋体"/>
                <w:color w:val="000000"/>
                <w:szCs w:val="21"/>
                <w:lang w:val="en-US" w:eastAsia="zh-CN"/>
              </w:rPr>
              <w:t>。</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r>
      <w:tr>
        <w:tblPrEx>
          <w:tblCellMar>
            <w:top w:w="0" w:type="dxa"/>
            <w:left w:w="108" w:type="dxa"/>
            <w:bottom w:w="0" w:type="dxa"/>
            <w:right w:w="108" w:type="dxa"/>
          </w:tblCellMar>
        </w:tblPrEx>
        <w:trPr>
          <w:trHeight w:val="58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lang w:val="en-US" w:eastAsia="zh-CN" w:bidi="ar"/>
              </w:rPr>
            </w:pPr>
            <w:r>
              <w:rPr>
                <w:rFonts w:hint="eastAsia" w:ascii="黑体" w:hAnsi="黑体" w:eastAsia="黑体" w:cs="黑体"/>
                <w:color w:val="auto"/>
                <w:szCs w:val="21"/>
                <w:lang w:val="en-US" w:eastAsia="zh-CN"/>
              </w:rPr>
              <w:t>三、水环境治理</w:t>
            </w:r>
          </w:p>
        </w:tc>
      </w:tr>
      <w:tr>
        <w:tblPrEx>
          <w:tblCellMar>
            <w:top w:w="0" w:type="dxa"/>
            <w:left w:w="108" w:type="dxa"/>
            <w:bottom w:w="0" w:type="dxa"/>
            <w:right w:w="108" w:type="dxa"/>
          </w:tblCellMar>
        </w:tblPrEx>
        <w:trPr>
          <w:trHeight w:val="1310"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强化城乡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生活污水治理</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rPr>
              <w:t>配合市水务局实施并完成《北京市全面打赢城乡水环境治理歼灭战三年行动方案</w:t>
            </w:r>
            <w:r>
              <w:rPr>
                <w:rFonts w:hint="eastAsia" w:ascii="宋体" w:hAnsi="宋体" w:eastAsia="宋体" w:cs="宋体"/>
                <w:color w:val="000000"/>
                <w:szCs w:val="21"/>
              </w:rPr>
              <w:t>(2023年-2025年)》</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按市级要求</w:t>
            </w:r>
            <w:r>
              <w:rPr>
                <w:rFonts w:hint="eastAsia" w:ascii="宋体" w:hAnsi="宋体" w:eastAsia="宋体" w:cs="宋体"/>
                <w:color w:val="000000"/>
                <w:szCs w:val="21"/>
              </w:rPr>
              <w:t>建设污水管线</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再生水管线，</w:t>
            </w:r>
            <w:r>
              <w:rPr>
                <w:rFonts w:hint="eastAsia" w:ascii="宋体" w:hAnsi="宋体" w:eastAsia="宋体" w:cs="宋体"/>
                <w:color w:val="000000"/>
                <w:szCs w:val="21"/>
                <w:lang w:eastAsia="zh-CN"/>
              </w:rPr>
              <w:t>全</w:t>
            </w:r>
            <w:r>
              <w:rPr>
                <w:rFonts w:hint="eastAsia" w:ascii="宋体" w:hAnsi="宋体" w:cs="宋体"/>
                <w:color w:val="000000"/>
                <w:szCs w:val="21"/>
                <w:lang w:eastAsia="zh-CN"/>
              </w:rPr>
              <w:t>区污水处理率达到市级要求。</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543"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加强工业污染防治</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加大工业污染防治力度，通过排污许可管理、重点排污单位管理等措施，加强</w:t>
            </w:r>
            <w:r>
              <w:rPr>
                <w:rFonts w:hint="eastAsia" w:ascii="宋体" w:hAnsi="宋体" w:cs="宋体"/>
                <w:color w:val="000000"/>
                <w:kern w:val="0"/>
                <w:szCs w:val="21"/>
                <w:lang w:val="en-US" w:eastAsia="zh-CN" w:bidi="ar"/>
              </w:rPr>
              <w:t>工业企业</w:t>
            </w:r>
            <w:r>
              <w:rPr>
                <w:rFonts w:hint="eastAsia" w:ascii="宋体" w:hAnsi="宋体" w:cs="宋体"/>
                <w:color w:val="000000"/>
                <w:kern w:val="0"/>
                <w:szCs w:val="21"/>
                <w:lang w:bidi="ar"/>
              </w:rPr>
              <w:t>污水处理设施监管，推动</w:t>
            </w:r>
            <w:r>
              <w:rPr>
                <w:rFonts w:hint="eastAsia" w:ascii="宋体" w:hAnsi="宋体" w:cs="宋体"/>
                <w:color w:val="000000"/>
                <w:kern w:val="0"/>
                <w:szCs w:val="21"/>
                <w:lang w:val="en-US" w:eastAsia="zh-CN" w:bidi="ar"/>
              </w:rPr>
              <w:t>工业企业产生</w:t>
            </w:r>
            <w:r>
              <w:rPr>
                <w:rFonts w:hint="eastAsia" w:ascii="宋体" w:hAnsi="宋体" w:cs="宋体"/>
                <w:color w:val="000000"/>
                <w:kern w:val="0"/>
                <w:szCs w:val="21"/>
                <w:lang w:bidi="ar"/>
              </w:rPr>
              <w:t>污水全收集全处理并达标排放，强化污水集中处理设施自动在线监控。</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2"/>
                <w:sz w:val="21"/>
                <w:szCs w:val="24"/>
                <w:lang w:val="en-US" w:eastAsia="zh-CN" w:bidi="ar-SA"/>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经济和信息化局</w:t>
            </w:r>
          </w:p>
        </w:tc>
      </w:tr>
      <w:tr>
        <w:tblPrEx>
          <w:tblCellMar>
            <w:top w:w="0" w:type="dxa"/>
            <w:left w:w="108" w:type="dxa"/>
            <w:bottom w:w="0" w:type="dxa"/>
            <w:right w:w="108" w:type="dxa"/>
          </w:tblCellMar>
        </w:tblPrEx>
        <w:trPr>
          <w:trHeight w:val="90"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加强入河排污口监管</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按照《入河排污口监督管理办法》，做好入河排污口设置审批、登记工作。</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区生态环境</w:t>
            </w:r>
            <w:r>
              <w:rPr>
                <w:rFonts w:hint="eastAsia" w:ascii="宋体" w:hAnsi="宋体" w:cs="宋体"/>
                <w:color w:val="000000"/>
                <w:szCs w:val="21"/>
                <w:lang w:val="en-US" w:eastAsia="zh-CN"/>
              </w:rPr>
              <w:t>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trHeight w:val="960"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加强入河排污口长效监督管理，每季度对不低于辖区内总数10%的入河排污口开展监督检查，并确保每年度常态有水排污口现场检查、监测全覆盖。巩固排查整治成效，违规排污口动态清零。</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lang w:val="en-US" w:eastAsia="zh-CN"/>
              </w:rPr>
            </w:pPr>
            <w:r>
              <w:rPr>
                <w:rFonts w:hint="eastAsia" w:ascii="宋体" w:hAnsi="宋体" w:cs="宋体"/>
                <w:color w:val="000000"/>
                <w:szCs w:val="21"/>
              </w:rPr>
              <w:t>区生态环境</w:t>
            </w:r>
            <w:r>
              <w:rPr>
                <w:rFonts w:hint="eastAsia" w:ascii="宋体" w:hAnsi="宋体" w:cs="宋体"/>
                <w:color w:val="000000"/>
                <w:szCs w:val="21"/>
                <w:lang w:val="en-US" w:eastAsia="zh-CN"/>
              </w:rPr>
              <w:t>局</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lang w:val="en-US" w:eastAsia="zh-CN"/>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val="en-US" w:eastAsia="zh-CN" w:bidi="ar"/>
              </w:rPr>
              <w:t>各街道办事处</w:t>
            </w:r>
          </w:p>
        </w:tc>
      </w:tr>
      <w:tr>
        <w:tblPrEx>
          <w:tblCellMar>
            <w:top w:w="0" w:type="dxa"/>
            <w:left w:w="108" w:type="dxa"/>
            <w:bottom w:w="0" w:type="dxa"/>
            <w:right w:w="108" w:type="dxa"/>
          </w:tblCellMar>
        </w:tblPrEx>
        <w:trPr>
          <w:trHeight w:val="690"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按照生态环境部要求，动态更新入河排污口管理台账，加强入河排污口设置审批、登记、排查整治、日常监督检查等信息管理。</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szCs w:val="21"/>
              </w:rPr>
              <w:t>区生态环境</w:t>
            </w:r>
            <w:r>
              <w:rPr>
                <w:rFonts w:hint="eastAsia" w:ascii="宋体" w:hAnsi="宋体" w:cs="宋体"/>
                <w:color w:val="000000"/>
                <w:szCs w:val="21"/>
                <w:lang w:val="en-US" w:eastAsia="zh-CN"/>
              </w:rPr>
              <w:t>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区城市管理委</w:t>
            </w:r>
          </w:p>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（区水务局）</w:t>
            </w:r>
          </w:p>
        </w:tc>
      </w:tr>
      <w:tr>
        <w:tblPrEx>
          <w:tblCellMar>
            <w:top w:w="0" w:type="dxa"/>
            <w:left w:w="108" w:type="dxa"/>
            <w:bottom w:w="0" w:type="dxa"/>
            <w:right w:w="108" w:type="dxa"/>
          </w:tblCellMar>
        </w:tblPrEx>
        <w:trPr>
          <w:trHeight w:val="90"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巩固水体整治成效</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发挥“河长制”“湖长制”统筹作用，加强汛期面源污染治理、污水直排混排入河监管、小微水体管护等巡查力度。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（区水务局）</w:t>
            </w:r>
          </w:p>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val="en-US" w:eastAsia="zh-CN" w:bidi="ar"/>
              </w:rPr>
              <w:t>各街道办事处</w:t>
            </w:r>
          </w:p>
        </w:tc>
      </w:tr>
      <w:tr>
        <w:tblPrEx>
          <w:tblCellMar>
            <w:top w:w="0" w:type="dxa"/>
            <w:left w:w="108" w:type="dxa"/>
            <w:bottom w:w="0" w:type="dxa"/>
            <w:right w:w="108" w:type="dxa"/>
          </w:tblCellMar>
        </w:tblPrEx>
        <w:trPr>
          <w:trHeight w:val="720"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加强地表水体巡查监测，对发现的黑臭、劣Ⅴ类等问题，及时开展整改，确保动态清零。</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（区水务局）</w:t>
            </w:r>
          </w:p>
          <w:p>
            <w:pPr>
              <w:widowControl/>
              <w:spacing w:line="280" w:lineRule="exact"/>
              <w:jc w:val="center"/>
              <w:textAlignment w:val="center"/>
              <w:rPr>
                <w:rFonts w:hint="eastAsia" w:ascii="宋体" w:hAnsi="宋体" w:cs="宋体"/>
                <w:b/>
                <w:bCs/>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bCs/>
                <w:color w:val="000000"/>
                <w:szCs w:val="21"/>
              </w:rPr>
            </w:pPr>
            <w:r>
              <w:rPr>
                <w:rFonts w:hint="eastAsia" w:ascii="宋体" w:hAnsi="宋体" w:cs="宋体"/>
                <w:color w:val="000000"/>
                <w:kern w:val="0"/>
                <w:szCs w:val="21"/>
                <w:lang w:val="en-US" w:eastAsia="zh-CN" w:bidi="ar"/>
              </w:rPr>
              <w:t>各街道办事处</w:t>
            </w:r>
          </w:p>
        </w:tc>
      </w:tr>
      <w:tr>
        <w:tblPrEx>
          <w:tblCellMar>
            <w:top w:w="0" w:type="dxa"/>
            <w:left w:w="108" w:type="dxa"/>
            <w:bottom w:w="0" w:type="dxa"/>
            <w:right w:w="108" w:type="dxa"/>
          </w:tblCellMar>
        </w:tblPrEx>
        <w:trPr>
          <w:trHeight w:val="720"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各考核断面稳定达标，全区无劣v类水体。</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（区水务局）</w:t>
            </w:r>
          </w:p>
          <w:p>
            <w:pPr>
              <w:pStyle w:val="4"/>
              <w:spacing w:line="240" w:lineRule="auto"/>
              <w:ind w:left="0" w:leftChars="0" w:firstLine="0" w:firstLineChars="0"/>
              <w:jc w:val="center"/>
              <w:rPr>
                <w:rFonts w:hint="eastAsia" w:ascii="宋体" w:hAnsi="宋体" w:cs="宋体"/>
                <w:color w:val="000000"/>
                <w:szCs w:val="21"/>
              </w:rPr>
            </w:pPr>
            <w:r>
              <w:rPr>
                <w:rFonts w:hint="eastAsia" w:ascii="宋体" w:hAnsi="宋体" w:eastAsia="宋体" w:cs="宋体"/>
                <w:color w:val="000000"/>
                <w:sz w:val="21"/>
                <w:szCs w:val="21"/>
                <w:lang w:val="en-US" w:eastAsia="zh-CN"/>
              </w:rPr>
              <w:t>区公园管理中心</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val="en-US" w:eastAsia="zh-CN" w:bidi="ar"/>
              </w:rPr>
              <w:t>-</w:t>
            </w:r>
            <w:r>
              <w:rPr>
                <w:rFonts w:hint="eastAsia" w:ascii="宋体" w:hAnsi="宋体" w:cs="宋体"/>
                <w:color w:val="000000"/>
                <w:szCs w:val="21"/>
                <w:lang w:val="en-US" w:eastAsia="zh-CN"/>
              </w:rPr>
              <w:t>-</w:t>
            </w:r>
          </w:p>
        </w:tc>
      </w:tr>
      <w:tr>
        <w:tblPrEx>
          <w:tblCellMar>
            <w:top w:w="0" w:type="dxa"/>
            <w:left w:w="108" w:type="dxa"/>
            <w:bottom w:w="0" w:type="dxa"/>
            <w:right w:w="108" w:type="dxa"/>
          </w:tblCellMar>
        </w:tblPrEx>
        <w:trPr>
          <w:trHeight w:val="912"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深化流域生态补偿</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val="en-US" w:eastAsia="zh-CN" w:bidi="ar"/>
              </w:rPr>
              <w:t>配合市级部门</w:t>
            </w:r>
            <w:r>
              <w:rPr>
                <w:rFonts w:hint="eastAsia" w:ascii="宋体" w:hAnsi="宋体" w:cs="宋体"/>
                <w:color w:val="000000"/>
                <w:kern w:val="0"/>
                <w:szCs w:val="21"/>
                <w:lang w:bidi="ar"/>
              </w:rPr>
              <w:t>实施《北京市水生态区域补偿暂行办法》及《北京市水生态区域补偿金核算细则（试行）》，推进</w:t>
            </w:r>
            <w:r>
              <w:rPr>
                <w:rFonts w:hint="eastAsia" w:ascii="宋体" w:hAnsi="宋体" w:cs="宋体"/>
                <w:color w:val="000000"/>
                <w:kern w:val="0"/>
                <w:szCs w:val="21"/>
                <w:lang w:val="en-US" w:eastAsia="zh-CN" w:bidi="ar"/>
              </w:rPr>
              <w:t>全区</w:t>
            </w:r>
            <w:r>
              <w:rPr>
                <w:rFonts w:hint="eastAsia" w:ascii="宋体" w:hAnsi="宋体" w:cs="宋体"/>
                <w:color w:val="000000"/>
                <w:kern w:val="0"/>
                <w:szCs w:val="21"/>
                <w:lang w:bidi="ar"/>
              </w:rPr>
              <w:t>水生态环境质量持续改善。</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（区水务局）</w:t>
            </w:r>
          </w:p>
          <w:p>
            <w:pPr>
              <w:widowControl/>
              <w:spacing w:line="280" w:lineRule="exact"/>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财政局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292"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0</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强化跨部门、跨区域监管执法</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巩固多部门联合执法机制，</w:t>
            </w:r>
            <w:r>
              <w:rPr>
                <w:rFonts w:hint="eastAsia" w:ascii="宋体" w:hAnsi="宋体" w:cs="宋体"/>
                <w:color w:val="000000"/>
                <w:kern w:val="0"/>
                <w:szCs w:val="21"/>
                <w:lang w:val="en-US" w:eastAsia="zh-CN" w:bidi="ar"/>
              </w:rPr>
              <w:t>按市局安排</w:t>
            </w:r>
            <w:r>
              <w:rPr>
                <w:rFonts w:hint="eastAsia" w:ascii="宋体" w:hAnsi="宋体" w:cs="宋体"/>
                <w:color w:val="000000"/>
                <w:kern w:val="0"/>
                <w:szCs w:val="21"/>
                <w:lang w:eastAsia="zh-CN" w:bidi="ar"/>
              </w:rPr>
              <w:t>开展跨区域执法</w:t>
            </w:r>
            <w:r>
              <w:rPr>
                <w:rFonts w:hint="eastAsia" w:ascii="宋体" w:hAnsi="宋体" w:cs="宋体"/>
                <w:color w:val="000000"/>
                <w:kern w:val="0"/>
                <w:szCs w:val="21"/>
                <w:lang w:bidi="ar"/>
              </w:rPr>
              <w:t>。以水环境问题为导向，</w:t>
            </w:r>
            <w:r>
              <w:rPr>
                <w:rFonts w:hint="eastAsia" w:ascii="宋体" w:hAnsi="宋体" w:cs="宋体"/>
                <w:color w:val="000000"/>
                <w:kern w:val="0"/>
                <w:szCs w:val="21"/>
                <w:lang w:eastAsia="zh-CN" w:bidi="ar"/>
              </w:rPr>
              <w:t>重点</w:t>
            </w:r>
            <w:r>
              <w:rPr>
                <w:rFonts w:hint="eastAsia" w:ascii="宋体" w:hAnsi="宋体" w:cs="宋体"/>
                <w:color w:val="000000"/>
                <w:kern w:val="0"/>
                <w:szCs w:val="21"/>
                <w:lang w:bidi="ar"/>
              </w:rPr>
              <w:t>开展流域“点穴”</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饮用水水源地、入河排污口等专项执法</w:t>
            </w:r>
            <w:r>
              <w:rPr>
                <w:rFonts w:hint="eastAsia" w:ascii="宋体" w:hAnsi="宋体" w:cs="宋体"/>
                <w:color w:val="000000"/>
                <w:kern w:val="0"/>
                <w:szCs w:val="21"/>
                <w:lang w:eastAsia="zh-CN" w:bidi="ar"/>
              </w:rPr>
              <w:t>检查</w:t>
            </w:r>
            <w:r>
              <w:rPr>
                <w:rFonts w:hint="eastAsia" w:ascii="宋体" w:hAnsi="宋体" w:cs="宋体"/>
                <w:color w:val="000000"/>
                <w:kern w:val="0"/>
                <w:szCs w:val="21"/>
                <w:lang w:bidi="ar"/>
              </w:rPr>
              <w:t>。</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p>
            <w:pPr>
              <w:widowControl/>
              <w:spacing w:line="280" w:lineRule="exact"/>
              <w:jc w:val="center"/>
              <w:textAlignment w:val="center"/>
              <w:rPr>
                <w:rFonts w:hint="eastAsia" w:ascii="宋体" w:hAnsi="宋体" w:cs="宋体"/>
                <w:color w:val="000000"/>
                <w:szCs w:val="21"/>
              </w:rPr>
            </w:pPr>
            <w:r>
              <w:rPr>
                <w:rFonts w:hint="eastAsia" w:ascii="宋体" w:hAnsi="宋体" w:eastAsia="宋体" w:cs="宋体"/>
                <w:color w:val="000000"/>
                <w:szCs w:val="21"/>
              </w:rPr>
              <w:t>区城市管理委</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各街道办事处</w:t>
            </w:r>
          </w:p>
        </w:tc>
      </w:tr>
      <w:tr>
        <w:tblPrEx>
          <w:tblCellMar>
            <w:top w:w="0" w:type="dxa"/>
            <w:left w:w="108" w:type="dxa"/>
            <w:bottom w:w="0" w:type="dxa"/>
            <w:right w:w="108" w:type="dxa"/>
          </w:tblCellMar>
        </w:tblPrEx>
        <w:trPr>
          <w:trHeight w:val="924"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严厉打击向城市雨水管道排污及倾倒垃圾、向河道倾倒及填埋垃圾等违法行为，切实降低初期雨水污染对河流水质的影响。</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eastAsia="宋体" w:cs="宋体"/>
                <w:color w:val="000000"/>
                <w:szCs w:val="21"/>
              </w:rPr>
              <w:t>区城市管理委</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cs="宋体"/>
                <w:color w:val="000000"/>
                <w:szCs w:val="21"/>
              </w:rPr>
              <w:t>各街道办事处</w:t>
            </w:r>
          </w:p>
        </w:tc>
      </w:tr>
      <w:tr>
        <w:tblPrEx>
          <w:tblCellMar>
            <w:top w:w="0" w:type="dxa"/>
            <w:left w:w="108" w:type="dxa"/>
            <w:bottom w:w="0" w:type="dxa"/>
            <w:right w:w="108" w:type="dxa"/>
          </w:tblCellMar>
        </w:tblPrEx>
        <w:trPr>
          <w:trHeight w:val="90"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落实监督指导</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持续完善水生态环境领域“三监联动”。继续实施覆盖到各街道的水环境质量监测评价体系，每月进行监测、评价。</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（区水务局）</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各街道办事处</w:t>
            </w:r>
          </w:p>
        </w:tc>
      </w:tr>
      <w:tr>
        <w:tblPrEx>
          <w:tblCellMar>
            <w:top w:w="0" w:type="dxa"/>
            <w:left w:w="108" w:type="dxa"/>
            <w:bottom w:w="0" w:type="dxa"/>
            <w:right w:w="108" w:type="dxa"/>
          </w:tblCellMar>
        </w:tblPrEx>
        <w:trPr>
          <w:trHeight w:val="59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lang w:val="en-US" w:eastAsia="zh-CN" w:bidi="ar"/>
              </w:rPr>
            </w:pPr>
            <w:r>
              <w:rPr>
                <w:rFonts w:hint="eastAsia" w:ascii="黑体" w:hAnsi="黑体" w:eastAsia="黑体" w:cs="黑体"/>
                <w:color w:val="auto"/>
                <w:szCs w:val="21"/>
                <w:lang w:val="en-US" w:eastAsia="zh-CN"/>
              </w:rPr>
              <w:t>四、水生态保护与修复</w:t>
            </w:r>
          </w:p>
        </w:tc>
      </w:tr>
      <w:tr>
        <w:tblPrEx>
          <w:tblCellMar>
            <w:top w:w="0" w:type="dxa"/>
            <w:left w:w="108" w:type="dxa"/>
            <w:bottom w:w="0" w:type="dxa"/>
            <w:right w:w="108" w:type="dxa"/>
          </w:tblCellMar>
        </w:tblPrEx>
        <w:trPr>
          <w:trHeight w:val="1148"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推进美丽河湖保护与建设</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结合国家关于美丽河湖保护与建设的总体部署，编制</w:t>
            </w:r>
            <w:r>
              <w:rPr>
                <w:rFonts w:hint="eastAsia" w:ascii="宋体" w:hAnsi="宋体" w:cs="宋体"/>
                <w:color w:val="000000"/>
                <w:kern w:val="0"/>
                <w:szCs w:val="21"/>
                <w:lang w:val="en-US" w:eastAsia="zh-CN" w:bidi="ar"/>
              </w:rPr>
              <w:t>永定河</w:t>
            </w:r>
            <w:r>
              <w:rPr>
                <w:rFonts w:hint="eastAsia" w:ascii="宋体" w:hAnsi="宋体" w:cs="宋体"/>
                <w:color w:val="000000"/>
                <w:kern w:val="0"/>
                <w:szCs w:val="21"/>
                <w:lang w:bidi="ar"/>
              </w:rPr>
              <w:t>美丽河湖保护与建设实施方案，统筹水资源管理、水环境治理、水生态修复，推进全</w:t>
            </w: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美丽河湖保护与建设。</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941"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启动美丽河湖保护与建设工作，研究编制辖区重点河流、湖库美丽河湖保护与建设“一河一策”措施方案。</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854"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保障重点河流生态流量</w:t>
            </w:r>
          </w:p>
        </w:tc>
        <w:tc>
          <w:tcPr>
            <w:tcW w:w="2326" w:type="pct"/>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统筹生活、生产、生态用水配置，鼓励将再生水用于河湖补水。配合市水务局实施永定河生态补水工作。</w:t>
            </w:r>
          </w:p>
        </w:tc>
        <w:tc>
          <w:tcPr>
            <w:tcW w:w="451"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474"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14</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提升水生态系统健康</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配合</w:t>
            </w:r>
            <w:r>
              <w:rPr>
                <w:rFonts w:hint="eastAsia" w:ascii="宋体" w:hAnsi="宋体" w:cs="宋体"/>
                <w:color w:val="000000"/>
                <w:kern w:val="0"/>
                <w:szCs w:val="21"/>
                <w:lang w:bidi="ar"/>
              </w:rPr>
              <w:t>推进永定河平原段河道生态修复工作。</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tc>
      </w:tr>
      <w:tr>
        <w:tblPrEx>
          <w:tblCellMar>
            <w:top w:w="0" w:type="dxa"/>
            <w:left w:w="108" w:type="dxa"/>
            <w:bottom w:w="0" w:type="dxa"/>
            <w:right w:w="108" w:type="dxa"/>
          </w:tblCellMar>
        </w:tblPrEx>
        <w:trPr>
          <w:trHeight w:val="840"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highlight w:val="none"/>
                <w:lang w:bidi="ar"/>
              </w:rPr>
              <w:t>加强水土保护和清洁小流域建设，全区水土保持率达到市级要求，全区生态清洁小流域达标率达到100%。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spacing w:line="280" w:lineRule="exact"/>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239"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加强生态环境监测</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按照本市《河流和水库水生态质量监测与评价技术规范》，开展</w:t>
            </w:r>
            <w:r>
              <w:rPr>
                <w:rFonts w:hint="eastAsia" w:ascii="宋体" w:hAnsi="宋体" w:cs="宋体"/>
                <w:color w:val="000000"/>
                <w:kern w:val="0"/>
                <w:szCs w:val="21"/>
                <w:lang w:val="en-US" w:eastAsia="zh-CN" w:bidi="ar"/>
              </w:rPr>
              <w:t>石景山区</w:t>
            </w:r>
            <w:r>
              <w:rPr>
                <w:rFonts w:hint="eastAsia" w:ascii="宋体" w:hAnsi="宋体" w:cs="宋体"/>
                <w:color w:val="000000"/>
                <w:kern w:val="0"/>
                <w:szCs w:val="21"/>
                <w:lang w:bidi="ar"/>
              </w:rPr>
              <w:t>水生态环境状况监测评价。</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tc>
        <w:tc>
          <w:tcPr>
            <w:tcW w:w="79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584" w:hRule="atLeast"/>
          <w:jc w:val="center"/>
        </w:trPr>
        <w:tc>
          <w:tcPr>
            <w:tcW w:w="5000" w:type="pct"/>
            <w:gridSpan w:val="6"/>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kern w:val="0"/>
                <w:szCs w:val="21"/>
                <w:lang w:val="en-US" w:eastAsia="zh-CN" w:bidi="ar"/>
              </w:rPr>
            </w:pPr>
            <w:r>
              <w:rPr>
                <w:rFonts w:hint="eastAsia" w:ascii="黑体" w:hAnsi="黑体" w:eastAsia="黑体" w:cs="黑体"/>
                <w:color w:val="auto"/>
                <w:szCs w:val="21"/>
                <w:lang w:val="en-US" w:eastAsia="zh-CN"/>
              </w:rPr>
              <w:t>五、汛期污染防治</w:t>
            </w:r>
          </w:p>
        </w:tc>
      </w:tr>
      <w:tr>
        <w:tblPrEx>
          <w:tblCellMar>
            <w:top w:w="0" w:type="dxa"/>
            <w:left w:w="108" w:type="dxa"/>
            <w:bottom w:w="0" w:type="dxa"/>
            <w:right w:w="108" w:type="dxa"/>
          </w:tblCellMar>
        </w:tblPrEx>
        <w:trPr>
          <w:trHeight w:val="1123"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6</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加强排查和分析研判</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加强各类风险隐患排查，聚焦重点区域、行业、企业，精准识别影响汛期水质和饮用水安全的主要污染源和各类水环境风险隐患，建立问题清单，推动突出问题整改。</w:t>
            </w:r>
          </w:p>
        </w:tc>
        <w:tc>
          <w:tcPr>
            <w:tcW w:w="451"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536"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加强汛期分析研判与应急处置，对湖泊水库蓝藻水华、汛期污染强度高值水体和存在风险隐患的饮用水水源及时预警，开展溯源排查，查清问题症结及原因，制定实施综合整治方案；对水质出现异常波动的，迅速采取有效处置措施。</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生态环境局</w:t>
            </w:r>
          </w:p>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90"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7</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提高溢流污染控制水平</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开展雨污混接错接巡查整治，实现雨污混流动态清零。</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1153"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eastAsia="宋体" w:cs="宋体"/>
                <w:color w:val="000000"/>
                <w:szCs w:val="21"/>
                <w:lang w:val="en-US" w:eastAsia="zh-CN"/>
              </w:rPr>
              <w:t>配合市水务局做好五里坨污水处理厂</w:t>
            </w:r>
            <w:r>
              <w:rPr>
                <w:rFonts w:hint="eastAsia" w:ascii="宋体" w:hAnsi="宋体" w:eastAsia="宋体" w:cs="宋体"/>
                <w:color w:val="000000"/>
                <w:szCs w:val="21"/>
              </w:rPr>
              <w:t>加强汛期联动联调，降雨前提前加大抽升处理，降低管网液位，实现管网腾容，最</w:t>
            </w:r>
            <w:r>
              <w:rPr>
                <w:rFonts w:hint="eastAsia" w:ascii="宋体" w:hAnsi="宋体" w:cs="宋体"/>
                <w:color w:val="000000"/>
                <w:szCs w:val="21"/>
              </w:rPr>
              <w:t>大程度减少片区污水溢流排河。</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9月底前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区生态环境局</w:t>
            </w:r>
          </w:p>
        </w:tc>
      </w:tr>
      <w:tr>
        <w:tblPrEx>
          <w:tblCellMar>
            <w:top w:w="0" w:type="dxa"/>
            <w:left w:w="108" w:type="dxa"/>
            <w:bottom w:w="0" w:type="dxa"/>
            <w:right w:w="108" w:type="dxa"/>
          </w:tblCellMar>
        </w:tblPrEx>
        <w:trPr>
          <w:trHeight w:val="782"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持续开展“清管行动”</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汛期前对雨水管涵、雨污合流管涵、雨水口(雨箅子)等进行全面清掏并加大巡查、清理力度。</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9月底前</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cs="宋体"/>
                <w:color w:val="000000"/>
                <w:szCs w:val="21"/>
              </w:rPr>
            </w:pPr>
            <w:r>
              <w:rPr>
                <w:rFonts w:hint="eastAsia" w:ascii="宋体" w:hAnsi="宋体" w:eastAsia="宋体" w:cs="宋体"/>
                <w:color w:val="000000"/>
                <w:szCs w:val="21"/>
              </w:rPr>
              <w:t>（区水务局）</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w:t>
            </w:r>
          </w:p>
        </w:tc>
      </w:tr>
      <w:tr>
        <w:tblPrEx>
          <w:tblCellMar>
            <w:top w:w="0" w:type="dxa"/>
            <w:left w:w="108" w:type="dxa"/>
            <w:bottom w:w="0" w:type="dxa"/>
            <w:right w:w="108" w:type="dxa"/>
          </w:tblCellMar>
        </w:tblPrEx>
        <w:trPr>
          <w:trHeight w:val="2158"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强化监督管理</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强化汛期河湖水环境精细化管理，雨前对马路边沟、无水支流沟渠等开展垃圾杂物清理。雨后对国市考断面所在水体及时清理垃圾、漂浮物。开展雨后入河排口排污检查，严厉打击污水直排、借雨偷排行为。优化道路保洁作业模式，避免影响水环境。</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长期实施</w:t>
            </w:r>
          </w:p>
        </w:tc>
        <w:tc>
          <w:tcPr>
            <w:tcW w:w="7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区城市管理委</w:t>
            </w:r>
          </w:p>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区公园管理中心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区</w:t>
            </w:r>
            <w:r>
              <w:rPr>
                <w:rFonts w:hint="eastAsia" w:ascii="宋体" w:hAnsi="宋体" w:cs="宋体"/>
                <w:color w:val="000000"/>
                <w:kern w:val="0"/>
                <w:szCs w:val="21"/>
                <w:lang w:bidi="ar"/>
              </w:rPr>
              <w:t>环卫</w:t>
            </w:r>
            <w:r>
              <w:rPr>
                <w:rFonts w:hint="eastAsia" w:ascii="宋体" w:hAnsi="宋体" w:cs="宋体"/>
                <w:color w:val="000000"/>
                <w:kern w:val="0"/>
                <w:szCs w:val="21"/>
                <w:lang w:val="en-US" w:eastAsia="zh-CN" w:bidi="ar"/>
              </w:rPr>
              <w:t>中心</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各街道办事处</w:t>
            </w:r>
          </w:p>
        </w:tc>
      </w:tr>
    </w:tbl>
    <w:p>
      <w:pPr>
        <w:adjustRightInd w:val="0"/>
        <w:snapToGrid w:val="0"/>
        <w:spacing w:before="120" w:beforeLines="50" w:after="120" w:afterLines="50"/>
        <w:jc w:val="left"/>
        <w:rPr>
          <w:rFonts w:hint="eastAsia" w:ascii="黑体" w:hAnsi="黑体" w:eastAsia="黑体" w:cs="方正小标宋简体"/>
          <w:sz w:val="32"/>
          <w:szCs w:val="32"/>
          <w:lang w:eastAsia="zh-CN"/>
        </w:rPr>
      </w:pPr>
      <w:r>
        <w:br w:type="page"/>
      </w:r>
    </w:p>
    <w:p>
      <w:pPr>
        <w:adjustRightInd w:val="0"/>
        <w:snapToGrid w:val="0"/>
        <w:spacing w:before="360" w:beforeLines="150" w:after="360" w:afterLines="15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石景山区</w:t>
      </w:r>
      <w:r>
        <w:rPr>
          <w:rFonts w:hint="eastAsia" w:ascii="方正小标宋简体" w:hAnsi="方正小标宋简体" w:eastAsia="方正小标宋简体"/>
          <w:sz w:val="44"/>
          <w:szCs w:val="44"/>
          <w:lang w:eastAsia="zh-CN"/>
        </w:rPr>
        <w:t>净土</w:t>
      </w:r>
      <w:r>
        <w:rPr>
          <w:rFonts w:hint="eastAsia" w:ascii="方正小标宋简体" w:hAnsi="方正小标宋简体" w:eastAsia="方正小标宋简体"/>
          <w:sz w:val="44"/>
          <w:szCs w:val="44"/>
        </w:rPr>
        <w:t>保卫战202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年行动计划（征求意见稿）</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50"/>
        <w:gridCol w:w="5911"/>
        <w:gridCol w:w="1224"/>
        <w:gridCol w:w="2771"/>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trPr>
        <w:tc>
          <w:tcPr>
            <w:tcW w:w="278" w:type="pct"/>
            <w:noWrap w:val="0"/>
            <w:vAlign w:val="center"/>
          </w:tcPr>
          <w:p>
            <w:pPr>
              <w:widowControl/>
              <w:jc w:val="center"/>
              <w:textAlignment w:val="center"/>
              <w:rPr>
                <w:rFonts w:ascii="黑体" w:hAnsi="黑体" w:eastAsia="黑体" w:cs="黑体"/>
                <w:kern w:val="0"/>
                <w:sz w:val="28"/>
                <w:szCs w:val="28"/>
              </w:rPr>
            </w:pPr>
            <w:r>
              <w:rPr>
                <w:rFonts w:hint="eastAsia" w:ascii="黑体" w:hAnsi="宋体" w:eastAsia="黑体" w:cs="黑体"/>
                <w:color w:val="000000"/>
                <w:kern w:val="0"/>
                <w:szCs w:val="21"/>
                <w:lang w:bidi="ar"/>
              </w:rPr>
              <w:t>序号</w:t>
            </w:r>
          </w:p>
        </w:tc>
        <w:tc>
          <w:tcPr>
            <w:tcW w:w="406" w:type="pct"/>
            <w:noWrap w:val="0"/>
            <w:vAlign w:val="center"/>
          </w:tcPr>
          <w:p>
            <w:pPr>
              <w:widowControl/>
              <w:jc w:val="center"/>
              <w:textAlignment w:val="center"/>
              <w:rPr>
                <w:rFonts w:ascii="黑体" w:hAnsi="黑体" w:eastAsia="黑体" w:cs="黑体"/>
                <w:kern w:val="0"/>
                <w:sz w:val="28"/>
                <w:szCs w:val="28"/>
              </w:rPr>
            </w:pPr>
            <w:r>
              <w:rPr>
                <w:rFonts w:hint="eastAsia" w:ascii="黑体" w:hAnsi="宋体" w:eastAsia="黑体" w:cs="黑体"/>
                <w:color w:val="000000"/>
                <w:kern w:val="0"/>
                <w:szCs w:val="21"/>
                <w:lang w:bidi="ar"/>
              </w:rPr>
              <w:t>重点任务</w:t>
            </w:r>
          </w:p>
        </w:tc>
        <w:tc>
          <w:tcPr>
            <w:tcW w:w="2086" w:type="pct"/>
            <w:noWrap w:val="0"/>
            <w:vAlign w:val="center"/>
          </w:tcPr>
          <w:p>
            <w:pPr>
              <w:widowControl/>
              <w:jc w:val="center"/>
              <w:textAlignment w:val="center"/>
              <w:rPr>
                <w:rFonts w:ascii="黑体" w:hAnsi="黑体" w:eastAsia="黑体" w:cs="黑体"/>
                <w:kern w:val="0"/>
                <w:sz w:val="28"/>
                <w:szCs w:val="28"/>
              </w:rPr>
            </w:pPr>
            <w:r>
              <w:rPr>
                <w:rFonts w:hint="eastAsia" w:ascii="黑体" w:hAnsi="宋体" w:eastAsia="黑体" w:cs="黑体"/>
                <w:color w:val="000000"/>
                <w:kern w:val="0"/>
                <w:szCs w:val="21"/>
                <w:lang w:bidi="ar"/>
              </w:rPr>
              <w:t>工作措施</w:t>
            </w:r>
          </w:p>
        </w:tc>
        <w:tc>
          <w:tcPr>
            <w:tcW w:w="432" w:type="pct"/>
            <w:noWrap w:val="0"/>
            <w:vAlign w:val="center"/>
          </w:tcPr>
          <w:p>
            <w:pPr>
              <w:widowControl/>
              <w:jc w:val="center"/>
              <w:textAlignment w:val="center"/>
              <w:rPr>
                <w:rFonts w:ascii="黑体" w:hAnsi="黑体" w:eastAsia="黑体" w:cs="黑体"/>
                <w:kern w:val="0"/>
                <w:sz w:val="28"/>
                <w:szCs w:val="28"/>
              </w:rPr>
            </w:pPr>
            <w:r>
              <w:rPr>
                <w:rFonts w:hint="eastAsia" w:ascii="黑体" w:hAnsi="宋体" w:eastAsia="黑体" w:cs="黑体"/>
                <w:color w:val="000000"/>
                <w:kern w:val="0"/>
                <w:szCs w:val="21"/>
                <w:lang w:bidi="ar"/>
              </w:rPr>
              <w:t>完成时限</w:t>
            </w:r>
          </w:p>
        </w:tc>
        <w:tc>
          <w:tcPr>
            <w:tcW w:w="978" w:type="pct"/>
            <w:noWrap w:val="0"/>
            <w:vAlign w:val="center"/>
          </w:tcPr>
          <w:p>
            <w:pPr>
              <w:widowControl/>
              <w:jc w:val="center"/>
              <w:textAlignment w:val="center"/>
              <w:rPr>
                <w:rFonts w:ascii="黑体" w:hAnsi="黑体" w:eastAsia="黑体" w:cs="黑体"/>
                <w:kern w:val="0"/>
                <w:sz w:val="28"/>
                <w:szCs w:val="28"/>
              </w:rPr>
            </w:pPr>
            <w:r>
              <w:rPr>
                <w:rFonts w:hint="eastAsia" w:ascii="黑体" w:hAnsi="宋体" w:eastAsia="黑体" w:cs="黑体"/>
                <w:color w:val="000000"/>
                <w:kern w:val="0"/>
                <w:szCs w:val="21"/>
                <w:lang w:bidi="ar"/>
              </w:rPr>
              <w:t>主责单位</w:t>
            </w:r>
          </w:p>
        </w:tc>
        <w:tc>
          <w:tcPr>
            <w:tcW w:w="818" w:type="pct"/>
            <w:noWrap w:val="0"/>
            <w:vAlign w:val="center"/>
          </w:tcPr>
          <w:p>
            <w:pPr>
              <w:widowControl/>
              <w:jc w:val="center"/>
              <w:textAlignment w:val="center"/>
              <w:rPr>
                <w:rFonts w:ascii="黑体" w:hAnsi="黑体" w:eastAsia="黑体" w:cs="黑体"/>
                <w:kern w:val="0"/>
                <w:sz w:val="28"/>
                <w:szCs w:val="28"/>
              </w:rPr>
            </w:pPr>
            <w:r>
              <w:rPr>
                <w:rFonts w:hint="eastAsia" w:ascii="黑体" w:hAnsi="宋体" w:eastAsia="黑体" w:cs="黑体"/>
                <w:color w:val="000000"/>
                <w:kern w:val="0"/>
                <w:szCs w:val="21"/>
                <w:lang w:bidi="ar"/>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000" w:type="pct"/>
            <w:gridSpan w:val="6"/>
            <w:noWrap w:val="0"/>
            <w:vAlign w:val="center"/>
          </w:tcPr>
          <w:p>
            <w:pPr>
              <w:widowControl/>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278" w:type="pc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1</w:t>
            </w:r>
          </w:p>
        </w:tc>
        <w:tc>
          <w:tcPr>
            <w:tcW w:w="406" w:type="pct"/>
            <w:noWrap w:val="0"/>
            <w:vAlign w:val="center"/>
          </w:tcPr>
          <w:p>
            <w:pPr>
              <w:widowControl/>
              <w:snapToGrid w:val="0"/>
              <w:jc w:val="center"/>
              <w:rPr>
                <w:rFonts w:ascii="宋体" w:hAnsi="宋体" w:cs="宋体"/>
                <w:kern w:val="0"/>
                <w:szCs w:val="21"/>
              </w:rPr>
            </w:pPr>
            <w:r>
              <w:rPr>
                <w:rFonts w:hint="eastAsia" w:ascii="宋体" w:hAnsi="宋体" w:cs="宋体"/>
                <w:kern w:val="0"/>
                <w:szCs w:val="21"/>
              </w:rPr>
              <w:t>目标任务</w:t>
            </w: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bCs/>
                <w:kern w:val="0"/>
                <w:szCs w:val="21"/>
              </w:rPr>
              <w:t>建设用地土壤环境风险得到有效管控，土壤环境质量保持良好。</w:t>
            </w:r>
          </w:p>
        </w:tc>
        <w:tc>
          <w:tcPr>
            <w:tcW w:w="432" w:type="pc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区生态环境局</w:t>
            </w:r>
          </w:p>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市规划自然资源委</w:t>
            </w:r>
          </w:p>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石景山分局</w:t>
            </w:r>
          </w:p>
        </w:tc>
        <w:tc>
          <w:tcPr>
            <w:tcW w:w="818" w:type="pc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区经济和信息化局</w:t>
            </w:r>
          </w:p>
          <w:p>
            <w:pPr>
              <w:widowControl/>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区住房城市建设委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5000" w:type="pct"/>
            <w:gridSpan w:val="6"/>
            <w:noWrap w:val="0"/>
            <w:vAlign w:val="center"/>
          </w:tcPr>
          <w:p>
            <w:pPr>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trPr>
        <w:tc>
          <w:tcPr>
            <w:tcW w:w="278" w:type="pct"/>
            <w:vMerge w:val="restar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2</w:t>
            </w:r>
          </w:p>
        </w:tc>
        <w:tc>
          <w:tcPr>
            <w:tcW w:w="406" w:type="pct"/>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持续开展土壤污染防治现状调查</w:t>
            </w:r>
          </w:p>
          <w:p>
            <w:pPr>
              <w:widowControl/>
              <w:snapToGrid w:val="0"/>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全面管控优先监管地块。开展关停退出工业企业原址用地筛查，3月底、9月底更新优先监管地块清单，按照生态环境部新技术指南开展、完善重点监测；根据重点监测评估结果，督促土壤污染责任人或土地使用权人落实制度控制、工程控制等措施，并通过环境监测监控污染扩散及其对周边敏感目标的影响。</w:t>
            </w:r>
          </w:p>
          <w:p>
            <w:pPr>
              <w:widowControl/>
              <w:snapToGrid w:val="0"/>
              <w:jc w:val="left"/>
              <w:rPr>
                <w:rFonts w:ascii="宋体" w:hAnsi="宋体" w:cs="宋体"/>
                <w:kern w:val="0"/>
                <w:szCs w:val="21"/>
              </w:rPr>
            </w:pPr>
            <w:r>
              <w:rPr>
                <w:rFonts w:hint="eastAsia" w:ascii="宋体" w:hAnsi="宋体" w:cs="宋体"/>
                <w:kern w:val="0"/>
                <w:szCs w:val="21"/>
              </w:rPr>
              <w:t>优先监管地块污染管控率≥95%。</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市规划自然资源委</w:t>
            </w:r>
          </w:p>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石景山分局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278" w:type="pct"/>
            <w:vMerge w:val="continue"/>
            <w:noWrap w:val="0"/>
            <w:vAlign w:val="center"/>
          </w:tcPr>
          <w:p>
            <w:pPr>
              <w:widowControl/>
              <w:snapToGrid w:val="0"/>
              <w:ind w:left="-105" w:leftChars="-50" w:right="-105" w:rightChars="-50"/>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szCs w:val="21"/>
              </w:rPr>
            </w:pPr>
            <w:r>
              <w:rPr>
                <w:rFonts w:hint="eastAsia" w:ascii="宋体" w:hAnsi="宋体" w:cs="宋体"/>
                <w:kern w:val="0"/>
                <w:szCs w:val="21"/>
                <w:lang w:eastAsia="zh-CN"/>
              </w:rPr>
              <w:t>根据实际情况，</w:t>
            </w:r>
            <w:r>
              <w:rPr>
                <w:rFonts w:hint="eastAsia" w:ascii="宋体" w:hAnsi="宋体" w:cs="宋体"/>
                <w:kern w:val="0"/>
                <w:szCs w:val="21"/>
              </w:rPr>
              <w:t>建立新、改、扩建建设项目土壤环境现状调查成果台账。</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78" w:type="pct"/>
            <w:vMerge w:val="restar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3</w:t>
            </w:r>
          </w:p>
        </w:tc>
        <w:tc>
          <w:tcPr>
            <w:tcW w:w="406" w:type="pct"/>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加强工业企业土壤污染源头防控</w:t>
            </w: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开展已关闭加油站土壤污染风险摸底排查，逐步消除风险隐患。</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hint="default" w:ascii="宋体" w:hAnsi="宋体" w:eastAsia="宋体" w:cs="宋体"/>
                <w:kern w:val="0"/>
                <w:szCs w:val="21"/>
                <w:lang w:val="en-US" w:eastAsia="zh-CN"/>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强化重点单位环境管理。更新土壤污染重点监管单位名录，应纳尽纳。督促土壤重点单位按照排污许可证规定和标准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eastAsia="宋体" w:cs="宋体"/>
                <w:kern w:val="0"/>
                <w:szCs w:val="21"/>
              </w:rPr>
              <w:t>按照生态环境部新技术指南，编制土壤污染重点监管单位周边土壤和地下水监测方案。对地下水迁移影响型土壤重点单位周边开展土壤和地下水监测</w:t>
            </w:r>
            <w:r>
              <w:rPr>
                <w:rFonts w:hint="eastAsia" w:ascii="宋体" w:hAnsi="宋体" w:cs="宋体"/>
                <w:kern w:val="0"/>
                <w:szCs w:val="21"/>
              </w:rPr>
              <w:t>。</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78" w:type="pct"/>
            <w:vMerge w:val="restar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4</w:t>
            </w:r>
          </w:p>
        </w:tc>
        <w:tc>
          <w:tcPr>
            <w:tcW w:w="406" w:type="pct"/>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科学管控建设用地风险</w:t>
            </w:r>
          </w:p>
        </w:tc>
        <w:tc>
          <w:tcPr>
            <w:tcW w:w="2086" w:type="pct"/>
            <w:noWrap w:val="0"/>
            <w:vAlign w:val="center"/>
          </w:tcPr>
          <w:p>
            <w:pPr>
              <w:widowControl/>
              <w:snapToGrid w:val="0"/>
              <w:jc w:val="left"/>
              <w:rPr>
                <w:rFonts w:ascii="宋体" w:hAnsi="宋体" w:cs="宋体"/>
                <w:szCs w:val="21"/>
              </w:rPr>
            </w:pPr>
            <w:r>
              <w:rPr>
                <w:rFonts w:hint="eastAsia" w:ascii="宋体" w:hAnsi="宋体" w:cs="宋体"/>
                <w:kern w:val="0"/>
                <w:szCs w:val="21"/>
              </w:rPr>
              <w:t>削减受污染建设用地面积。科学实施土壤污染风险管控、修复，加快建设用地土壤污染风险管控和修复名录内地块风险管控、修复及效果评估，强化土壤污染风险管控和修复过程监督管理</w:t>
            </w:r>
            <w:r>
              <w:rPr>
                <w:rFonts w:hint="eastAsia" w:ascii="宋体" w:hAnsi="宋体" w:cs="宋体"/>
                <w:kern w:val="0"/>
                <w:szCs w:val="21"/>
                <w:lang w:eastAsia="zh-CN"/>
              </w:rPr>
              <w:t>，开展污染地块专项检查</w:t>
            </w:r>
            <w:r>
              <w:rPr>
                <w:rFonts w:hint="eastAsia" w:ascii="宋体" w:hAnsi="宋体" w:cs="宋体"/>
                <w:kern w:val="0"/>
                <w:szCs w:val="21"/>
              </w:rPr>
              <w:t>；探索推进首钢集团石景山主厂区南区分片分期土壤污染风险管控和修复</w:t>
            </w:r>
            <w:r>
              <w:rPr>
                <w:rFonts w:hint="eastAsia" w:ascii="宋体" w:hAnsi="宋体" w:cs="宋体"/>
                <w:kern w:val="0"/>
                <w:szCs w:val="21"/>
                <w:highlight w:val="none"/>
              </w:rPr>
              <w:t>。</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区生态环境局</w:t>
            </w:r>
          </w:p>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市规划自然资源委</w:t>
            </w:r>
          </w:p>
          <w:p>
            <w:pPr>
              <w:snapToGrid w:val="0"/>
              <w:ind w:left="-105" w:leftChars="-50" w:right="-105" w:rightChars="-50"/>
              <w:jc w:val="center"/>
              <w:rPr>
                <w:rFonts w:hint="eastAsia" w:ascii="Times New Roman" w:hAnsi="Times New Roman" w:eastAsia="宋体"/>
                <w:lang w:eastAsia="zh-CN"/>
              </w:rPr>
            </w:pPr>
            <w:r>
              <w:rPr>
                <w:rFonts w:hint="eastAsia" w:ascii="宋体" w:hAnsi="宋体" w:cs="宋体"/>
                <w:kern w:val="0"/>
                <w:szCs w:val="21"/>
                <w:lang w:eastAsia="zh-CN"/>
              </w:rPr>
              <w:t>石景山分局</w:t>
            </w:r>
          </w:p>
        </w:tc>
        <w:tc>
          <w:tcPr>
            <w:tcW w:w="81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区住房城市建设委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加快处置已转运污染土壤。督促相关地块按承诺时限和措施完成转运污染土壤处置、效果评估。督促首钢集团，完成历史遗留污染土壤处置。</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加强修复过程监督管理。针对开挖深度较大的修复项目，加强土壤污染治理监督检查和施工安全监督检查。</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区生态环境局</w:t>
            </w:r>
          </w:p>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区住房城市建设委</w:t>
            </w:r>
          </w:p>
        </w:tc>
        <w:tc>
          <w:tcPr>
            <w:tcW w:w="818" w:type="pct"/>
            <w:noWrap w:val="0"/>
            <w:vAlign w:val="center"/>
          </w:tcPr>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规范地块后期管理措施。督促地块使用权人，按计划开展制度控制、长期监测，定期报告。</w:t>
            </w:r>
            <w:r>
              <w:rPr>
                <w:rFonts w:hint="eastAsia" w:ascii="宋体" w:hAnsi="宋体" w:cs="宋体"/>
                <w:kern w:val="0"/>
                <w:szCs w:val="21"/>
                <w:highlight w:val="none"/>
              </w:rPr>
              <w:t>探索打造地块后期管理典型案例。</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区生态环境局</w:t>
            </w:r>
          </w:p>
        </w:tc>
        <w:tc>
          <w:tcPr>
            <w:tcW w:w="818" w:type="pct"/>
            <w:noWrap w:val="0"/>
            <w:vAlign w:val="center"/>
          </w:tcPr>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trPr>
        <w:tc>
          <w:tcPr>
            <w:tcW w:w="278" w:type="pct"/>
            <w:vMerge w:val="restart"/>
            <w:noWrap w:val="0"/>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5</w:t>
            </w:r>
          </w:p>
        </w:tc>
        <w:tc>
          <w:tcPr>
            <w:tcW w:w="406" w:type="pct"/>
            <w:vMerge w:val="restart"/>
            <w:noWrap w:val="0"/>
            <w:vAlign w:val="center"/>
          </w:tcPr>
          <w:p>
            <w:pPr>
              <w:widowControl/>
              <w:snapToGrid w:val="0"/>
              <w:jc w:val="center"/>
              <w:rPr>
                <w:rFonts w:ascii="宋体" w:hAnsi="宋体" w:cs="宋体"/>
                <w:kern w:val="0"/>
                <w:szCs w:val="21"/>
              </w:rPr>
            </w:pPr>
            <w:r>
              <w:rPr>
                <w:rFonts w:hint="eastAsia" w:ascii="宋体" w:hAnsi="宋体" w:cs="宋体"/>
                <w:kern w:val="0"/>
                <w:szCs w:val="21"/>
              </w:rPr>
              <w:t>完善建设用地再开发利用监管机制</w:t>
            </w: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规划自然资源部门、生态环境部门加强联动，落实“先调查、先治理、再供地（出让、划拨、协议出让）”的原则，保障“净地”出让。</w:t>
            </w:r>
          </w:p>
          <w:p>
            <w:pPr>
              <w:widowControl/>
              <w:snapToGrid w:val="0"/>
              <w:jc w:val="left"/>
              <w:rPr>
                <w:rFonts w:ascii="宋体" w:hAnsi="宋体" w:cs="宋体"/>
                <w:kern w:val="0"/>
                <w:szCs w:val="21"/>
              </w:rPr>
            </w:pPr>
            <w:r>
              <w:rPr>
                <w:rFonts w:hint="eastAsia" w:ascii="宋体" w:hAnsi="宋体" w:cs="宋体"/>
                <w:color w:val="000000"/>
                <w:kern w:val="0"/>
                <w:szCs w:val="21"/>
              </w:rPr>
              <w:t>重点建设用地安全利用率达到100%，或者达到95%以上且当年依法处罚、整改到位。</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ascii="Times New Roman" w:hAnsi="Times New Roman"/>
              </w:rPr>
            </w:pPr>
            <w:r>
              <w:rPr>
                <w:rFonts w:hint="eastAsia" w:ascii="Times New Roman" w:hAnsi="Times New Roman"/>
                <w:lang w:eastAsia="zh-CN"/>
              </w:rPr>
              <w:t>区</w:t>
            </w:r>
            <w:r>
              <w:rPr>
                <w:rFonts w:hint="eastAsia" w:ascii="Times New Roman" w:hAnsi="Times New Roman"/>
              </w:rPr>
              <w:t>生态环境局</w:t>
            </w:r>
          </w:p>
          <w:p>
            <w:pPr>
              <w:snapToGrid w:val="0"/>
              <w:ind w:left="-105" w:leftChars="-50" w:right="-105" w:rightChars="-50"/>
              <w:jc w:val="center"/>
              <w:rPr>
                <w:rFonts w:hint="eastAsia" w:ascii="Times New Roman" w:hAnsi="Times New Roman"/>
                <w:lang w:eastAsia="zh-CN"/>
              </w:rPr>
            </w:pPr>
            <w:r>
              <w:rPr>
                <w:rFonts w:hint="eastAsia" w:ascii="Times New Roman" w:hAnsi="Times New Roman"/>
                <w:lang w:eastAsia="zh-CN"/>
              </w:rPr>
              <w:t>市规划自然资源委</w:t>
            </w:r>
          </w:p>
          <w:p>
            <w:pPr>
              <w:snapToGrid w:val="0"/>
              <w:ind w:left="-105" w:leftChars="-50" w:right="-105" w:rightChars="-50"/>
              <w:jc w:val="center"/>
              <w:rPr>
                <w:rFonts w:hint="eastAsia" w:ascii="宋体" w:hAnsi="宋体" w:eastAsia="宋体" w:cs="宋体"/>
                <w:kern w:val="0"/>
                <w:szCs w:val="21"/>
                <w:lang w:val="en-US" w:eastAsia="zh-CN"/>
              </w:rPr>
            </w:pPr>
            <w:r>
              <w:rPr>
                <w:rFonts w:hint="eastAsia" w:ascii="Times New Roman" w:hAnsi="Times New Roman"/>
                <w:lang w:eastAsia="zh-CN"/>
              </w:rPr>
              <w:t>石景山分局</w:t>
            </w:r>
          </w:p>
        </w:tc>
        <w:tc>
          <w:tcPr>
            <w:tcW w:w="818" w:type="pct"/>
            <w:noWrap w:val="0"/>
            <w:vAlign w:val="center"/>
          </w:tcPr>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ascii="宋体" w:hAnsi="宋体" w:cs="宋体"/>
                <w:kern w:val="0"/>
                <w:szCs w:val="21"/>
              </w:rPr>
            </w:pPr>
            <w:r>
              <w:rPr>
                <w:rFonts w:hint="eastAsia" w:ascii="宋体" w:hAnsi="宋体" w:cs="宋体"/>
                <w:kern w:val="0"/>
                <w:szCs w:val="21"/>
              </w:rPr>
              <w:t>受污染建设用地采取工程阻隔等措施实施风险管控达到安全利用目标的，在核发建设工程规划许可证时，加强方案审查，避免后续开发建设对工程阻隔造成破坏。</w:t>
            </w:r>
          </w:p>
        </w:tc>
        <w:tc>
          <w:tcPr>
            <w:tcW w:w="432"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市规划自然资源委</w:t>
            </w:r>
          </w:p>
          <w:p>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lang w:eastAsia="zh-CN"/>
              </w:rPr>
              <w:t>石景山分局</w:t>
            </w:r>
          </w:p>
        </w:tc>
        <w:tc>
          <w:tcPr>
            <w:tcW w:w="818" w:type="pct"/>
            <w:noWrap w:val="0"/>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区住房城市建设委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000" w:type="pct"/>
            <w:gridSpan w:val="6"/>
            <w:noWrap w:val="0"/>
            <w:vAlign w:val="center"/>
          </w:tcPr>
          <w:p>
            <w:pPr>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三、有效保障</w:t>
            </w:r>
            <w:r>
              <w:rPr>
                <w:rFonts w:hint="eastAsia" w:ascii="黑体" w:hAnsi="黑体" w:eastAsia="黑体" w:cs="黑体"/>
                <w:kern w:val="0"/>
                <w:szCs w:val="21"/>
                <w:lang w:eastAsia="zh-CN"/>
              </w:rPr>
              <w:t>林地</w:t>
            </w:r>
            <w:r>
              <w:rPr>
                <w:rFonts w:hint="eastAsia" w:ascii="黑体" w:hAnsi="黑体" w:eastAsia="黑体" w:cs="黑体"/>
                <w:kern w:val="0"/>
                <w:szCs w:val="21"/>
              </w:rPr>
              <w:t>安全利用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278" w:type="pct"/>
            <w:noWrap w:val="0"/>
            <w:vAlign w:val="center"/>
          </w:tcPr>
          <w:p>
            <w:pPr>
              <w:widowControl/>
              <w:snapToGrid w:val="0"/>
              <w:ind w:left="-105" w:leftChars="-50" w:right="-105" w:rightChars="-5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406" w:type="pct"/>
            <w:noWrap w:val="0"/>
            <w:vAlign w:val="center"/>
          </w:tcPr>
          <w:p>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防控涉重金属污染</w:t>
            </w:r>
          </w:p>
        </w:tc>
        <w:tc>
          <w:tcPr>
            <w:tcW w:w="2086" w:type="pct"/>
            <w:noWrap w:val="0"/>
            <w:vAlign w:val="center"/>
          </w:tcPr>
          <w:p>
            <w:pPr>
              <w:widowControl/>
              <w:snapToGrid w:val="0"/>
              <w:jc w:val="left"/>
              <w:rPr>
                <w:rFonts w:hint="eastAsia" w:ascii="宋体" w:hAnsi="宋体" w:cs="宋体"/>
                <w:szCs w:val="21"/>
              </w:rPr>
            </w:pPr>
            <w:r>
              <w:rPr>
                <w:rFonts w:hint="eastAsia" w:ascii="宋体" w:hAnsi="宋体" w:cs="宋体"/>
                <w:kern w:val="0"/>
                <w:szCs w:val="21"/>
                <w:lang w:val="en-US" w:eastAsia="zh-CN"/>
              </w:rPr>
              <w:t>防控涉重金属重点行业污染。完成涉重金属行业企业、含电镀工序企业排查，防止污染。</w:t>
            </w:r>
          </w:p>
        </w:tc>
        <w:tc>
          <w:tcPr>
            <w:tcW w:w="432" w:type="pct"/>
            <w:noWrap w:val="0"/>
            <w:vAlign w:val="center"/>
          </w:tcPr>
          <w:p>
            <w:pPr>
              <w:adjustRightInd w:val="0"/>
              <w:snapToGrid w:val="0"/>
              <w:ind w:left="-105" w:leftChars="-50" w:right="-105" w:rightChars="-50"/>
              <w:jc w:val="center"/>
              <w:rPr>
                <w:rFonts w:hint="eastAsia" w:ascii="宋体" w:hAnsi="宋体" w:cs="宋体"/>
                <w:szCs w:val="21"/>
              </w:rPr>
            </w:pPr>
            <w:r>
              <w:rPr>
                <w:rFonts w:hint="eastAsia" w:ascii="宋体" w:hAnsi="宋体" w:cs="宋体"/>
                <w:kern w:val="0"/>
                <w:szCs w:val="21"/>
              </w:rPr>
              <w:t>年底前</w:t>
            </w:r>
          </w:p>
        </w:tc>
        <w:tc>
          <w:tcPr>
            <w:tcW w:w="978" w:type="pct"/>
            <w:noWrap w:val="0"/>
            <w:vAlign w:val="center"/>
          </w:tcPr>
          <w:p>
            <w:pPr>
              <w:snapToGrid w:val="0"/>
              <w:ind w:left="-105" w:leftChars="-50" w:right="-105" w:rightChars="-50"/>
              <w:jc w:val="center"/>
              <w:rPr>
                <w:rFonts w:hint="eastAsia" w:ascii="宋体" w:hAnsi="宋体" w:cs="宋体"/>
                <w:szCs w:val="21"/>
                <w:lang w:eastAsia="zh-CN"/>
              </w:rPr>
            </w:pPr>
            <w:r>
              <w:rPr>
                <w:rFonts w:hint="eastAsia" w:ascii="Times New Roman" w:hAnsi="Times New Roman"/>
                <w:lang w:eastAsia="zh-CN"/>
              </w:rPr>
              <w:t>区</w:t>
            </w:r>
            <w:r>
              <w:rPr>
                <w:rFonts w:hint="eastAsia" w:ascii="Times New Roman" w:hAnsi="Times New Roman"/>
              </w:rPr>
              <w:t>生态环境局</w:t>
            </w:r>
          </w:p>
        </w:tc>
        <w:tc>
          <w:tcPr>
            <w:tcW w:w="818" w:type="pct"/>
            <w:noWrap w:val="0"/>
            <w:vAlign w:val="center"/>
          </w:tcPr>
          <w:p>
            <w:pPr>
              <w:adjustRightInd w:val="0"/>
              <w:snapToGrid w:val="0"/>
              <w:ind w:left="-105" w:leftChars="-50" w:right="-105" w:rightChars="-50"/>
              <w:jc w:val="center"/>
              <w:rPr>
                <w:rFonts w:hint="eastAsia" w:ascii="宋体" w:hAnsi="宋体" w:cs="宋体"/>
                <w:szCs w:val="21"/>
                <w:lang w:eastAsia="zh-CN"/>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278" w:type="pct"/>
            <w:vMerge w:val="restart"/>
            <w:noWrap w:val="0"/>
            <w:vAlign w:val="center"/>
          </w:tcPr>
          <w:p>
            <w:pPr>
              <w:jc w:val="center"/>
              <w:rPr>
                <w:rFonts w:hint="eastAsia"/>
                <w:lang w:eastAsia="zh-CN"/>
              </w:rPr>
            </w:pPr>
            <w:r>
              <w:rPr>
                <w:rFonts w:hint="eastAsia"/>
                <w:lang w:val="en-US" w:eastAsia="zh-CN"/>
              </w:rPr>
              <w:t>7</w:t>
            </w:r>
          </w:p>
        </w:tc>
        <w:tc>
          <w:tcPr>
            <w:tcW w:w="406" w:type="pct"/>
            <w:vMerge w:val="restart"/>
            <w:noWrap w:val="0"/>
            <w:vAlign w:val="center"/>
          </w:tcPr>
          <w:p>
            <w:pPr>
              <w:jc w:val="center"/>
            </w:pPr>
            <w:r>
              <w:rPr>
                <w:rFonts w:hint="eastAsia"/>
              </w:rPr>
              <w:t>加强面源污染治理</w:t>
            </w:r>
          </w:p>
        </w:tc>
        <w:tc>
          <w:tcPr>
            <w:tcW w:w="2086" w:type="pct"/>
            <w:noWrap w:val="0"/>
            <w:vAlign w:val="center"/>
          </w:tcPr>
          <w:p>
            <w:pPr>
              <w:widowControl/>
              <w:snapToGrid w:val="0"/>
              <w:jc w:val="left"/>
              <w:rPr>
                <w:rFonts w:ascii="宋体" w:hAnsi="宋体" w:cs="宋体"/>
                <w:bCs/>
                <w:kern w:val="0"/>
                <w:szCs w:val="21"/>
                <w:highlight w:val="yellow"/>
              </w:rPr>
            </w:pPr>
            <w:r>
              <w:rPr>
                <w:rFonts w:hint="eastAsia"/>
              </w:rPr>
              <w:t>治理园林绿化面源污染。分类分区分级推进园林绿化农药减量，按照市级部门要求和部署</w:t>
            </w:r>
            <w:r>
              <w:rPr>
                <w:rFonts w:hint="eastAsia"/>
                <w:color w:val="auto"/>
              </w:rPr>
              <w:t>完成绿色防治技术示范</w:t>
            </w:r>
            <w:r>
              <w:rPr>
                <w:rFonts w:hint="eastAsia"/>
                <w:color w:val="auto"/>
                <w:lang w:eastAsia="zh-CN"/>
              </w:rPr>
              <w:t>工作</w:t>
            </w:r>
            <w:r>
              <w:rPr>
                <w:rFonts w:hint="eastAsia"/>
              </w:rPr>
              <w:t>。</w:t>
            </w:r>
          </w:p>
        </w:tc>
        <w:tc>
          <w:tcPr>
            <w:tcW w:w="432" w:type="pct"/>
            <w:noWrap w:val="0"/>
            <w:vAlign w:val="center"/>
          </w:tcPr>
          <w:p>
            <w:pPr>
              <w:adjustRightInd w:val="0"/>
              <w:snapToGrid w:val="0"/>
              <w:ind w:left="-105" w:leftChars="-50" w:right="-105" w:rightChars="-50"/>
              <w:jc w:val="center"/>
              <w:rPr>
                <w:rFonts w:ascii="宋体" w:hAnsi="宋体" w:cs="宋体"/>
                <w:szCs w:val="21"/>
                <w:highlight w:val="yellow"/>
              </w:rPr>
            </w:pPr>
            <w:r>
              <w:rPr>
                <w:rFonts w:hint="eastAsia"/>
              </w:rPr>
              <w:t>年底前</w:t>
            </w:r>
          </w:p>
        </w:tc>
        <w:tc>
          <w:tcPr>
            <w:tcW w:w="978" w:type="pct"/>
            <w:noWrap w:val="0"/>
            <w:vAlign w:val="center"/>
          </w:tcPr>
          <w:p>
            <w:pPr>
              <w:jc w:val="center"/>
            </w:pPr>
            <w:r>
              <w:rPr>
                <w:rFonts w:hint="eastAsia"/>
                <w:lang w:eastAsia="zh-CN"/>
              </w:rPr>
              <w:t>区</w:t>
            </w:r>
            <w:r>
              <w:rPr>
                <w:rFonts w:hint="eastAsia"/>
              </w:rPr>
              <w:t>园林绿化局</w:t>
            </w:r>
          </w:p>
        </w:tc>
        <w:tc>
          <w:tcPr>
            <w:tcW w:w="818" w:type="pct"/>
            <w:noWrap w:val="0"/>
            <w:vAlign w:val="center"/>
          </w:tcPr>
          <w:p>
            <w:pPr>
              <w:jc w:val="center"/>
            </w:pPr>
            <w:r>
              <w:rPr>
                <w:rFonts w:hint="eastAsia"/>
                <w:lang w:eastAsia="zh-CN"/>
              </w:rPr>
              <w:t>区</w:t>
            </w:r>
            <w:r>
              <w:rPr>
                <w:rFonts w:hint="eastAsia"/>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ascii="宋体" w:hAnsi="宋体" w:cs="宋体"/>
                <w:kern w:val="0"/>
                <w:szCs w:val="21"/>
              </w:rPr>
            </w:pPr>
          </w:p>
        </w:tc>
        <w:tc>
          <w:tcPr>
            <w:tcW w:w="2086" w:type="pct"/>
            <w:noWrap w:val="0"/>
            <w:vAlign w:val="center"/>
          </w:tcPr>
          <w:p>
            <w:pPr>
              <w:widowControl/>
              <w:snapToGrid w:val="0"/>
              <w:jc w:val="left"/>
              <w:rPr>
                <w:rFonts w:hint="eastAsia" w:ascii="宋体" w:hAnsi="宋体" w:eastAsia="宋体" w:cs="宋体"/>
                <w:bCs/>
                <w:kern w:val="0"/>
                <w:szCs w:val="21"/>
                <w:lang w:eastAsia="zh-CN"/>
              </w:rPr>
            </w:pPr>
            <w:r>
              <w:rPr>
                <w:rFonts w:hint="eastAsia" w:ascii="宋体" w:hAnsi="宋体" w:cs="宋体"/>
                <w:bCs/>
                <w:kern w:val="0"/>
                <w:szCs w:val="21"/>
              </w:rPr>
              <w:t>推进园林绿化有机废弃物生态循环利用。</w:t>
            </w:r>
            <w:r>
              <w:rPr>
                <w:rFonts w:hint="eastAsia" w:ascii="宋体" w:hAnsi="宋体" w:cs="宋体"/>
                <w:bCs/>
                <w:kern w:val="0"/>
                <w:szCs w:val="21"/>
                <w:lang w:eastAsia="zh-CN"/>
              </w:rPr>
              <w:t>在绿化有机废弃物垃圾堆肥试点工作的基础上，合理进行推广应用。</w:t>
            </w:r>
          </w:p>
        </w:tc>
        <w:tc>
          <w:tcPr>
            <w:tcW w:w="432" w:type="pct"/>
            <w:noWrap w:val="0"/>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978" w:type="pct"/>
            <w:noWrap w:val="0"/>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园林绿化局</w:t>
            </w:r>
          </w:p>
        </w:tc>
        <w:tc>
          <w:tcPr>
            <w:tcW w:w="818" w:type="pct"/>
            <w:noWrap w:val="0"/>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000" w:type="pct"/>
            <w:gridSpan w:val="6"/>
            <w:noWrap w:val="0"/>
            <w:vAlign w:val="center"/>
          </w:tcPr>
          <w:p>
            <w:pPr>
              <w:adjustRightInd w:val="0"/>
              <w:snapToGrid w:val="0"/>
              <w:ind w:left="-105" w:leftChars="-50" w:right="-105" w:rightChars="-50"/>
              <w:jc w:val="center"/>
              <w:rPr>
                <w:rFonts w:ascii="宋体" w:hAnsi="宋体" w:cs="宋体"/>
                <w:szCs w:val="21"/>
              </w:rPr>
            </w:pPr>
            <w:r>
              <w:rPr>
                <w:rFonts w:hint="eastAsia" w:ascii="黑体" w:hAnsi="黑体" w:eastAsia="黑体" w:cs="黑体"/>
                <w:szCs w:val="21"/>
              </w:rPr>
              <w:t>四、持续完善未利用地保护管理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278" w:type="pct"/>
            <w:noWrap w:val="0"/>
            <w:vAlign w:val="center"/>
          </w:tcPr>
          <w:p>
            <w:pPr>
              <w:widowControl/>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406" w:type="pct"/>
            <w:noWrap w:val="0"/>
            <w:vAlign w:val="center"/>
          </w:tcPr>
          <w:p>
            <w:pPr>
              <w:widowControl/>
              <w:snapToGrid w:val="0"/>
              <w:jc w:val="center"/>
              <w:rPr>
                <w:rFonts w:ascii="宋体" w:hAnsi="宋体" w:cs="宋体"/>
                <w:kern w:val="0"/>
                <w:szCs w:val="21"/>
              </w:rPr>
            </w:pPr>
            <w:r>
              <w:rPr>
                <w:rFonts w:hint="eastAsia" w:ascii="宋体" w:hAnsi="宋体" w:cs="宋体"/>
                <w:kern w:val="0"/>
                <w:szCs w:val="21"/>
              </w:rPr>
              <w:t>完善未利用地闭合管控</w:t>
            </w:r>
          </w:p>
        </w:tc>
        <w:tc>
          <w:tcPr>
            <w:tcW w:w="2086" w:type="pct"/>
            <w:noWrap w:val="0"/>
            <w:vAlign w:val="center"/>
          </w:tcPr>
          <w:p>
            <w:pPr>
              <w:widowControl/>
              <w:snapToGrid w:val="0"/>
              <w:jc w:val="left"/>
              <w:rPr>
                <w:rFonts w:ascii="宋体" w:hAnsi="宋体" w:cs="宋体"/>
                <w:bCs/>
                <w:kern w:val="0"/>
                <w:szCs w:val="21"/>
              </w:rPr>
            </w:pPr>
            <w:r>
              <w:rPr>
                <w:rFonts w:hint="eastAsia" w:ascii="宋体" w:hAnsi="宋体" w:cs="宋体"/>
                <w:bCs/>
                <w:kern w:val="0"/>
                <w:szCs w:val="21"/>
                <w:u w:val="none"/>
                <w:lang w:eastAsia="zh-CN"/>
              </w:rPr>
              <w:t>按照市级部门要求和部署，</w:t>
            </w:r>
            <w:r>
              <w:rPr>
                <w:rFonts w:hint="eastAsia" w:ascii="宋体" w:hAnsi="宋体" w:cs="宋体"/>
                <w:bCs/>
                <w:kern w:val="0"/>
                <w:szCs w:val="21"/>
                <w:u w:val="none"/>
              </w:rPr>
              <w:t>更新未利用地地块管理台账，完善对未利用地的监督管理。</w:t>
            </w:r>
          </w:p>
        </w:tc>
        <w:tc>
          <w:tcPr>
            <w:tcW w:w="432" w:type="pct"/>
            <w:noWrap w:val="0"/>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978" w:type="pct"/>
            <w:noWrap w:val="0"/>
            <w:vAlign w:val="center"/>
          </w:tcPr>
          <w:p>
            <w:pPr>
              <w:adjustRightInd w:val="0"/>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市规划自然资源委</w:t>
            </w:r>
          </w:p>
          <w:p>
            <w:pPr>
              <w:adjustRightInd w:val="0"/>
              <w:snapToGrid w:val="0"/>
              <w:ind w:left="-105" w:leftChars="-50" w:right="-105" w:rightChars="-50"/>
              <w:jc w:val="center"/>
              <w:rPr>
                <w:rFonts w:hint="eastAsia" w:ascii="宋体" w:hAnsi="宋体" w:eastAsia="宋体" w:cs="宋体"/>
                <w:szCs w:val="21"/>
                <w:lang w:eastAsia="zh-CN"/>
              </w:rPr>
            </w:pPr>
            <w:r>
              <w:rPr>
                <w:rFonts w:hint="eastAsia" w:ascii="宋体" w:hAnsi="宋体" w:cs="宋体"/>
                <w:kern w:val="0"/>
                <w:szCs w:val="21"/>
                <w:lang w:eastAsia="zh-CN"/>
              </w:rPr>
              <w:t>石景山分局</w:t>
            </w:r>
          </w:p>
        </w:tc>
        <w:tc>
          <w:tcPr>
            <w:tcW w:w="818" w:type="pct"/>
            <w:noWrap w:val="0"/>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lang w:eastAsia="zh-CN"/>
              </w:rPr>
              <w:t>区</w:t>
            </w:r>
            <w:r>
              <w:rPr>
                <w:rFonts w:hint="eastAsia" w:ascii="宋体" w:hAnsi="宋体" w:cs="宋体"/>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trPr>
        <w:tc>
          <w:tcPr>
            <w:tcW w:w="278" w:type="pct"/>
            <w:noWrap w:val="0"/>
            <w:vAlign w:val="center"/>
          </w:tcPr>
          <w:p>
            <w:pPr>
              <w:jc w:val="center"/>
              <w:rPr>
                <w:rFonts w:hint="eastAsia"/>
                <w:lang w:eastAsia="zh-CN"/>
              </w:rPr>
            </w:pPr>
            <w:r>
              <w:rPr>
                <w:rFonts w:hint="eastAsia"/>
                <w:lang w:val="en-US" w:eastAsia="zh-CN"/>
              </w:rPr>
              <w:t>9</w:t>
            </w:r>
          </w:p>
        </w:tc>
        <w:tc>
          <w:tcPr>
            <w:tcW w:w="406" w:type="pct"/>
            <w:noWrap w:val="0"/>
            <w:vAlign w:val="center"/>
          </w:tcPr>
          <w:p>
            <w:pPr>
              <w:jc w:val="center"/>
            </w:pPr>
            <w:r>
              <w:rPr>
                <w:rFonts w:hint="eastAsia"/>
              </w:rPr>
              <w:t>防控未利用地土壤污染</w:t>
            </w:r>
          </w:p>
        </w:tc>
        <w:tc>
          <w:tcPr>
            <w:tcW w:w="2086" w:type="pct"/>
            <w:noWrap w:val="0"/>
            <w:vAlign w:val="center"/>
          </w:tcPr>
          <w:p>
            <w:pPr>
              <w:jc w:val="center"/>
            </w:pPr>
            <w:r>
              <w:rPr>
                <w:rFonts w:hint="eastAsia"/>
              </w:rPr>
              <w:t>加强未利用地保护。组织对未利用地定期开展巡查。巡查检查发现违法占用未利用地的，及时整改；发现未利用地被污染的，督促清除污染、实施修复。</w:t>
            </w:r>
          </w:p>
        </w:tc>
        <w:tc>
          <w:tcPr>
            <w:tcW w:w="432" w:type="pct"/>
            <w:noWrap w:val="0"/>
            <w:vAlign w:val="center"/>
          </w:tcPr>
          <w:p>
            <w:pPr>
              <w:jc w:val="center"/>
            </w:pPr>
            <w:r>
              <w:rPr>
                <w:rFonts w:hint="eastAsia"/>
              </w:rPr>
              <w:t>年底前</w:t>
            </w:r>
          </w:p>
        </w:tc>
        <w:tc>
          <w:tcPr>
            <w:tcW w:w="978" w:type="pct"/>
            <w:noWrap w:val="0"/>
            <w:vAlign w:val="center"/>
          </w:tcPr>
          <w:p>
            <w:pPr>
              <w:jc w:val="center"/>
              <w:rPr>
                <w:rFonts w:hint="eastAsia"/>
                <w:lang w:eastAsia="zh-CN"/>
              </w:rPr>
            </w:pPr>
            <w:r>
              <w:rPr>
                <w:rFonts w:hint="eastAsia"/>
                <w:lang w:eastAsia="zh-CN"/>
              </w:rPr>
              <w:t>市规划自然资源委</w:t>
            </w:r>
          </w:p>
          <w:p>
            <w:pPr>
              <w:jc w:val="center"/>
              <w:rPr>
                <w:rFonts w:hint="eastAsia"/>
                <w:lang w:eastAsia="zh-CN"/>
              </w:rPr>
            </w:pPr>
            <w:r>
              <w:rPr>
                <w:rFonts w:hint="eastAsia"/>
                <w:lang w:eastAsia="zh-CN"/>
              </w:rPr>
              <w:t>石景山分局</w:t>
            </w:r>
          </w:p>
        </w:tc>
        <w:tc>
          <w:tcPr>
            <w:tcW w:w="818" w:type="pct"/>
            <w:noWrap w:val="0"/>
            <w:vAlign w:val="center"/>
          </w:tcPr>
          <w:p>
            <w:pPr>
              <w:jc w:val="center"/>
              <w:rPr>
                <w:rFonts w:hint="eastAsia"/>
                <w:lang w:eastAsia="zh-CN"/>
              </w:rPr>
            </w:pPr>
            <w:r>
              <w:rPr>
                <w:rFonts w:hint="eastAsia"/>
                <w:lang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000" w:type="pct"/>
            <w:gridSpan w:val="6"/>
            <w:noWrap w:val="0"/>
            <w:vAlign w:val="center"/>
          </w:tcPr>
          <w:p>
            <w:pPr>
              <w:adjustRightInd w:val="0"/>
              <w:snapToGrid w:val="0"/>
              <w:ind w:left="-105" w:leftChars="-50" w:right="-105" w:rightChars="-50"/>
              <w:jc w:val="center"/>
              <w:rPr>
                <w:rFonts w:ascii="宋体" w:hAnsi="宋体" w:cs="宋体"/>
                <w:szCs w:val="21"/>
              </w:rPr>
            </w:pPr>
            <w:r>
              <w:rPr>
                <w:rFonts w:hint="eastAsia" w:ascii="黑体" w:hAnsi="黑体" w:eastAsia="黑体" w:cs="黑体"/>
                <w:szCs w:val="21"/>
              </w:rPr>
              <w:t>五、完善土壤污染防治体系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278" w:type="pct"/>
            <w:noWrap w:val="0"/>
            <w:vAlign w:val="center"/>
          </w:tcPr>
          <w:p>
            <w:pPr>
              <w:widowControl/>
              <w:snapToGrid w:val="0"/>
              <w:ind w:left="-105" w:leftChars="-50" w:right="-105" w:rightChars="-5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0</w:t>
            </w:r>
          </w:p>
        </w:tc>
        <w:tc>
          <w:tcPr>
            <w:tcW w:w="406" w:type="pct"/>
            <w:noWrap w:val="0"/>
            <w:vAlign w:val="center"/>
          </w:tcPr>
          <w:p>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完善管理体系</w:t>
            </w:r>
          </w:p>
        </w:tc>
        <w:tc>
          <w:tcPr>
            <w:tcW w:w="2086" w:type="pct"/>
            <w:noWrap w:val="0"/>
            <w:vAlign w:val="center"/>
          </w:tcPr>
          <w:p>
            <w:pPr>
              <w:rPr>
                <w:rFonts w:ascii="宋体" w:hAnsi="宋体" w:cs="宋体"/>
                <w:kern w:val="0"/>
                <w:szCs w:val="21"/>
                <w:highlight w:val="none"/>
              </w:rPr>
            </w:pPr>
            <w:r>
              <w:rPr>
                <w:rFonts w:hint="eastAsia" w:ascii="宋体" w:hAnsi="宋体" w:cs="宋体"/>
                <w:kern w:val="0"/>
                <w:szCs w:val="21"/>
                <w:highlight w:val="none"/>
              </w:rPr>
              <w:t>共享土壤污染防治信息。涉及用途变更为住宅或公共管理与公共服务用地的、重点行业企业生产经营用地用途变更或者土地使用权收回及转让的，</w:t>
            </w:r>
            <w:r>
              <w:rPr>
                <w:rFonts w:hint="eastAsia" w:ascii="宋体" w:hAnsi="宋体" w:cs="宋体"/>
                <w:kern w:val="0"/>
                <w:szCs w:val="21"/>
                <w:highlight w:val="none"/>
                <w:lang w:eastAsia="zh-CN"/>
              </w:rPr>
              <w:t>市规划自然资源委石景山分局</w:t>
            </w:r>
            <w:r>
              <w:rPr>
                <w:rFonts w:hint="eastAsia" w:ascii="Times New Roman" w:hAnsi="宋体" w:cs="宋体"/>
                <w:bCs/>
                <w:kern w:val="0"/>
                <w:szCs w:val="21"/>
                <w:highlight w:val="none"/>
              </w:rPr>
              <w:t>及时与</w:t>
            </w:r>
            <w:r>
              <w:rPr>
                <w:rFonts w:hint="eastAsia" w:ascii="Times New Roman" w:hAnsi="宋体" w:cs="宋体"/>
                <w:bCs/>
                <w:kern w:val="0"/>
                <w:szCs w:val="21"/>
                <w:highlight w:val="none"/>
                <w:lang w:eastAsia="zh-CN"/>
              </w:rPr>
              <w:t>区</w:t>
            </w:r>
            <w:r>
              <w:rPr>
                <w:rFonts w:hint="eastAsia" w:ascii="Times New Roman" w:hAnsi="宋体" w:cs="宋体"/>
                <w:bCs/>
                <w:kern w:val="0"/>
                <w:szCs w:val="21"/>
                <w:highlight w:val="none"/>
              </w:rPr>
              <w:t>生态环境</w:t>
            </w:r>
            <w:r>
              <w:rPr>
                <w:rFonts w:hint="eastAsia" w:ascii="Times New Roman" w:hAnsi="宋体" w:cs="宋体"/>
                <w:bCs/>
                <w:kern w:val="0"/>
                <w:szCs w:val="21"/>
                <w:highlight w:val="none"/>
                <w:lang w:eastAsia="zh-CN"/>
              </w:rPr>
              <w:t>局</w:t>
            </w:r>
            <w:r>
              <w:rPr>
                <w:rFonts w:hint="eastAsia" w:ascii="Times New Roman" w:hAnsi="宋体" w:cs="宋体"/>
                <w:bCs/>
                <w:kern w:val="0"/>
                <w:szCs w:val="21"/>
                <w:highlight w:val="none"/>
              </w:rPr>
              <w:t>共享相关信息。</w:t>
            </w:r>
          </w:p>
        </w:tc>
        <w:tc>
          <w:tcPr>
            <w:tcW w:w="432" w:type="pct"/>
            <w:noWrap w:val="0"/>
            <w:vAlign w:val="center"/>
          </w:tcPr>
          <w:p>
            <w:pPr>
              <w:adjustRightInd w:val="0"/>
              <w:snapToGrid w:val="0"/>
              <w:ind w:left="-105" w:leftChars="-50" w:right="-105" w:rightChars="-50"/>
              <w:jc w:val="center"/>
              <w:rPr>
                <w:rFonts w:hint="eastAsia" w:ascii="宋体" w:hAnsi="宋体" w:cs="宋体"/>
                <w:szCs w:val="21"/>
                <w:highlight w:val="none"/>
              </w:rPr>
            </w:pPr>
            <w:r>
              <w:rPr>
                <w:rFonts w:hint="eastAsia" w:ascii="宋体" w:hAnsi="宋体" w:cs="宋体"/>
                <w:szCs w:val="21"/>
                <w:highlight w:val="none"/>
              </w:rPr>
              <w:t>年底前</w:t>
            </w:r>
          </w:p>
        </w:tc>
        <w:tc>
          <w:tcPr>
            <w:tcW w:w="978" w:type="pct"/>
            <w:noWrap w:val="0"/>
            <w:vAlign w:val="center"/>
          </w:tcPr>
          <w:p>
            <w:pPr>
              <w:adjustRightInd w:val="0"/>
              <w:snapToGrid w:val="0"/>
              <w:ind w:left="-105" w:leftChars="-50" w:right="-105" w:rightChars="-5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市规划自然资源委</w:t>
            </w:r>
          </w:p>
          <w:p>
            <w:pPr>
              <w:adjustRightInd w:val="0"/>
              <w:snapToGrid w:val="0"/>
              <w:ind w:left="-105" w:leftChars="-50" w:right="-105" w:rightChars="-5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石景山分局</w:t>
            </w:r>
          </w:p>
          <w:p>
            <w:pPr>
              <w:adjustRightInd w:val="0"/>
              <w:snapToGrid w:val="0"/>
              <w:ind w:left="-105" w:leftChars="-50" w:right="-105" w:rightChars="-50"/>
              <w:jc w:val="center"/>
              <w:rPr>
                <w:rFonts w:hint="eastAsia" w:ascii="宋体" w:hAnsi="宋体" w:cs="宋体"/>
                <w:szCs w:val="21"/>
                <w:highlight w:val="none"/>
              </w:rPr>
            </w:pPr>
            <w:r>
              <w:rPr>
                <w:rFonts w:hint="eastAsia" w:ascii="宋体" w:hAnsi="宋体" w:cs="宋体"/>
                <w:szCs w:val="21"/>
                <w:highlight w:val="none"/>
                <w:lang w:eastAsia="zh-CN"/>
              </w:rPr>
              <w:t>区</w:t>
            </w:r>
            <w:r>
              <w:rPr>
                <w:rFonts w:hint="eastAsia" w:ascii="宋体" w:hAnsi="宋体" w:cs="宋体"/>
                <w:szCs w:val="21"/>
                <w:highlight w:val="none"/>
              </w:rPr>
              <w:t>生态环境局</w:t>
            </w:r>
          </w:p>
        </w:tc>
        <w:tc>
          <w:tcPr>
            <w:tcW w:w="818" w:type="pct"/>
            <w:noWrap w:val="0"/>
            <w:vAlign w:val="center"/>
          </w:tcPr>
          <w:p>
            <w:pPr>
              <w:adjustRightInd w:val="0"/>
              <w:snapToGrid w:val="0"/>
              <w:ind w:left="-105" w:leftChars="-50" w:right="-105" w:rightChars="-50"/>
              <w:jc w:val="center"/>
              <w:rPr>
                <w:rFonts w:hint="eastAsia"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5000" w:type="pct"/>
            <w:gridSpan w:val="6"/>
            <w:noWrap w:val="0"/>
            <w:vAlign w:val="center"/>
          </w:tcPr>
          <w:p>
            <w:pPr>
              <w:adjustRightInd w:val="0"/>
              <w:snapToGrid w:val="0"/>
              <w:ind w:left="-105" w:leftChars="-50" w:right="-105" w:rightChars="-50"/>
              <w:jc w:val="center"/>
              <w:rPr>
                <w:rFonts w:hint="eastAsia" w:ascii="宋体" w:hAnsi="宋体" w:cs="宋体"/>
                <w:szCs w:val="21"/>
              </w:rPr>
            </w:pPr>
            <w:r>
              <w:rPr>
                <w:rFonts w:hint="eastAsia" w:ascii="黑体" w:hAnsi="黑体" w:eastAsia="黑体" w:cs="黑体"/>
                <w:szCs w:val="21"/>
              </w:rPr>
              <w:t>六、加强固体废物管理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78" w:type="pct"/>
            <w:noWrap w:val="0"/>
            <w:vAlign w:val="center"/>
          </w:tcPr>
          <w:p>
            <w:pPr>
              <w:jc w:val="center"/>
              <w:rPr>
                <w:rFonts w:hint="eastAsia"/>
                <w:lang w:eastAsia="zh-CN"/>
              </w:rPr>
            </w:pPr>
            <w:r>
              <w:rPr>
                <w:rFonts w:hint="eastAsia"/>
              </w:rPr>
              <w:t>1</w:t>
            </w:r>
            <w:r>
              <w:rPr>
                <w:rFonts w:hint="eastAsia"/>
                <w:lang w:val="en-US" w:eastAsia="zh-CN"/>
              </w:rPr>
              <w:t>1</w:t>
            </w:r>
          </w:p>
        </w:tc>
        <w:tc>
          <w:tcPr>
            <w:tcW w:w="406" w:type="pct"/>
            <w:noWrap w:val="0"/>
            <w:vAlign w:val="center"/>
          </w:tcPr>
          <w:p>
            <w:pPr>
              <w:jc w:val="center"/>
              <w:rPr>
                <w:rFonts w:hint="eastAsia"/>
              </w:rPr>
            </w:pPr>
            <w:r>
              <w:rPr>
                <w:rFonts w:hint="eastAsia"/>
              </w:rPr>
              <w:t>提升危险废物收运处置能力</w:t>
            </w:r>
          </w:p>
        </w:tc>
        <w:tc>
          <w:tcPr>
            <w:tcW w:w="2086" w:type="pct"/>
            <w:noWrap w:val="0"/>
            <w:vAlign w:val="center"/>
          </w:tcPr>
          <w:p>
            <w:pPr>
              <w:jc w:val="center"/>
              <w:rPr>
                <w:rFonts w:hint="eastAsia"/>
              </w:rPr>
            </w:pPr>
            <w:r>
              <w:rPr>
                <w:rFonts w:hint="eastAsia"/>
              </w:rPr>
              <w:t>完善“小箱进大箱”等工作机制，健全小微医疗机构医废收运体系。</w:t>
            </w:r>
          </w:p>
        </w:tc>
        <w:tc>
          <w:tcPr>
            <w:tcW w:w="432" w:type="pct"/>
            <w:noWrap w:val="0"/>
            <w:vAlign w:val="center"/>
          </w:tcPr>
          <w:p>
            <w:pPr>
              <w:jc w:val="center"/>
              <w:rPr>
                <w:rFonts w:hint="eastAsia"/>
              </w:rPr>
            </w:pPr>
            <w:r>
              <w:rPr>
                <w:rFonts w:hint="eastAsia"/>
              </w:rPr>
              <w:t>年底前</w:t>
            </w:r>
          </w:p>
        </w:tc>
        <w:tc>
          <w:tcPr>
            <w:tcW w:w="978" w:type="pct"/>
            <w:noWrap w:val="0"/>
            <w:vAlign w:val="center"/>
          </w:tcPr>
          <w:p>
            <w:pPr>
              <w:jc w:val="center"/>
              <w:rPr>
                <w:rFonts w:hint="eastAsia"/>
                <w:lang w:eastAsia="zh-CN"/>
              </w:rPr>
            </w:pPr>
            <w:r>
              <w:rPr>
                <w:rFonts w:hint="eastAsia"/>
                <w:lang w:eastAsia="zh-CN"/>
              </w:rPr>
              <w:t>区</w:t>
            </w:r>
            <w:r>
              <w:rPr>
                <w:rFonts w:hint="eastAsia"/>
              </w:rPr>
              <w:t>卫健委</w:t>
            </w:r>
          </w:p>
          <w:p>
            <w:pPr>
              <w:jc w:val="center"/>
              <w:rPr>
                <w:rFonts w:hint="eastAsia"/>
                <w:lang w:eastAsia="zh-CN"/>
              </w:rPr>
            </w:pPr>
            <w:r>
              <w:rPr>
                <w:rFonts w:hint="eastAsia"/>
                <w:lang w:eastAsia="zh-CN"/>
              </w:rPr>
              <w:t>区</w:t>
            </w:r>
            <w:r>
              <w:rPr>
                <w:rFonts w:hint="eastAsia"/>
              </w:rPr>
              <w:t>生态环境局</w:t>
            </w:r>
          </w:p>
        </w:tc>
        <w:tc>
          <w:tcPr>
            <w:tcW w:w="818" w:type="pct"/>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278" w:type="pct"/>
            <w:noWrap w:val="0"/>
            <w:vAlign w:val="center"/>
          </w:tcPr>
          <w:p>
            <w:pPr>
              <w:widowControl/>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406" w:type="pct"/>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推动“无废城市”建设</w:t>
            </w:r>
          </w:p>
        </w:tc>
        <w:tc>
          <w:tcPr>
            <w:tcW w:w="2086" w:type="pct"/>
            <w:noWrap w:val="0"/>
            <w:vAlign w:val="center"/>
          </w:tcPr>
          <w:p>
            <w:pPr>
              <w:widowControl/>
              <w:snapToGrid w:val="0"/>
              <w:jc w:val="left"/>
              <w:rPr>
                <w:rFonts w:hint="eastAsia" w:ascii="宋体" w:hAnsi="宋体" w:eastAsia="宋体" w:cs="宋体"/>
                <w:kern w:val="0"/>
                <w:szCs w:val="21"/>
                <w:lang w:eastAsia="zh-CN"/>
              </w:rPr>
            </w:pPr>
            <w:r>
              <w:rPr>
                <w:rFonts w:hint="eastAsia" w:ascii="宋体" w:hAnsi="宋体" w:cs="宋体"/>
                <w:kern w:val="0"/>
                <w:szCs w:val="21"/>
              </w:rPr>
              <w:t>开展</w:t>
            </w:r>
            <w:r>
              <w:rPr>
                <w:rFonts w:hint="eastAsia" w:ascii="宋体" w:hAnsi="宋体" w:cs="宋体"/>
                <w:kern w:val="0"/>
                <w:szCs w:val="21"/>
                <w:lang w:eastAsia="zh-CN"/>
              </w:rPr>
              <w:t>“无废细胞”创建工作研究，推动开展</w:t>
            </w:r>
            <w:r>
              <w:rPr>
                <w:rFonts w:hint="eastAsia" w:ascii="宋体" w:hAnsi="宋体" w:cs="宋体"/>
                <w:kern w:val="0"/>
                <w:szCs w:val="21"/>
              </w:rPr>
              <w:t>“无废校园”</w:t>
            </w:r>
            <w:r>
              <w:rPr>
                <w:rFonts w:hint="eastAsia" w:ascii="宋体" w:hAnsi="宋体" w:cs="宋体"/>
                <w:kern w:val="0"/>
                <w:szCs w:val="21"/>
                <w:lang w:val="en-US" w:eastAsia="zh-CN"/>
              </w:rPr>
              <w:t xml:space="preserve"> 等</w:t>
            </w:r>
            <w:r>
              <w:rPr>
                <w:rFonts w:hint="eastAsia" w:ascii="宋体" w:hAnsi="宋体" w:cs="宋体"/>
                <w:kern w:val="0"/>
                <w:szCs w:val="21"/>
              </w:rPr>
              <w:t>“无废细胞”</w:t>
            </w:r>
            <w:r>
              <w:rPr>
                <w:rFonts w:hint="eastAsia" w:ascii="宋体" w:hAnsi="宋体" w:cs="宋体"/>
                <w:kern w:val="0"/>
                <w:szCs w:val="21"/>
                <w:lang w:eastAsia="zh-CN"/>
              </w:rPr>
              <w:t>试点</w:t>
            </w:r>
            <w:r>
              <w:rPr>
                <w:rFonts w:hint="eastAsia" w:ascii="宋体" w:hAnsi="宋体" w:cs="宋体"/>
                <w:kern w:val="0"/>
                <w:szCs w:val="21"/>
              </w:rPr>
              <w:t>建设</w:t>
            </w:r>
            <w:r>
              <w:rPr>
                <w:rFonts w:hint="eastAsia" w:ascii="宋体" w:hAnsi="宋体" w:cs="宋体"/>
                <w:kern w:val="0"/>
                <w:szCs w:val="21"/>
                <w:lang w:eastAsia="zh-CN"/>
              </w:rPr>
              <w:t>；编制“无废城市”建设方案，推动全区“无废城市”建设工作。</w:t>
            </w:r>
          </w:p>
        </w:tc>
        <w:tc>
          <w:tcPr>
            <w:tcW w:w="432" w:type="pct"/>
            <w:noWrap w:val="0"/>
            <w:vAlign w:val="center"/>
          </w:tcPr>
          <w:p>
            <w:pPr>
              <w:adjustRightInd w:val="0"/>
              <w:snapToGrid w:val="0"/>
              <w:ind w:left="-105" w:leftChars="-50" w:right="-105" w:rightChars="-50"/>
              <w:jc w:val="center"/>
              <w:rPr>
                <w:rFonts w:hint="eastAsia" w:ascii="宋体" w:hAnsi="宋体" w:cs="宋体"/>
                <w:szCs w:val="21"/>
              </w:rPr>
            </w:pPr>
            <w:r>
              <w:rPr>
                <w:rFonts w:hint="eastAsia" w:ascii="宋体" w:hAnsi="宋体" w:cs="宋体"/>
                <w:kern w:val="0"/>
                <w:szCs w:val="21"/>
              </w:rPr>
              <w:t>年底前</w:t>
            </w:r>
          </w:p>
        </w:tc>
        <w:tc>
          <w:tcPr>
            <w:tcW w:w="978" w:type="pct"/>
            <w:noWrap w:val="0"/>
            <w:vAlign w:val="center"/>
          </w:tcPr>
          <w:p>
            <w:pPr>
              <w:adjustRightInd w:val="0"/>
              <w:snapToGrid w:val="0"/>
              <w:spacing w:line="216" w:lineRule="auto"/>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pPr>
              <w:adjustRightInd w:val="0"/>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区教委</w:t>
            </w:r>
          </w:p>
        </w:tc>
        <w:tc>
          <w:tcPr>
            <w:tcW w:w="818" w:type="pct"/>
            <w:noWrap w:val="0"/>
            <w:vAlign w:val="center"/>
          </w:tcPr>
          <w:p>
            <w:pPr>
              <w:adjustRightInd w:val="0"/>
              <w:snapToGrid w:val="0"/>
              <w:ind w:left="-105" w:leftChars="-50" w:right="-105"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78" w:type="pct"/>
            <w:vMerge w:val="restart"/>
            <w:noWrap w:val="0"/>
            <w:vAlign w:val="center"/>
          </w:tcPr>
          <w:p>
            <w:pPr>
              <w:widowControl/>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3</w:t>
            </w:r>
          </w:p>
        </w:tc>
        <w:tc>
          <w:tcPr>
            <w:tcW w:w="406" w:type="pct"/>
            <w:vMerge w:val="restart"/>
            <w:noWrap w:val="0"/>
            <w:vAlign w:val="center"/>
          </w:tcPr>
          <w:p>
            <w:pPr>
              <w:widowControl/>
              <w:snapToGrid w:val="0"/>
              <w:jc w:val="center"/>
              <w:rPr>
                <w:rFonts w:hint="eastAsia" w:ascii="宋体" w:hAnsi="宋体" w:cs="宋体"/>
                <w:kern w:val="0"/>
                <w:szCs w:val="21"/>
              </w:rPr>
            </w:pPr>
            <w:r>
              <w:rPr>
                <w:rFonts w:hint="eastAsia" w:ascii="宋体" w:hAnsi="宋体" w:cs="宋体"/>
                <w:kern w:val="0"/>
                <w:szCs w:val="21"/>
              </w:rPr>
              <w:t>加强新污染物治理</w:t>
            </w:r>
          </w:p>
        </w:tc>
        <w:tc>
          <w:tcPr>
            <w:tcW w:w="2086" w:type="pct"/>
            <w:noWrap w:val="0"/>
            <w:vAlign w:val="center"/>
          </w:tcPr>
          <w:p>
            <w:pPr>
              <w:widowControl/>
              <w:snapToGrid w:val="0"/>
              <w:jc w:val="left"/>
              <w:rPr>
                <w:rFonts w:hint="eastAsia" w:ascii="宋体" w:hAnsi="宋体" w:cs="宋体"/>
                <w:kern w:val="0"/>
                <w:szCs w:val="21"/>
              </w:rPr>
            </w:pPr>
            <w:r>
              <w:rPr>
                <w:rFonts w:hint="eastAsia" w:ascii="宋体" w:hAnsi="宋体" w:cs="宋体"/>
                <w:bCs/>
                <w:kern w:val="0"/>
                <w:szCs w:val="21"/>
                <w:lang w:eastAsia="zh-CN"/>
              </w:rPr>
              <w:t>按照市级部门要求和部署，</w:t>
            </w:r>
            <w:r>
              <w:rPr>
                <w:rFonts w:hint="eastAsia" w:ascii="宋体" w:hAnsi="宋体" w:cs="宋体"/>
                <w:kern w:val="0"/>
                <w:szCs w:val="21"/>
              </w:rPr>
              <w:t>完成2025年度化学物质环境信息统计调查工作。</w:t>
            </w:r>
          </w:p>
        </w:tc>
        <w:tc>
          <w:tcPr>
            <w:tcW w:w="432" w:type="pct"/>
            <w:noWrap w:val="0"/>
            <w:vAlign w:val="center"/>
          </w:tcPr>
          <w:p>
            <w:pPr>
              <w:adjustRightInd w:val="0"/>
              <w:snapToGrid w:val="0"/>
              <w:ind w:left="-105" w:leftChars="-50" w:right="-105" w:rightChars="-50"/>
              <w:jc w:val="center"/>
              <w:rPr>
                <w:rFonts w:hint="eastAsia" w:ascii="宋体" w:hAnsi="宋体" w:cs="宋体"/>
                <w:szCs w:val="21"/>
              </w:rPr>
            </w:pPr>
            <w:r>
              <w:rPr>
                <w:rFonts w:hint="eastAsia" w:ascii="宋体" w:hAnsi="宋体" w:cs="宋体"/>
                <w:kern w:val="0"/>
                <w:szCs w:val="21"/>
              </w:rPr>
              <w:t>3月底</w:t>
            </w:r>
          </w:p>
        </w:tc>
        <w:tc>
          <w:tcPr>
            <w:tcW w:w="978" w:type="pct"/>
            <w:noWrap w:val="0"/>
            <w:vAlign w:val="center"/>
          </w:tcPr>
          <w:p>
            <w:pPr>
              <w:adjustRightInd w:val="0"/>
              <w:snapToGrid w:val="0"/>
              <w:spacing w:line="216" w:lineRule="auto"/>
              <w:ind w:left="-105" w:leftChars="-50" w:right="-105" w:rightChars="-50"/>
              <w:jc w:val="center"/>
              <w:rPr>
                <w:rFonts w:ascii="Times New Roman" w:hAnsi="Times New Roman"/>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818" w:type="pct"/>
            <w:noWrap w:val="0"/>
            <w:vAlign w:val="center"/>
          </w:tcPr>
          <w:p>
            <w:pPr>
              <w:adjustRightInd w:val="0"/>
              <w:snapToGrid w:val="0"/>
              <w:ind w:left="-105" w:leftChars="-50" w:right="-105"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278" w:type="pct"/>
            <w:vMerge w:val="continue"/>
            <w:noWrap w:val="0"/>
            <w:vAlign w:val="center"/>
          </w:tcPr>
          <w:p>
            <w:pPr>
              <w:widowControl/>
              <w:snapToGrid w:val="0"/>
              <w:ind w:left="-105" w:leftChars="-50" w:right="-105" w:rightChars="-50"/>
              <w:jc w:val="center"/>
              <w:rPr>
                <w:rFonts w:ascii="宋体" w:hAnsi="宋体" w:cs="宋体"/>
                <w:kern w:val="0"/>
                <w:szCs w:val="21"/>
              </w:rPr>
            </w:pPr>
          </w:p>
        </w:tc>
        <w:tc>
          <w:tcPr>
            <w:tcW w:w="406" w:type="pct"/>
            <w:vMerge w:val="continue"/>
            <w:noWrap w:val="0"/>
            <w:vAlign w:val="center"/>
          </w:tcPr>
          <w:p>
            <w:pPr>
              <w:widowControl/>
              <w:snapToGrid w:val="0"/>
              <w:jc w:val="center"/>
              <w:rPr>
                <w:rFonts w:hint="eastAsia" w:ascii="宋体" w:hAnsi="宋体" w:cs="宋体"/>
                <w:kern w:val="0"/>
                <w:szCs w:val="21"/>
              </w:rPr>
            </w:pPr>
          </w:p>
        </w:tc>
        <w:tc>
          <w:tcPr>
            <w:tcW w:w="2086" w:type="pct"/>
            <w:noWrap w:val="0"/>
            <w:vAlign w:val="center"/>
          </w:tcPr>
          <w:p>
            <w:pPr>
              <w:adjustRightInd w:val="0"/>
              <w:snapToGrid w:val="0"/>
              <w:rPr>
                <w:rFonts w:hint="eastAsia" w:ascii="宋体" w:hAnsi="宋体" w:cs="宋体"/>
                <w:kern w:val="0"/>
                <w:szCs w:val="21"/>
              </w:rPr>
            </w:pPr>
            <w:r>
              <w:rPr>
                <w:rFonts w:hint="eastAsia" w:ascii="宋体" w:hAnsi="宋体" w:cs="宋体"/>
                <w:bCs/>
                <w:kern w:val="0"/>
                <w:szCs w:val="21"/>
                <w:lang w:eastAsia="zh-CN"/>
              </w:rPr>
              <w:t>按照市级部门要求和部署，</w:t>
            </w:r>
            <w:r>
              <w:rPr>
                <w:rFonts w:hint="eastAsia" w:ascii="宋体" w:hAnsi="宋体" w:cs="宋体"/>
                <w:kern w:val="0"/>
                <w:szCs w:val="21"/>
              </w:rPr>
              <w:t>规范抗生素类药品使用管理。加强抗菌药物临床应用管理，开展抗菌药物及细菌耐药性监测；严格落实零售药店凭处方销售处方药类抗菌药物。</w:t>
            </w:r>
          </w:p>
        </w:tc>
        <w:tc>
          <w:tcPr>
            <w:tcW w:w="432" w:type="pct"/>
            <w:noWrap w:val="0"/>
            <w:vAlign w:val="center"/>
          </w:tcPr>
          <w:p>
            <w:pPr>
              <w:adjustRightInd w:val="0"/>
              <w:snapToGrid w:val="0"/>
              <w:ind w:left="-105" w:leftChars="-50" w:right="-105" w:rightChars="-50"/>
              <w:jc w:val="center"/>
              <w:rPr>
                <w:rFonts w:hint="eastAsia" w:ascii="宋体" w:hAnsi="宋体" w:cs="宋体"/>
                <w:szCs w:val="21"/>
              </w:rPr>
            </w:pPr>
            <w:r>
              <w:rPr>
                <w:rFonts w:hint="eastAsia" w:ascii="宋体" w:hAnsi="宋体" w:cs="宋体"/>
                <w:kern w:val="0"/>
                <w:szCs w:val="21"/>
              </w:rPr>
              <w:t>年底前</w:t>
            </w:r>
          </w:p>
        </w:tc>
        <w:tc>
          <w:tcPr>
            <w:tcW w:w="978" w:type="pct"/>
            <w:noWrap w:val="0"/>
            <w:vAlign w:val="center"/>
          </w:tcPr>
          <w:p>
            <w:pPr>
              <w:adjustRightInd w:val="0"/>
              <w:snapToGrid w:val="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卫生健康委</w:t>
            </w:r>
          </w:p>
          <w:p>
            <w:pPr>
              <w:adjustRightInd w:val="0"/>
              <w:snapToGrid w:val="0"/>
              <w:ind w:left="-105" w:leftChars="-50" w:right="-105" w:rightChars="-50"/>
              <w:jc w:val="center"/>
              <w:rPr>
                <w:rFonts w:ascii="Times New Roman" w:hAnsi="Times New Roman"/>
              </w:rPr>
            </w:pPr>
            <w:r>
              <w:rPr>
                <w:rFonts w:hint="eastAsia" w:ascii="宋体" w:hAnsi="宋体" w:cs="宋体"/>
                <w:kern w:val="0"/>
                <w:szCs w:val="21"/>
                <w:lang w:eastAsia="zh-CN"/>
              </w:rPr>
              <w:t>区市场监管局</w:t>
            </w:r>
          </w:p>
        </w:tc>
        <w:tc>
          <w:tcPr>
            <w:tcW w:w="818" w:type="pct"/>
            <w:noWrap w:val="0"/>
            <w:vAlign w:val="center"/>
          </w:tcPr>
          <w:p>
            <w:pPr>
              <w:adjustRightInd w:val="0"/>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278" w:type="pct"/>
            <w:vMerge w:val="continue"/>
            <w:noWrap w:val="0"/>
            <w:vAlign w:val="center"/>
          </w:tcPr>
          <w:p>
            <w:pPr>
              <w:widowControl/>
              <w:snapToGrid w:val="0"/>
              <w:ind w:left="-105" w:leftChars="-50" w:right="-105" w:rightChars="-50"/>
              <w:jc w:val="center"/>
              <w:rPr>
                <w:rFonts w:hint="eastAsia" w:ascii="宋体" w:hAnsi="宋体" w:cs="宋体"/>
                <w:kern w:val="0"/>
                <w:szCs w:val="21"/>
              </w:rPr>
            </w:pPr>
          </w:p>
        </w:tc>
        <w:tc>
          <w:tcPr>
            <w:tcW w:w="406" w:type="pct"/>
            <w:vMerge w:val="continue"/>
            <w:noWrap w:val="0"/>
            <w:vAlign w:val="center"/>
          </w:tcPr>
          <w:p>
            <w:pPr>
              <w:widowControl/>
              <w:snapToGrid w:val="0"/>
              <w:jc w:val="center"/>
              <w:rPr>
                <w:rFonts w:hint="eastAsia" w:ascii="宋体" w:hAnsi="宋体" w:cs="宋体"/>
                <w:kern w:val="0"/>
                <w:szCs w:val="21"/>
              </w:rPr>
            </w:pPr>
          </w:p>
        </w:tc>
        <w:tc>
          <w:tcPr>
            <w:tcW w:w="2086" w:type="pct"/>
            <w:noWrap w:val="0"/>
            <w:vAlign w:val="center"/>
          </w:tcPr>
          <w:p>
            <w:pPr>
              <w:adjustRightInd w:val="0"/>
              <w:snapToGrid w:val="0"/>
              <w:rPr>
                <w:rFonts w:hint="eastAsia" w:ascii="宋体" w:hAnsi="宋体" w:cs="宋体"/>
                <w:kern w:val="0"/>
                <w:szCs w:val="21"/>
              </w:rPr>
            </w:pPr>
            <w:r>
              <w:rPr>
                <w:rFonts w:hint="eastAsia" w:ascii="宋体" w:hAnsi="宋体" w:cs="宋体"/>
                <w:bCs/>
                <w:kern w:val="0"/>
                <w:szCs w:val="21"/>
                <w:lang w:eastAsia="zh-CN"/>
              </w:rPr>
              <w:t>按照市级部门要求和部署，</w:t>
            </w:r>
            <w:r>
              <w:rPr>
                <w:rFonts w:hint="eastAsia" w:ascii="宋体" w:hAnsi="宋体" w:cs="宋体"/>
                <w:kern w:val="0"/>
                <w:szCs w:val="21"/>
              </w:rPr>
              <w:t>持续推进涉优先控制化学品、重点管控新污染物企业全面实施强制清洁生产审核。组织开展涉优先控制化学品、重点管控新污染物企业以及新化学物质环境管理登记</w:t>
            </w:r>
            <w:r>
              <w:rPr>
                <w:rFonts w:hint="eastAsia" w:ascii="宋体" w:hAnsi="宋体" w:cs="宋体"/>
                <w:kern w:val="0"/>
                <w:szCs w:val="21"/>
                <w:lang w:eastAsia="zh-CN"/>
              </w:rPr>
              <w:t>专项</w:t>
            </w:r>
            <w:r>
              <w:rPr>
                <w:rFonts w:hint="eastAsia" w:ascii="宋体" w:hAnsi="宋体" w:cs="宋体"/>
                <w:kern w:val="0"/>
                <w:szCs w:val="21"/>
              </w:rPr>
              <w:t>执法检查。探索开展重点管控新污染物环境风险管控措施落实情况跨部门联合检查。</w:t>
            </w:r>
          </w:p>
        </w:tc>
        <w:tc>
          <w:tcPr>
            <w:tcW w:w="432" w:type="pct"/>
            <w:noWrap w:val="0"/>
            <w:vAlign w:val="center"/>
          </w:tcPr>
          <w:p>
            <w:pPr>
              <w:adjustRightInd w:val="0"/>
              <w:snapToGrid w:val="0"/>
              <w:ind w:left="-105" w:leftChars="-50" w:right="-105" w:rightChars="-50"/>
              <w:jc w:val="center"/>
              <w:rPr>
                <w:rFonts w:hint="eastAsia" w:ascii="宋体" w:hAnsi="宋体" w:cs="宋体"/>
                <w:szCs w:val="21"/>
              </w:rPr>
            </w:pPr>
            <w:r>
              <w:rPr>
                <w:rFonts w:hint="eastAsia" w:ascii="宋体" w:hAnsi="宋体" w:cs="宋体"/>
                <w:kern w:val="0"/>
                <w:szCs w:val="21"/>
              </w:rPr>
              <w:t>年底前</w:t>
            </w:r>
          </w:p>
        </w:tc>
        <w:tc>
          <w:tcPr>
            <w:tcW w:w="978" w:type="pct"/>
            <w:noWrap w:val="0"/>
            <w:vAlign w:val="center"/>
          </w:tcPr>
          <w:p>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pPr>
              <w:adjustRightInd w:val="0"/>
              <w:snapToGrid w:val="0"/>
              <w:ind w:left="-105" w:leftChars="-50" w:right="-105" w:rightChars="-50"/>
              <w:jc w:val="center"/>
              <w:rPr>
                <w:rFonts w:ascii="Times New Roman" w:hAnsi="Times New Roman"/>
              </w:rPr>
            </w:pPr>
            <w:r>
              <w:rPr>
                <w:rFonts w:hint="eastAsia" w:ascii="宋体" w:hAnsi="宋体" w:cs="宋体"/>
                <w:kern w:val="0"/>
                <w:szCs w:val="21"/>
                <w:lang w:eastAsia="zh-CN"/>
              </w:rPr>
              <w:t>区</w:t>
            </w:r>
            <w:r>
              <w:rPr>
                <w:rFonts w:hint="eastAsia" w:ascii="宋体" w:hAnsi="宋体" w:cs="宋体"/>
                <w:kern w:val="0"/>
                <w:szCs w:val="21"/>
              </w:rPr>
              <w:t>市场监管局</w:t>
            </w:r>
          </w:p>
        </w:tc>
        <w:tc>
          <w:tcPr>
            <w:tcW w:w="818" w:type="pct"/>
            <w:noWrap w:val="0"/>
            <w:vAlign w:val="center"/>
          </w:tcPr>
          <w:p>
            <w:pPr>
              <w:adjustRightInd w:val="0"/>
              <w:snapToGrid w:val="0"/>
              <w:ind w:left="-105" w:leftChars="-50" w:right="-105"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278" w:type="pct"/>
            <w:vMerge w:val="continue"/>
            <w:noWrap w:val="0"/>
            <w:vAlign w:val="center"/>
          </w:tcPr>
          <w:p>
            <w:pPr>
              <w:widowControl/>
              <w:snapToGrid w:val="0"/>
              <w:ind w:left="-105" w:leftChars="-50" w:right="-105" w:rightChars="-50"/>
              <w:jc w:val="center"/>
              <w:rPr>
                <w:rFonts w:hint="eastAsia" w:ascii="宋体" w:hAnsi="宋体" w:cs="宋体"/>
                <w:kern w:val="0"/>
                <w:szCs w:val="21"/>
              </w:rPr>
            </w:pPr>
          </w:p>
        </w:tc>
        <w:tc>
          <w:tcPr>
            <w:tcW w:w="406" w:type="pct"/>
            <w:vMerge w:val="continue"/>
            <w:noWrap w:val="0"/>
            <w:vAlign w:val="center"/>
          </w:tcPr>
          <w:p>
            <w:pPr>
              <w:widowControl/>
              <w:snapToGrid w:val="0"/>
              <w:jc w:val="center"/>
              <w:rPr>
                <w:rFonts w:hint="eastAsia" w:ascii="宋体" w:hAnsi="宋体" w:cs="宋体"/>
                <w:kern w:val="0"/>
                <w:szCs w:val="21"/>
              </w:rPr>
            </w:pPr>
          </w:p>
        </w:tc>
        <w:tc>
          <w:tcPr>
            <w:tcW w:w="2086" w:type="pct"/>
            <w:noWrap w:val="0"/>
            <w:vAlign w:val="center"/>
          </w:tcPr>
          <w:p>
            <w:pPr>
              <w:jc w:val="center"/>
              <w:rPr>
                <w:rFonts w:hint="eastAsia"/>
                <w:lang w:eastAsia="zh-CN"/>
              </w:rPr>
            </w:pPr>
            <w:r>
              <w:rPr>
                <w:rFonts w:hint="eastAsia"/>
                <w:lang w:eastAsia="zh-CN"/>
              </w:rPr>
              <w:t>按照市区两级分工和部署，</w:t>
            </w:r>
            <w:r>
              <w:rPr>
                <w:rFonts w:hint="eastAsia"/>
              </w:rPr>
              <w:t>加强产品新污染物含量检测。依据相关国家标准，对修正液、修正带等产品中的氯代烃等物质进行限量检测，对抽查发现的不合格产品依法进行处理。</w:t>
            </w:r>
          </w:p>
        </w:tc>
        <w:tc>
          <w:tcPr>
            <w:tcW w:w="432" w:type="pct"/>
            <w:noWrap w:val="0"/>
            <w:vAlign w:val="center"/>
          </w:tcPr>
          <w:p>
            <w:pPr>
              <w:jc w:val="center"/>
              <w:rPr>
                <w:rFonts w:hint="eastAsia"/>
              </w:rPr>
            </w:pPr>
            <w:r>
              <w:rPr>
                <w:rFonts w:hint="eastAsia"/>
              </w:rPr>
              <w:t>年底前</w:t>
            </w:r>
          </w:p>
        </w:tc>
        <w:tc>
          <w:tcPr>
            <w:tcW w:w="978" w:type="pct"/>
            <w:noWrap w:val="0"/>
            <w:vAlign w:val="center"/>
          </w:tcPr>
          <w:p>
            <w:pPr>
              <w:jc w:val="center"/>
              <w:rPr>
                <w:rFonts w:hint="eastAsia"/>
                <w:lang w:eastAsia="zh-CN"/>
              </w:rPr>
            </w:pPr>
            <w:r>
              <w:rPr>
                <w:rFonts w:hint="eastAsia"/>
                <w:lang w:eastAsia="zh-CN"/>
              </w:rPr>
              <w:t>区</w:t>
            </w:r>
            <w:r>
              <w:rPr>
                <w:rFonts w:hint="eastAsia"/>
              </w:rPr>
              <w:t>市场监管局</w:t>
            </w:r>
          </w:p>
        </w:tc>
        <w:tc>
          <w:tcPr>
            <w:tcW w:w="818" w:type="pct"/>
            <w:noWrap w:val="0"/>
            <w:vAlign w:val="center"/>
          </w:tcPr>
          <w:p>
            <w:pPr>
              <w:jc w:val="center"/>
              <w:rPr>
                <w:rFonts w:hint="eastAsia"/>
              </w:rPr>
            </w:pPr>
          </w:p>
        </w:tc>
      </w:tr>
    </w:tbl>
    <w:p>
      <w:pPr>
        <w:adjustRightInd w:val="0"/>
        <w:snapToGrid w:val="0"/>
        <w:spacing w:before="120" w:beforeLines="50" w:after="120" w:afterLines="50"/>
        <w:jc w:val="left"/>
        <w:rPr>
          <w:rFonts w:hint="eastAsia" w:ascii="黑体" w:hAnsi="黑体" w:eastAsia="黑体" w:cs="方正小标宋简体"/>
          <w:sz w:val="32"/>
          <w:szCs w:val="32"/>
          <w:lang w:eastAsia="zh-CN"/>
        </w:rPr>
      </w:pPr>
      <w:r>
        <w:br w:type="page"/>
      </w:r>
    </w:p>
    <w:p>
      <w:pPr>
        <w:adjustRightInd w:val="0"/>
        <w:snapToGrid w:val="0"/>
        <w:spacing w:before="360" w:beforeLines="150" w:after="360" w:afterLines="15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石景山区应对气候变化202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年行动计划（征求意见稿）</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139"/>
        <w:gridCol w:w="5826"/>
        <w:gridCol w:w="1255"/>
        <w:gridCol w:w="2740"/>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220" w:type="pct"/>
            <w:noWrap w:val="0"/>
            <w:vAlign w:val="center"/>
          </w:tcPr>
          <w:p>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402" w:type="pct"/>
            <w:noWrap w:val="0"/>
            <w:vAlign w:val="center"/>
          </w:tcPr>
          <w:p>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重点任务</w:t>
            </w:r>
          </w:p>
        </w:tc>
        <w:tc>
          <w:tcPr>
            <w:tcW w:w="2056" w:type="pct"/>
            <w:noWrap w:val="0"/>
            <w:vAlign w:val="center"/>
          </w:tcPr>
          <w:p>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工作措施</w:t>
            </w:r>
          </w:p>
        </w:tc>
        <w:tc>
          <w:tcPr>
            <w:tcW w:w="443" w:type="pct"/>
            <w:noWrap w:val="0"/>
            <w:tcMar>
              <w:left w:w="57" w:type="dxa"/>
              <w:right w:w="57" w:type="dxa"/>
            </w:tcMar>
            <w:vAlign w:val="center"/>
          </w:tcPr>
          <w:p>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完成时限</w:t>
            </w:r>
          </w:p>
        </w:tc>
        <w:tc>
          <w:tcPr>
            <w:tcW w:w="967" w:type="pct"/>
            <w:noWrap w:val="0"/>
            <w:vAlign w:val="center"/>
          </w:tcPr>
          <w:p>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主责单位</w:t>
            </w:r>
          </w:p>
        </w:tc>
        <w:tc>
          <w:tcPr>
            <w:tcW w:w="910" w:type="pct"/>
            <w:noWrap w:val="0"/>
            <w:vAlign w:val="center"/>
          </w:tcPr>
          <w:p>
            <w:pPr>
              <w:snapToGrid w:val="0"/>
              <w:ind w:left="-105" w:leftChars="-50" w:right="-105" w:rightChars="-50"/>
              <w:jc w:val="center"/>
              <w:rPr>
                <w:rFonts w:hint="eastAsia" w:ascii="黑体" w:hAnsi="黑体" w:eastAsia="黑体" w:cs="黑体"/>
                <w:kern w:val="0"/>
                <w:szCs w:val="21"/>
              </w:rPr>
            </w:pPr>
            <w:r>
              <w:rPr>
                <w:rFonts w:hint="eastAsia" w:ascii="黑体" w:hAnsi="黑体" w:eastAsia="黑体" w:cs="黑体"/>
                <w:kern w:val="0"/>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000" w:type="pct"/>
            <w:gridSpan w:val="6"/>
            <w:noWrap w:val="0"/>
            <w:vAlign w:val="center"/>
          </w:tcPr>
          <w:p>
            <w:pPr>
              <w:snapToGrid w:val="0"/>
              <w:ind w:left="-105" w:leftChars="-50" w:right="-105" w:rightChars="-50"/>
              <w:jc w:val="center"/>
              <w:rPr>
                <w:rFonts w:hint="eastAsia" w:ascii="宋体" w:hAnsi="宋体" w:cs="宋体"/>
                <w:b/>
                <w:kern w:val="0"/>
                <w:szCs w:val="21"/>
              </w:rPr>
            </w:pPr>
            <w:r>
              <w:rPr>
                <w:rFonts w:hint="eastAsia" w:ascii="黑体" w:hAnsi="黑体" w:eastAsia="黑体" w:cs="黑体"/>
                <w:kern w:val="0"/>
                <w:szCs w:val="21"/>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1</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温室气体排放控制目标</w:t>
            </w:r>
          </w:p>
        </w:tc>
        <w:tc>
          <w:tcPr>
            <w:tcW w:w="2056" w:type="pct"/>
            <w:noWrap w:val="0"/>
            <w:vAlign w:val="center"/>
          </w:tcPr>
          <w:p>
            <w:pPr>
              <w:snapToGrid w:val="0"/>
              <w:rPr>
                <w:rFonts w:ascii="宋体" w:hAnsi="宋体" w:cs="宋体"/>
                <w:kern w:val="0"/>
                <w:szCs w:val="21"/>
              </w:rPr>
            </w:pPr>
            <w:r>
              <w:rPr>
                <w:rFonts w:hint="eastAsia" w:ascii="宋体" w:hAnsi="宋体" w:cs="宋体"/>
                <w:kern w:val="0"/>
                <w:szCs w:val="21"/>
              </w:rPr>
              <w:t>切实控制温室气体排放，完成“十四五”碳排放强度和总量控制目标，碳排放强度较2020年累计下降21%。</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区经济和信息化局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区住房城市建设委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6"/>
            <w:noWrap w:val="0"/>
            <w:vAlign w:val="center"/>
          </w:tcPr>
          <w:p>
            <w:pPr>
              <w:tabs>
                <w:tab w:val="left" w:pos="10459"/>
              </w:tabs>
              <w:snapToGrid w:val="0"/>
              <w:ind w:left="-105" w:leftChars="-50" w:right="-105" w:rightChars="-50"/>
              <w:jc w:val="center"/>
              <w:rPr>
                <w:rFonts w:hint="eastAsia" w:ascii="宋体" w:hAnsi="宋体" w:cs="宋体"/>
                <w:kern w:val="0"/>
                <w:szCs w:val="21"/>
              </w:rPr>
            </w:pPr>
            <w:r>
              <w:rPr>
                <w:rFonts w:hint="eastAsia" w:ascii="黑体" w:hAnsi="黑体" w:eastAsia="黑体" w:cs="黑体"/>
                <w:kern w:val="0"/>
                <w:szCs w:val="21"/>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2</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强化碳排放双控制度</w:t>
            </w: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深化落实“1+N”碳达峰碳中和制度及各项方案。</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szCs w:val="21"/>
              </w:rPr>
              <w:t>区发展改革委</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区经济和信息化局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区住房城市建设委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p>
            <w:pPr>
              <w:snapToGrid w:val="0"/>
              <w:ind w:left="-105" w:leftChars="-50" w:right="-105" w:rightChars="-50"/>
              <w:jc w:val="center"/>
              <w:rPr>
                <w:rFonts w:hint="eastAsia" w:ascii="宋体" w:hAnsi="宋体" w:cs="宋体"/>
                <w:kern w:val="0"/>
                <w:szCs w:val="21"/>
              </w:rPr>
            </w:pPr>
            <w:r>
              <w:rPr>
                <w:rFonts w:hint="eastAsia" w:ascii="宋体" w:hAnsi="宋体" w:cs="宋体"/>
                <w:szCs w:val="21"/>
              </w:rPr>
              <w:t>石景山园管委会区科委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按照北京市工作要求，在建设项目环境影响评价中开展碳排放核算评价，严格控制新建项目碳排放水平。将碳排放管控要求纳入现行重点用能单位管理制度，推动重点用能和碳排放单位落实节能降碳管理要求。</w:t>
            </w:r>
          </w:p>
          <w:p>
            <w:pPr>
              <w:snapToGrid w:val="0"/>
              <w:rPr>
                <w:rFonts w:ascii="宋体" w:hAnsi="宋体" w:cs="宋体"/>
                <w:kern w:val="0"/>
                <w:szCs w:val="21"/>
              </w:rPr>
            </w:pPr>
            <w:r>
              <w:rPr>
                <w:rFonts w:hint="eastAsia" w:ascii="宋体" w:hAnsi="宋体" w:cs="宋体"/>
                <w:kern w:val="0"/>
                <w:szCs w:val="21"/>
              </w:rPr>
              <w:t>推动重点碳排放单位建立碳排放管理体系，强化岗位管理责任、完善报告制度、鼓励主动披露碳排放信息。</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Times New Roman" w:hAnsi="Times New Roman"/>
              </w:rPr>
            </w:pPr>
            <w:r>
              <w:rPr>
                <w:rFonts w:hint="eastAsia" w:ascii="Times New Roman" w:hAnsi="Times New Roman"/>
              </w:rPr>
              <w:t>区生态环境局</w:t>
            </w:r>
          </w:p>
          <w:p>
            <w:pPr>
              <w:spacing w:after="120"/>
              <w:jc w:val="center"/>
              <w:rPr>
                <w:rFonts w:hint="eastAsia" w:ascii="Times New Roman" w:hAnsi="Times New Roman"/>
              </w:rPr>
            </w:pPr>
            <w:r>
              <w:rPr>
                <w:rFonts w:hint="eastAsia" w:ascii="Times New Roman" w:hAnsi="Times New Roman"/>
              </w:rPr>
              <w:t>区发展改革委</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3</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完善碳排放权交易体系</w:t>
            </w:r>
          </w:p>
        </w:tc>
        <w:tc>
          <w:tcPr>
            <w:tcW w:w="2056" w:type="pct"/>
            <w:noWrap w:val="0"/>
            <w:vAlign w:val="center"/>
          </w:tcPr>
          <w:p>
            <w:pPr>
              <w:snapToGrid w:val="0"/>
              <w:ind w:right="44" w:rightChars="21"/>
              <w:rPr>
                <w:rFonts w:hint="eastAsia" w:ascii="宋体" w:hAnsi="宋体" w:cs="宋体"/>
                <w:kern w:val="0"/>
                <w:szCs w:val="21"/>
              </w:rPr>
            </w:pPr>
            <w:r>
              <w:rPr>
                <w:rFonts w:hint="eastAsia" w:ascii="宋体" w:hAnsi="宋体" w:cs="宋体"/>
                <w:kern w:val="0"/>
                <w:szCs w:val="21"/>
              </w:rPr>
              <w:t>组织本区纳入全国碳排放权交易市场的发电行业重点排放单位，按国家要求完成温室气体排放数据报告、配额清缴等工作。</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组织开展北京市碳排放权交易市场各项工作，配合市级部门，确定碳排放单位名单，并组织名单内单位按北京市要求完成温室气体排放数据报告、配额清缴等工作。</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4</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强化低碳试点示范</w:t>
            </w:r>
          </w:p>
        </w:tc>
        <w:tc>
          <w:tcPr>
            <w:tcW w:w="2056" w:type="pct"/>
            <w:noWrap w:val="0"/>
            <w:vAlign w:val="center"/>
          </w:tcPr>
          <w:p>
            <w:pPr>
              <w:snapToGrid w:val="0"/>
              <w:rPr>
                <w:rFonts w:hint="eastAsia" w:ascii="宋体" w:hAnsi="宋体" w:cs="宋体"/>
                <w:color w:val="FF0000"/>
                <w:kern w:val="0"/>
                <w:szCs w:val="21"/>
              </w:rPr>
            </w:pPr>
            <w:r>
              <w:rPr>
                <w:rFonts w:hint="eastAsia" w:ascii="宋体" w:hAnsi="宋体" w:cs="宋体"/>
                <w:kern w:val="0"/>
                <w:szCs w:val="21"/>
              </w:rPr>
              <w:t>配合市级部门开展低碳试点示范及减污降碳协同创新试点示范建设，组织动员辖区符合条件的单位申报相关试点项目。开展区级低碳试点示范，加强项目征集和组织实施，创建一批先进低碳试点示范。</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spacing w:line="260" w:lineRule="exact"/>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szCs w:val="21"/>
              </w:rPr>
            </w:pPr>
            <w:r>
              <w:rPr>
                <w:rFonts w:hint="eastAsia" w:ascii="宋体" w:hAnsi="宋体" w:cs="宋体"/>
                <w:szCs w:val="21"/>
              </w:rPr>
              <w:t>区经济和信息化局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区住房城市建设委</w:t>
            </w:r>
          </w:p>
          <w:p>
            <w:pPr>
              <w:widowControl/>
              <w:jc w:val="center"/>
              <w:rPr>
                <w:rFonts w:hint="eastAsia" w:ascii="宋体" w:hAnsi="宋体" w:cs="宋体"/>
                <w:szCs w:val="21"/>
              </w:rPr>
            </w:pPr>
            <w:r>
              <w:rPr>
                <w:rFonts w:hint="eastAsia" w:ascii="宋体" w:hAnsi="宋体" w:cs="宋体"/>
                <w:kern w:val="0"/>
                <w:szCs w:val="21"/>
              </w:rPr>
              <w:t>区城市管理委</w:t>
            </w:r>
          </w:p>
          <w:p>
            <w:pPr>
              <w:snapToGrid w:val="0"/>
              <w:ind w:left="-105" w:leftChars="-50" w:right="-105" w:rightChars="-50"/>
              <w:jc w:val="center"/>
              <w:rPr>
                <w:rFonts w:hint="eastAsia" w:ascii="宋体" w:hAnsi="宋体" w:cs="宋体"/>
                <w:szCs w:val="21"/>
              </w:rPr>
            </w:pPr>
            <w:r>
              <w:rPr>
                <w:rFonts w:hint="eastAsia" w:ascii="宋体" w:hAnsi="宋体" w:cs="宋体"/>
                <w:szCs w:val="21"/>
              </w:rPr>
              <w:t>石景山园管委会区科委</w:t>
            </w:r>
          </w:p>
          <w:p>
            <w:pPr>
              <w:widowControl/>
              <w:jc w:val="center"/>
              <w:rPr>
                <w:rFonts w:hint="eastAsia" w:ascii="宋体" w:hAnsi="宋体" w:cs="宋体"/>
                <w:kern w:val="0"/>
                <w:szCs w:val="21"/>
              </w:rPr>
            </w:pPr>
            <w:r>
              <w:rPr>
                <w:rFonts w:hint="eastAsia" w:ascii="宋体" w:hAnsi="宋体" w:cs="宋体"/>
                <w:kern w:val="0"/>
                <w:szCs w:val="21"/>
              </w:rPr>
              <w:t>区教委</w:t>
            </w:r>
          </w:p>
          <w:p>
            <w:pPr>
              <w:widowControl/>
              <w:jc w:val="center"/>
              <w:rPr>
                <w:rFonts w:hint="eastAsia" w:cs="Times New Roman"/>
              </w:rPr>
            </w:pPr>
            <w:r>
              <w:rPr>
                <w:rFonts w:hint="eastAsia" w:ascii="宋体" w:hAnsi="宋体" w:cs="宋体"/>
                <w:sz w:val="21"/>
                <w:szCs w:val="21"/>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持续开展先进低碳技术项目试点示范。</w:t>
            </w:r>
            <w:r>
              <w:rPr>
                <w:rFonts w:hint="eastAsia" w:ascii="宋体" w:hAnsi="宋体" w:cs="宋体"/>
                <w:kern w:val="0"/>
                <w:szCs w:val="21"/>
                <w:lang w:eastAsia="zh-CN"/>
              </w:rPr>
              <w:t>推动</w:t>
            </w:r>
            <w:r>
              <w:rPr>
                <w:rFonts w:hint="eastAsia" w:ascii="宋体" w:hAnsi="宋体" w:cs="宋体"/>
                <w:kern w:val="0"/>
                <w:szCs w:val="21"/>
              </w:rPr>
              <w:t>储能、绿电、新材料、氢能、碳捕集及利用、非二氧化碳治理等低碳技术开发研究创新。</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jc w:val="center"/>
              <w:rPr>
                <w:rFonts w:hint="eastAsia" w:ascii="宋体" w:hAnsi="宋体" w:cs="宋体"/>
                <w:szCs w:val="21"/>
              </w:rPr>
            </w:pPr>
            <w:r>
              <w:rPr>
                <w:rFonts w:hint="eastAsia" w:ascii="宋体" w:hAnsi="宋体" w:cs="宋体"/>
                <w:szCs w:val="21"/>
              </w:rPr>
              <w:t>区生态环境局</w:t>
            </w:r>
          </w:p>
          <w:p>
            <w:pPr>
              <w:snapToGrid w:val="0"/>
              <w:jc w:val="center"/>
              <w:rPr>
                <w:rFonts w:hint="eastAsia" w:ascii="宋体" w:hAnsi="宋体" w:cs="宋体"/>
                <w:szCs w:val="21"/>
              </w:rPr>
            </w:pPr>
            <w:r>
              <w:rPr>
                <w:rFonts w:hint="eastAsia" w:ascii="宋体" w:hAnsi="宋体" w:cs="宋体"/>
                <w:szCs w:val="21"/>
              </w:rPr>
              <w:t>石景山园管委会区科委</w:t>
            </w:r>
          </w:p>
          <w:p>
            <w:pPr>
              <w:snapToGrid w:val="0"/>
              <w:spacing w:line="260" w:lineRule="exact"/>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szCs w:val="21"/>
              </w:rPr>
            </w:pPr>
            <w:r>
              <w:rPr>
                <w:rFonts w:hint="eastAsia" w:ascii="宋体" w:hAnsi="宋体" w:cs="宋体"/>
                <w:szCs w:val="21"/>
              </w:rPr>
              <w:t>区经济和信息化局</w:t>
            </w:r>
          </w:p>
          <w:p>
            <w:pPr>
              <w:widowControl/>
              <w:jc w:val="center"/>
              <w:rPr>
                <w:rFonts w:hint="eastAsia" w:ascii="宋体" w:hAnsi="宋体" w:cs="宋体"/>
                <w:szCs w:val="21"/>
              </w:rPr>
            </w:pPr>
            <w:r>
              <w:rPr>
                <w:rFonts w:hint="eastAsia" w:ascii="宋体" w:hAnsi="宋体" w:cs="宋体"/>
                <w:szCs w:val="21"/>
              </w:rPr>
              <w:t>区城市管理委</w:t>
            </w:r>
          </w:p>
        </w:tc>
        <w:tc>
          <w:tcPr>
            <w:tcW w:w="910" w:type="pct"/>
            <w:noWrap w:val="0"/>
            <w:vAlign w:val="center"/>
          </w:tcPr>
          <w:p>
            <w:pPr>
              <w:snapToGrid w:val="0"/>
              <w:spacing w:line="260" w:lineRule="exact"/>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000" w:type="pct"/>
            <w:gridSpan w:val="6"/>
            <w:noWrap w:val="0"/>
            <w:vAlign w:val="center"/>
          </w:tcPr>
          <w:p>
            <w:pPr>
              <w:widowControl/>
              <w:snapToGrid w:val="0"/>
              <w:ind w:left="-105" w:leftChars="-50" w:right="-105" w:rightChars="-50"/>
              <w:jc w:val="center"/>
              <w:rPr>
                <w:rFonts w:hint="eastAsia" w:ascii="宋体" w:hAnsi="宋体" w:cs="宋体"/>
                <w:kern w:val="0"/>
                <w:szCs w:val="21"/>
              </w:rPr>
            </w:pPr>
            <w:r>
              <w:rPr>
                <w:rFonts w:hint="eastAsia" w:ascii="黑体" w:hAnsi="黑体" w:eastAsia="黑体" w:cs="黑体"/>
                <w:kern w:val="0"/>
                <w:szCs w:val="21"/>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5</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推进能源低碳化发展</w:t>
            </w:r>
          </w:p>
        </w:tc>
        <w:tc>
          <w:tcPr>
            <w:tcW w:w="2056" w:type="pct"/>
            <w:noWrap w:val="0"/>
            <w:vAlign w:val="center"/>
          </w:tcPr>
          <w:p>
            <w:pPr>
              <w:snapToGrid w:val="0"/>
              <w:rPr>
                <w:rFonts w:hint="eastAsia" w:ascii="宋体" w:hAnsi="宋体" w:cs="宋体"/>
                <w:szCs w:val="21"/>
              </w:rPr>
            </w:pPr>
            <w:r>
              <w:rPr>
                <w:rFonts w:hint="eastAsia" w:ascii="宋体" w:hAnsi="宋体" w:cs="宋体"/>
                <w:szCs w:val="21"/>
              </w:rPr>
              <w:t>大力开展能源节约和能效提升，万元GDP能耗下降达到北京市要求。严控化石能源消费总量，天然气消费总量得到有效控制。</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落实本市可再生能源替代方案，新增能源消费优先由可再生能源提供，2025年可再生能源消费占比达到北京市要求。</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szCs w:val="21"/>
              </w:rPr>
            </w:pPr>
            <w:r>
              <w:rPr>
                <w:rFonts w:hint="eastAsia" w:ascii="宋体" w:hAnsi="宋体" w:cs="宋体"/>
                <w:kern w:val="0"/>
                <w:szCs w:val="21"/>
              </w:rPr>
              <w:t>区城市管理委</w:t>
            </w:r>
          </w:p>
        </w:tc>
        <w:tc>
          <w:tcPr>
            <w:tcW w:w="910" w:type="pct"/>
            <w:noWrap w:val="0"/>
            <w:vAlign w:val="center"/>
          </w:tcPr>
          <w:p>
            <w:pPr>
              <w:widowControl/>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推动可再生能源规模化利用，持续提升本地可再生能源发电装机容量。进一步提高绿色电力应用规模。推进本区绿电市场化购入量持续增加。</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szCs w:val="21"/>
              </w:rPr>
            </w:pPr>
            <w:r>
              <w:rPr>
                <w:rFonts w:hint="eastAsia" w:ascii="宋体" w:hAnsi="宋体" w:cs="宋体"/>
                <w:kern w:val="0"/>
                <w:szCs w:val="21"/>
              </w:rPr>
              <w:t>区城市管理委</w:t>
            </w:r>
          </w:p>
        </w:tc>
        <w:tc>
          <w:tcPr>
            <w:tcW w:w="910" w:type="pct"/>
            <w:noWrap w:val="0"/>
            <w:vAlign w:val="center"/>
          </w:tcPr>
          <w:p>
            <w:pPr>
              <w:widowControl/>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落实京津冀协同发展工作要求，按北京市部署安排，</w:t>
            </w:r>
          </w:p>
          <w:p>
            <w:pPr>
              <w:snapToGrid w:val="0"/>
              <w:rPr>
                <w:rFonts w:hint="eastAsia" w:ascii="宋体" w:hAnsi="宋体" w:cs="宋体"/>
                <w:kern w:val="0"/>
                <w:szCs w:val="21"/>
              </w:rPr>
            </w:pPr>
            <w:r>
              <w:rPr>
                <w:rFonts w:hint="eastAsia" w:ascii="宋体" w:hAnsi="宋体" w:cs="宋体"/>
                <w:kern w:val="0"/>
                <w:szCs w:val="21"/>
              </w:rPr>
              <w:t>加强京津冀区域绿电能源合作和能源结构转型，推进区域能源基础设施互联互通。</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hint="eastAsia" w:ascii="宋体" w:hAnsi="宋体" w:cs="宋体"/>
                <w:szCs w:val="21"/>
              </w:rPr>
            </w:pPr>
            <w:r>
              <w:rPr>
                <w:rFonts w:hint="eastAsia" w:ascii="宋体" w:hAnsi="宋体" w:cs="宋体"/>
                <w:kern w:val="0"/>
                <w:szCs w:val="21"/>
              </w:rPr>
              <w:t>区城市管理委</w:t>
            </w:r>
          </w:p>
        </w:tc>
        <w:tc>
          <w:tcPr>
            <w:tcW w:w="910" w:type="pct"/>
            <w:noWrap w:val="0"/>
            <w:vAlign w:val="center"/>
          </w:tcPr>
          <w:p>
            <w:pPr>
              <w:widowControl/>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6</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构建绿色低碳产业体系</w:t>
            </w: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大力发展循环经济，构建循环型产业体系。提升资源综合利用能力，提高再生资源回收率，生活垃圾资源化利用率达北京市要求。加强循环经济产业园区建设，开展产业园区低碳改造升级，进一步加大资源梯级利用和系统优化。</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spacing w:line="260" w:lineRule="exact"/>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widowControl/>
              <w:jc w:val="center"/>
              <w:rPr>
                <w:rFonts w:hint="eastAsia" w:ascii="宋体" w:hAnsi="宋体" w:cs="宋体"/>
                <w:szCs w:val="21"/>
              </w:rPr>
            </w:pPr>
            <w:r>
              <w:rPr>
                <w:rFonts w:hint="eastAsia" w:ascii="宋体" w:hAnsi="宋体" w:cs="宋体"/>
                <w:szCs w:val="21"/>
              </w:rPr>
              <w:t>区城市管理委</w:t>
            </w:r>
          </w:p>
          <w:p>
            <w:pPr>
              <w:snapToGrid w:val="0"/>
              <w:ind w:left="-105" w:leftChars="-50" w:right="-105" w:rightChars="-50"/>
              <w:jc w:val="center"/>
              <w:rPr>
                <w:rFonts w:hint="eastAsia" w:ascii="宋体" w:hAnsi="宋体" w:cs="宋体"/>
                <w:szCs w:val="21"/>
              </w:rPr>
            </w:pPr>
            <w:r>
              <w:rPr>
                <w:rFonts w:hint="eastAsia" w:ascii="宋体" w:hAnsi="宋体" w:cs="宋体"/>
                <w:szCs w:val="21"/>
              </w:rPr>
              <w:t>区经济和信息化局</w:t>
            </w:r>
          </w:p>
          <w:p>
            <w:pPr>
              <w:snapToGrid w:val="0"/>
              <w:jc w:val="center"/>
              <w:rPr>
                <w:rFonts w:hint="eastAsia" w:ascii="宋体" w:hAnsi="宋体" w:cs="宋体"/>
                <w:szCs w:val="21"/>
              </w:rPr>
            </w:pPr>
            <w:r>
              <w:rPr>
                <w:rFonts w:hint="eastAsia" w:ascii="宋体" w:hAnsi="宋体" w:cs="宋体"/>
                <w:szCs w:val="21"/>
              </w:rPr>
              <w:t>石景山园管委会区科委</w:t>
            </w:r>
          </w:p>
        </w:tc>
        <w:tc>
          <w:tcPr>
            <w:tcW w:w="910"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推动工业和信息化领域能效提升，规模以上工业单位增加值能耗下降率达到北京市要求。推动数据中心节能降碳改造，优化本区存量数据中心，控制新增数据中心能耗。</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区经济和信息化局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tc>
        <w:tc>
          <w:tcPr>
            <w:tcW w:w="910" w:type="pct"/>
            <w:noWrap w:val="0"/>
            <w:vAlign w:val="center"/>
          </w:tcPr>
          <w:p>
            <w:pPr>
              <w:widowControl/>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7</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推进建筑领域低碳化</w:t>
            </w:r>
          </w:p>
        </w:tc>
        <w:tc>
          <w:tcPr>
            <w:tcW w:w="2056" w:type="pct"/>
            <w:noWrap w:val="0"/>
            <w:vAlign w:val="center"/>
          </w:tcPr>
          <w:p>
            <w:pPr>
              <w:snapToGrid w:val="0"/>
              <w:rPr>
                <w:rFonts w:ascii="宋体" w:hAnsi="宋体" w:cs="宋体"/>
                <w:kern w:val="0"/>
                <w:szCs w:val="21"/>
              </w:rPr>
            </w:pPr>
            <w:r>
              <w:rPr>
                <w:rFonts w:hint="eastAsia" w:ascii="宋体" w:hAnsi="宋体" w:cs="宋体"/>
                <w:kern w:val="0"/>
                <w:szCs w:val="21"/>
              </w:rPr>
              <w:t>落</w:t>
            </w:r>
            <w:r>
              <w:rPr>
                <w:rFonts w:hint="eastAsia" w:ascii="宋体" w:hAnsi="宋体" w:cs="宋体"/>
                <w:kern w:val="0"/>
                <w:szCs w:val="21"/>
                <w:lang w:bidi="ar"/>
              </w:rPr>
              <w:t>实北京市建筑绿色发展条例，广泛开展宣传解读和培训，推进建筑重点领域减排措施落实，推动</w:t>
            </w:r>
            <w:r>
              <w:rPr>
                <w:rFonts w:hint="eastAsia" w:ascii="宋体" w:hAnsi="宋体" w:cs="宋体"/>
                <w:kern w:val="0"/>
                <w:szCs w:val="21"/>
              </w:rPr>
              <w:t>建筑领域碳排放得到有效控制。</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区住房城市建设委</w:t>
            </w:r>
          </w:p>
        </w:tc>
        <w:tc>
          <w:tcPr>
            <w:tcW w:w="910" w:type="pct"/>
            <w:noWrap w:val="0"/>
            <w:vAlign w:val="center"/>
          </w:tcPr>
          <w:p>
            <w:pPr>
              <w:snapToGrid w:val="0"/>
              <w:ind w:left="-105" w:leftChars="-50" w:right="-105" w:rightChars="-50"/>
              <w:jc w:val="center"/>
              <w:rPr>
                <w:rFonts w:hint="eastAsia" w:ascii="Times New Roman" w:hAnsi="Times New Roman"/>
              </w:rPr>
            </w:pPr>
            <w:r>
              <w:rPr>
                <w:rFonts w:hint="eastAsia" w:ascii="宋体" w:hAnsi="宋体" w:cs="宋体"/>
                <w:szCs w:val="21"/>
              </w:rPr>
              <w:t>区发展改革委</w:t>
            </w:r>
          </w:p>
          <w:p>
            <w:pPr>
              <w:snapToGrid w:val="0"/>
              <w:ind w:left="-105" w:leftChars="-50" w:right="-105" w:rightChars="-50"/>
              <w:jc w:val="center"/>
              <w:rPr>
                <w:rFonts w:hint="eastAsia" w:ascii="Times New Roman" w:hAnsi="Times New Roman"/>
              </w:rPr>
            </w:pPr>
            <w:r>
              <w:rPr>
                <w:rFonts w:hint="eastAsia" w:ascii="Times New Roman" w:hAnsi="Times New Roman"/>
              </w:rPr>
              <w:t>市规划自然资源委</w:t>
            </w:r>
          </w:p>
          <w:p>
            <w:pPr>
              <w:snapToGrid w:val="0"/>
              <w:ind w:left="-105" w:leftChars="-50" w:right="-105" w:rightChars="-50"/>
              <w:jc w:val="center"/>
              <w:rPr>
                <w:rFonts w:hint="eastAsia" w:ascii="Times New Roman" w:hAnsi="Times New Roman"/>
              </w:rPr>
            </w:pPr>
            <w:r>
              <w:rPr>
                <w:rFonts w:hint="eastAsia" w:ascii="Times New Roman" w:hAnsi="Times New Roman"/>
              </w:rPr>
              <w:t>石景山分局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ascii="宋体" w:hAnsi="宋体" w:cs="宋体"/>
                <w:szCs w:val="21"/>
              </w:rPr>
            </w:pPr>
            <w:r>
              <w:rPr>
                <w:rFonts w:hint="eastAsia" w:ascii="宋体" w:hAnsi="宋体" w:cs="宋体"/>
                <w:kern w:val="0"/>
                <w:szCs w:val="21"/>
              </w:rPr>
              <w:t>实施北京市《公共建筑节能设计标准》（DB</w:t>
            </w:r>
            <w:r>
              <w:rPr>
                <w:rFonts w:ascii="宋体" w:hAnsi="宋体" w:cs="宋体"/>
                <w:kern w:val="0"/>
                <w:szCs w:val="21"/>
              </w:rPr>
              <w:t>11/T 687-2024</w:t>
            </w:r>
            <w:r>
              <w:rPr>
                <w:rFonts w:hint="eastAsia" w:ascii="宋体" w:hAnsi="宋体" w:cs="宋体"/>
                <w:kern w:val="0"/>
                <w:szCs w:val="21"/>
              </w:rPr>
              <w:t>）。大力推广绿色建筑，新建居住建筑执行绿色建筑二星级以上标准，新建公共建筑力争全面执行绿色建筑二星级以上标准。</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Times New Roman" w:hAnsi="Times New Roman"/>
              </w:rPr>
            </w:pPr>
            <w:r>
              <w:rPr>
                <w:rFonts w:hint="eastAsia" w:ascii="Times New Roman" w:hAnsi="Times New Roman"/>
              </w:rPr>
              <w:t>市规划自然资源委</w:t>
            </w:r>
            <w:r>
              <w:rPr>
                <w:rFonts w:hint="eastAsia" w:ascii="Times New Roman" w:hAnsi="Times New Roman"/>
              </w:rPr>
              <w:cr/>
            </w:r>
            <w:r>
              <w:rPr>
                <w:rFonts w:hint="eastAsia" w:ascii="Times New Roman" w:hAnsi="Times New Roman"/>
              </w:rPr>
              <w:t>石景山分局</w:t>
            </w:r>
            <w:r>
              <w:rPr>
                <w:rFonts w:hint="eastAsia" w:ascii="Times New Roman" w:hAnsi="Times New Roman"/>
              </w:rPr>
              <w:cr/>
            </w:r>
            <w:r>
              <w:rPr>
                <w:rFonts w:hint="eastAsia" w:ascii="Times New Roman" w:hAnsi="Times New Roman"/>
              </w:rPr>
              <w:t>区住房城市建设委</w:t>
            </w:r>
          </w:p>
          <w:p>
            <w:pPr>
              <w:jc w:val="center"/>
              <w:rPr>
                <w:rFonts w:hint="eastAsia" w:ascii="宋体" w:hAnsi="Courier New" w:cs="Courier New"/>
                <w:szCs w:val="21"/>
              </w:rPr>
            </w:pPr>
            <w:r>
              <w:rPr>
                <w:rFonts w:hint="eastAsia" w:ascii="宋体" w:hAnsi="宋体" w:cs="宋体"/>
                <w:szCs w:val="21"/>
              </w:rPr>
              <w:t>区发展改革委</w:t>
            </w:r>
          </w:p>
        </w:tc>
        <w:tc>
          <w:tcPr>
            <w:tcW w:w="910"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加快推广超低能耗建筑，公共建筑节能绿色改造力争完成“十四五”规划目标，装配式建筑占新建建筑面积的比例达到北京市要求。</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Times New Roman" w:hAnsi="Times New Roman"/>
              </w:rPr>
            </w:pPr>
            <w:r>
              <w:rPr>
                <w:rFonts w:hint="eastAsia" w:ascii="Times New Roman" w:hAnsi="Times New Roman"/>
              </w:rPr>
              <w:t>区住房城市建设委</w:t>
            </w:r>
          </w:p>
        </w:tc>
        <w:tc>
          <w:tcPr>
            <w:tcW w:w="910" w:type="pct"/>
            <w:noWrap w:val="0"/>
            <w:vAlign w:val="center"/>
          </w:tcPr>
          <w:p>
            <w:pPr>
              <w:snapToGrid w:val="0"/>
              <w:ind w:left="-105" w:leftChars="-50" w:right="-105" w:rightChars="-50"/>
              <w:jc w:val="center"/>
              <w:rPr>
                <w:rFonts w:hint="eastAsia" w:ascii="Times New Roman" w:hAnsi="Times New Roman"/>
              </w:rPr>
            </w:pPr>
            <w:r>
              <w:rPr>
                <w:rFonts w:hint="eastAsia" w:ascii="宋体" w:hAnsi="宋体" w:cs="宋体"/>
                <w:szCs w:val="21"/>
              </w:rPr>
              <w:t>区发展改革委</w:t>
            </w:r>
          </w:p>
          <w:p>
            <w:pPr>
              <w:snapToGrid w:val="0"/>
              <w:ind w:left="-105" w:leftChars="-50" w:right="-105" w:rightChars="-50"/>
              <w:jc w:val="center"/>
              <w:rPr>
                <w:rFonts w:hint="eastAsia" w:ascii="Times New Roman" w:hAnsi="Times New Roman"/>
              </w:rPr>
            </w:pPr>
            <w:r>
              <w:rPr>
                <w:rFonts w:hint="eastAsia" w:ascii="Times New Roman" w:hAnsi="Times New Roman"/>
              </w:rPr>
              <w:t>市规划自然资源委</w:t>
            </w:r>
          </w:p>
          <w:p>
            <w:pPr>
              <w:snapToGrid w:val="0"/>
              <w:ind w:left="-105" w:leftChars="-50" w:right="-105" w:rightChars="-50"/>
              <w:jc w:val="center"/>
              <w:rPr>
                <w:rFonts w:hint="eastAsia" w:ascii="Times New Roman" w:hAnsi="Times New Roman"/>
              </w:rPr>
            </w:pPr>
            <w:r>
              <w:rPr>
                <w:rFonts w:hint="eastAsia" w:ascii="Times New Roman" w:hAnsi="Times New Roman"/>
              </w:rPr>
              <w:t>石景山分局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20" w:type="pct"/>
            <w:vMerge w:val="restart"/>
            <w:noWrap w:val="0"/>
            <w:vAlign w:val="center"/>
          </w:tcPr>
          <w:p>
            <w:pPr>
              <w:snapToGrid w:val="0"/>
              <w:jc w:val="center"/>
              <w:rPr>
                <w:rFonts w:hint="eastAsia" w:ascii="宋体" w:hAnsi="宋体" w:cs="宋体"/>
                <w:kern w:val="0"/>
                <w:szCs w:val="21"/>
              </w:rPr>
            </w:pPr>
            <w:r>
              <w:rPr>
                <w:rFonts w:hint="eastAsia" w:ascii="宋体" w:hAnsi="宋体" w:cs="宋体"/>
                <w:kern w:val="0"/>
                <w:szCs w:val="21"/>
              </w:rPr>
              <w:t>8</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创建绿色低碳智能供热体系</w:t>
            </w:r>
          </w:p>
        </w:tc>
        <w:tc>
          <w:tcPr>
            <w:tcW w:w="2056" w:type="pct"/>
            <w:noWrap w:val="0"/>
            <w:vAlign w:val="center"/>
          </w:tcPr>
          <w:p>
            <w:pPr>
              <w:snapToGrid w:val="0"/>
              <w:rPr>
                <w:rFonts w:ascii="宋体" w:hAnsi="宋体" w:cs="宋体"/>
                <w:kern w:val="0"/>
                <w:szCs w:val="21"/>
              </w:rPr>
            </w:pPr>
            <w:r>
              <w:rPr>
                <w:rFonts w:hint="eastAsia" w:ascii="宋体" w:hAnsi="宋体" w:cs="宋体"/>
                <w:kern w:val="0"/>
                <w:szCs w:val="21"/>
              </w:rPr>
              <w:t>落实《北京市供热系统低碳绿色转型方案》。全区范围内禁止新建和扩建燃气独立供暖系统，</w:t>
            </w:r>
            <w:r>
              <w:rPr>
                <w:rFonts w:hint="eastAsia" w:ascii="宋体" w:hAnsi="宋体" w:cs="宋体"/>
                <w:kern w:val="0"/>
                <w:szCs w:val="21"/>
                <w:lang w:bidi="ar"/>
              </w:rPr>
              <w:t>新建建筑及新建供热项目优先采用新能源供热或采用新能源耦合常规能源供热。</w:t>
            </w:r>
            <w:r>
              <w:rPr>
                <w:rFonts w:hint="eastAsia" w:ascii="宋体" w:hAnsi="宋体" w:cs="宋体"/>
                <w:szCs w:val="21"/>
              </w:rPr>
              <w:t>新建建筑耦合供热系统中，新能源供热装机占比原则上不低于60%；全区单位建筑面积供热能耗、碳排放比“十三五”末降低比率达到北京市要求。</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tc>
        <w:tc>
          <w:tcPr>
            <w:tcW w:w="910"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ascii="宋体" w:hAnsi="宋体" w:cs="宋体"/>
                <w:kern w:val="0"/>
                <w:szCs w:val="21"/>
              </w:rPr>
            </w:pPr>
            <w:r>
              <w:rPr>
                <w:rFonts w:hint="eastAsia" w:ascii="宋体" w:hAnsi="宋体" w:cs="宋体"/>
                <w:kern w:val="0"/>
                <w:szCs w:val="21"/>
              </w:rPr>
              <w:t>统筹实施供热智能化改造和供热资源整合，建立供热系统感知体系，有序推进管道天然气锅炉房绿色改造。推进既有散小热源整合联网及新能源和可再生能源耦合供热替代。新能源供热占比达到北京市要求。</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p>
            <w:pPr>
              <w:snapToGrid w:val="0"/>
              <w:jc w:val="center"/>
              <w:rPr>
                <w:rFonts w:hint="eastAsia" w:ascii="宋体" w:hAnsi="宋体" w:cs="宋体"/>
                <w:szCs w:val="21"/>
              </w:rPr>
            </w:pPr>
            <w:r>
              <w:rPr>
                <w:rFonts w:hint="eastAsia" w:ascii="宋体" w:hAnsi="宋体" w:cs="宋体"/>
                <w:kern w:val="0"/>
                <w:szCs w:val="21"/>
              </w:rPr>
              <w:t>区发展改革委</w:t>
            </w:r>
          </w:p>
        </w:tc>
        <w:tc>
          <w:tcPr>
            <w:tcW w:w="910"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spacing w:line="240" w:lineRule="exact"/>
              <w:rPr>
                <w:rFonts w:hint="eastAsia" w:ascii="宋体" w:hAnsi="宋体" w:cs="宋体"/>
                <w:kern w:val="0"/>
                <w:szCs w:val="21"/>
              </w:rPr>
            </w:pPr>
            <w:r>
              <w:rPr>
                <w:rFonts w:hint="eastAsia" w:ascii="宋体" w:hAnsi="宋体" w:cs="宋体"/>
                <w:kern w:val="0"/>
                <w:szCs w:val="21"/>
              </w:rPr>
              <w:t>加大再生水（污水）源热泵、地源热泵和余热回收等绿色低碳技术推广应用。</w:t>
            </w:r>
          </w:p>
          <w:p>
            <w:pPr>
              <w:snapToGrid w:val="0"/>
              <w:spacing w:line="240" w:lineRule="exact"/>
              <w:rPr>
                <w:rFonts w:hint="eastAsia" w:ascii="宋体" w:hAnsi="宋体" w:cs="宋体"/>
                <w:kern w:val="0"/>
                <w:szCs w:val="21"/>
              </w:rPr>
            </w:pPr>
            <w:r>
              <w:rPr>
                <w:rFonts w:hint="eastAsia" w:ascii="宋体" w:hAnsi="宋体" w:cs="宋体"/>
                <w:kern w:val="0"/>
                <w:szCs w:val="21"/>
              </w:rPr>
              <w:t>鼓励在具有一定规模的再生水（污水）厂周边地区，优先采用再生水（污水）热泵系统供暖。</w:t>
            </w:r>
          </w:p>
          <w:p>
            <w:pPr>
              <w:snapToGrid w:val="0"/>
              <w:spacing w:line="240" w:lineRule="exact"/>
              <w:rPr>
                <w:rFonts w:hint="eastAsia" w:ascii="宋体" w:hAnsi="宋体" w:cs="宋体"/>
                <w:kern w:val="0"/>
                <w:szCs w:val="21"/>
                <w:lang w:bidi="ar"/>
              </w:rPr>
            </w:pPr>
            <w:r>
              <w:rPr>
                <w:rFonts w:hint="eastAsia" w:ascii="宋体" w:hAnsi="宋体" w:cs="宋体"/>
                <w:kern w:val="0"/>
                <w:szCs w:val="21"/>
              </w:rPr>
              <w:t>支持具备条件的燃气热电厂、燃气调峰热源厂、燃气锅炉房等加装烟气余热热泵回收装置。</w:t>
            </w:r>
          </w:p>
          <w:p>
            <w:pPr>
              <w:snapToGrid w:val="0"/>
              <w:rPr>
                <w:rFonts w:hint="eastAsia" w:ascii="宋体" w:hAnsi="宋体" w:cs="宋体"/>
                <w:kern w:val="0"/>
                <w:szCs w:val="21"/>
              </w:rPr>
            </w:pPr>
            <w:r>
              <w:rPr>
                <w:rFonts w:hint="eastAsia" w:ascii="宋体" w:hAnsi="宋体" w:cs="宋体"/>
                <w:kern w:val="0"/>
                <w:szCs w:val="21"/>
              </w:rPr>
              <w:t>推进数据中心余热利用。</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Times New Roman" w:hAnsi="Times New Roman"/>
              </w:rPr>
            </w:pPr>
            <w:r>
              <w:rPr>
                <w:rFonts w:hint="eastAsia" w:ascii="Times New Roman" w:hAnsi="Times New Roman"/>
              </w:rPr>
              <w:t>区发展改革委</w:t>
            </w:r>
          </w:p>
          <w:p>
            <w:pPr>
              <w:snapToGrid w:val="0"/>
              <w:ind w:left="-105" w:leftChars="-50" w:right="-105" w:rightChars="-50"/>
              <w:jc w:val="center"/>
              <w:rPr>
                <w:rFonts w:hint="eastAsia" w:ascii="Times New Roman" w:hAnsi="Times New Roman"/>
              </w:rPr>
            </w:pPr>
            <w:r>
              <w:rPr>
                <w:rFonts w:hint="eastAsia" w:ascii="Times New Roman" w:hAnsi="Times New Roman"/>
              </w:rPr>
              <w:t>区城市管理委</w:t>
            </w:r>
          </w:p>
          <w:p>
            <w:pPr>
              <w:jc w:val="center"/>
              <w:rPr>
                <w:rFonts w:hint="eastAsia" w:ascii="Times New Roman" w:hAnsi="Times New Roman"/>
              </w:rPr>
            </w:pPr>
            <w:r>
              <w:rPr>
                <w:rFonts w:hint="eastAsia" w:ascii="宋体" w:hAnsi="宋体" w:cs="宋体"/>
                <w:kern w:val="0"/>
                <w:szCs w:val="21"/>
              </w:rPr>
              <w:t>区经济和信息化局</w:t>
            </w:r>
          </w:p>
        </w:tc>
        <w:tc>
          <w:tcPr>
            <w:tcW w:w="910"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lang w:bidi="ar"/>
              </w:rPr>
              <w:t>推动既有建筑供热系统智能化改造，推动锅炉使用单位安装能源在线监控装置。</w:t>
            </w:r>
          </w:p>
        </w:tc>
        <w:tc>
          <w:tcPr>
            <w:tcW w:w="443" w:type="pct"/>
            <w:noWrap w:val="0"/>
            <w:vAlign w:val="center"/>
          </w:tcPr>
          <w:p>
            <w:pPr>
              <w:tabs>
                <w:tab w:val="left" w:pos="322"/>
              </w:tabs>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tc>
        <w:tc>
          <w:tcPr>
            <w:tcW w:w="910"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9</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加强城市绿色交通体系建设</w:t>
            </w: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扎实推进慢行优先、公交优先、绿色优先，中心城区绿色出行比例进一步提升。</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区城市管理委</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10</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控制非二氧化碳温室气体排放</w:t>
            </w:r>
          </w:p>
        </w:tc>
        <w:tc>
          <w:tcPr>
            <w:tcW w:w="2056" w:type="pct"/>
            <w:noWrap w:val="0"/>
            <w:vAlign w:val="center"/>
          </w:tcPr>
          <w:p>
            <w:pPr>
              <w:snapToGrid w:val="0"/>
              <w:rPr>
                <w:rFonts w:hint="eastAsia" w:ascii="Times New Roman" w:hAnsi="Times New Roman"/>
              </w:rPr>
            </w:pPr>
            <w:r>
              <w:rPr>
                <w:rFonts w:hint="eastAsia" w:ascii="宋体" w:hAnsi="宋体" w:cs="宋体"/>
                <w:kern w:val="0"/>
                <w:szCs w:val="21"/>
              </w:rPr>
              <w:t>落实北京市甲烷排放控制方案，严格控制相关领域甲烷排放，促进甲烷资源化利用。</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区城市管理委</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11</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提升生态系统应对气候变化能力</w:t>
            </w: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提升生态系统碳汇能力，森林覆盖率保持稳定。</w:t>
            </w:r>
          </w:p>
          <w:p>
            <w:pPr>
              <w:snapToGrid w:val="0"/>
              <w:rPr>
                <w:rFonts w:hint="eastAsia" w:ascii="宋体" w:hAnsi="宋体" w:cs="宋体"/>
                <w:kern w:val="0"/>
                <w:szCs w:val="21"/>
              </w:rPr>
            </w:pPr>
            <w:r>
              <w:rPr>
                <w:rFonts w:hint="eastAsia" w:ascii="宋体" w:hAnsi="宋体" w:cs="宋体"/>
                <w:kern w:val="0"/>
                <w:szCs w:val="21"/>
              </w:rPr>
              <w:t>构建生态廊道和城镇建设相互交融的空间格局。</w:t>
            </w:r>
          </w:p>
        </w:tc>
        <w:tc>
          <w:tcPr>
            <w:tcW w:w="443" w:type="pct"/>
            <w:noWrap w:val="0"/>
            <w:vAlign w:val="center"/>
          </w:tcPr>
          <w:p>
            <w:pPr>
              <w:snapToGrid w:val="0"/>
              <w:ind w:right="-105" w:rightChars="-50"/>
              <w:rPr>
                <w:rFonts w:hint="eastAsia" w:ascii="宋体" w:hAnsi="宋体" w:cs="宋体"/>
                <w:kern w:val="0"/>
                <w:szCs w:val="21"/>
              </w:rPr>
            </w:pPr>
            <w:r>
              <w:rPr>
                <w:rFonts w:hint="eastAsia" w:ascii="宋体" w:hAnsi="宋体" w:cs="宋体"/>
                <w:kern w:val="0"/>
                <w:szCs w:val="21"/>
              </w:rPr>
              <w:t>年底前</w:t>
            </w:r>
          </w:p>
        </w:tc>
        <w:tc>
          <w:tcPr>
            <w:tcW w:w="967" w:type="pct"/>
            <w:noWrap w:val="0"/>
            <w:tcMar>
              <w:left w:w="57" w:type="dxa"/>
              <w:right w:w="28" w:type="dxa"/>
            </w:tcMar>
            <w:vAlign w:val="center"/>
          </w:tcPr>
          <w:p>
            <w:pPr>
              <w:snapToGrid w:val="0"/>
              <w:spacing w:line="360" w:lineRule="exact"/>
              <w:ind w:left="-105" w:leftChars="-50" w:right="-105" w:rightChars="-50"/>
              <w:jc w:val="center"/>
              <w:rPr>
                <w:rFonts w:ascii="宋体" w:hAnsi="宋体" w:cs="宋体"/>
                <w:kern w:val="0"/>
                <w:szCs w:val="21"/>
              </w:rPr>
            </w:pPr>
            <w:r>
              <w:rPr>
                <w:rFonts w:hint="eastAsia" w:ascii="宋体" w:hAnsi="宋体" w:cs="宋体"/>
                <w:kern w:val="0"/>
                <w:szCs w:val="21"/>
              </w:rPr>
              <w:t>区园林绿化局</w:t>
            </w:r>
          </w:p>
          <w:p>
            <w:pPr>
              <w:snapToGrid w:val="0"/>
              <w:spacing w:line="360" w:lineRule="exact"/>
              <w:ind w:left="-105" w:leftChars="-50" w:right="-105" w:rightChars="-50"/>
              <w:jc w:val="center"/>
              <w:rPr>
                <w:rFonts w:ascii="宋体" w:hAnsi="宋体" w:cs="宋体"/>
                <w:kern w:val="0"/>
                <w:szCs w:val="21"/>
              </w:rPr>
            </w:pPr>
            <w:r>
              <w:rPr>
                <w:rFonts w:hint="eastAsia" w:ascii="宋体" w:hAnsi="宋体" w:cs="宋体"/>
                <w:kern w:val="0"/>
                <w:szCs w:val="21"/>
              </w:rPr>
              <w:t>市规划自然资源委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石景山分局</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00" w:type="pct"/>
            <w:gridSpan w:val="6"/>
            <w:noWrap w:val="0"/>
            <w:vAlign w:val="center"/>
          </w:tcPr>
          <w:p>
            <w:pPr>
              <w:snapToGrid w:val="0"/>
              <w:ind w:left="-105" w:leftChars="-50" w:right="-105" w:rightChars="-50"/>
              <w:jc w:val="center"/>
              <w:rPr>
                <w:rFonts w:hint="eastAsia" w:ascii="宋体" w:hAnsi="宋体" w:cs="宋体"/>
                <w:kern w:val="0"/>
                <w:szCs w:val="21"/>
              </w:rPr>
            </w:pPr>
            <w:r>
              <w:rPr>
                <w:rFonts w:hint="eastAsia" w:ascii="黑体" w:hAnsi="黑体" w:eastAsia="黑体" w:cs="黑体"/>
                <w:kern w:val="0"/>
                <w:szCs w:val="21"/>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12</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加强适应气候变化工作统筹</w:t>
            </w:r>
          </w:p>
        </w:tc>
        <w:tc>
          <w:tcPr>
            <w:tcW w:w="2056" w:type="pct"/>
            <w:noWrap w:val="0"/>
            <w:vAlign w:val="center"/>
          </w:tcPr>
          <w:p>
            <w:pPr>
              <w:snapToGrid w:val="0"/>
              <w:rPr>
                <w:rFonts w:hint="eastAsia" w:ascii="宋体" w:hAnsi="宋体" w:eastAsia="宋体" w:cs="宋体"/>
                <w:kern w:val="0"/>
                <w:szCs w:val="21"/>
              </w:rPr>
            </w:pPr>
            <w:r>
              <w:rPr>
                <w:rFonts w:hint="eastAsia" w:ascii="Times New Roman" w:hAnsi="Times New Roman"/>
              </w:rPr>
              <w:t>推</w:t>
            </w:r>
            <w:r>
              <w:rPr>
                <w:rFonts w:hint="eastAsia" w:ascii="宋体" w:hAnsi="宋体" w:eastAsia="宋体" w:cs="宋体"/>
                <w:kern w:val="0"/>
                <w:szCs w:val="21"/>
              </w:rPr>
              <w:t>动落实北京市适应气候变化行动方案，传播城市适应气候变化理念。</w:t>
            </w:r>
          </w:p>
          <w:p>
            <w:pPr>
              <w:snapToGrid w:val="0"/>
              <w:rPr>
                <w:rFonts w:hint="eastAsia" w:ascii="宋体" w:hAnsi="宋体" w:cs="宋体"/>
                <w:szCs w:val="21"/>
              </w:rPr>
            </w:pPr>
            <w:r>
              <w:rPr>
                <w:rFonts w:hint="eastAsia" w:ascii="宋体" w:hAnsi="宋体" w:eastAsia="宋体" w:cs="宋体"/>
                <w:kern w:val="0"/>
                <w:szCs w:val="21"/>
              </w:rPr>
              <w:t>贯彻落实《国家气候变化健康适应行动方案（2024-2030年）》。</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Times New Roman" w:hAnsi="Times New Roman"/>
              </w:rPr>
            </w:pPr>
            <w:r>
              <w:rPr>
                <w:rFonts w:hint="eastAsia" w:ascii="Times New Roman" w:hAnsi="Times New Roman"/>
              </w:rPr>
              <w:t>区生态环境局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区卫生健康委</w:t>
            </w:r>
          </w:p>
        </w:tc>
        <w:tc>
          <w:tcPr>
            <w:tcW w:w="910" w:type="pct"/>
            <w:noWrap w:val="0"/>
            <w:vAlign w:val="center"/>
          </w:tcPr>
          <w:p>
            <w:pPr>
              <w:snapToGrid w:val="0"/>
              <w:jc w:val="center"/>
              <w:rPr>
                <w:rFonts w:hint="eastAsia" w:ascii="宋体" w:hAnsi="宋体" w:cs="宋体"/>
                <w:kern w:val="0"/>
                <w:szCs w:val="21"/>
              </w:rPr>
            </w:pPr>
            <w:r>
              <w:rPr>
                <w:rFonts w:hint="eastAsia" w:ascii="Times New Roman" w:hAnsi="Times New Roman"/>
              </w:rPr>
              <w:t>市规划自然资源委</w:t>
            </w:r>
            <w:r>
              <w:rPr>
                <w:rFonts w:hint="eastAsia" w:ascii="Times New Roman" w:hAnsi="Times New Roman"/>
              </w:rPr>
              <w:cr/>
            </w:r>
            <w:r>
              <w:rPr>
                <w:rFonts w:hint="eastAsia" w:ascii="Times New Roman" w:hAnsi="Times New Roman"/>
              </w:rPr>
              <w:t>石景山分局</w:t>
            </w:r>
          </w:p>
          <w:p>
            <w:pPr>
              <w:snapToGrid w:val="0"/>
              <w:jc w:val="center"/>
              <w:rPr>
                <w:rFonts w:hint="eastAsia" w:ascii="宋体" w:hAnsi="宋体" w:cs="宋体"/>
                <w:kern w:val="0"/>
                <w:szCs w:val="21"/>
              </w:rPr>
            </w:pPr>
            <w:r>
              <w:rPr>
                <w:rFonts w:hint="eastAsia" w:ascii="宋体" w:hAnsi="宋体" w:cs="宋体"/>
                <w:kern w:val="0"/>
                <w:szCs w:val="21"/>
              </w:rPr>
              <w:t>区发展改革委</w:t>
            </w:r>
          </w:p>
          <w:p>
            <w:pPr>
              <w:snapToGrid w:val="0"/>
              <w:jc w:val="center"/>
              <w:rPr>
                <w:rFonts w:hint="eastAsia" w:ascii="宋体" w:hAnsi="宋体" w:cs="宋体"/>
                <w:kern w:val="0"/>
                <w:szCs w:val="21"/>
              </w:rPr>
            </w:pPr>
            <w:r>
              <w:rPr>
                <w:rFonts w:hint="eastAsia" w:ascii="宋体" w:hAnsi="宋体" w:cs="宋体"/>
                <w:kern w:val="0"/>
                <w:szCs w:val="21"/>
              </w:rPr>
              <w:t>区应急局</w:t>
            </w:r>
          </w:p>
          <w:p>
            <w:pPr>
              <w:snapToGrid w:val="0"/>
              <w:jc w:val="center"/>
              <w:rPr>
                <w:rFonts w:hint="eastAsia" w:ascii="宋体" w:hAnsi="宋体" w:cs="宋体"/>
                <w:kern w:val="0"/>
                <w:szCs w:val="21"/>
              </w:rPr>
            </w:pPr>
            <w:r>
              <w:rPr>
                <w:rFonts w:hint="eastAsia" w:ascii="宋体" w:hAnsi="宋体" w:cs="宋体"/>
                <w:kern w:val="0"/>
                <w:szCs w:val="21"/>
              </w:rPr>
              <w:t>区气象局</w:t>
            </w:r>
          </w:p>
          <w:p>
            <w:pPr>
              <w:snapToGrid w:val="0"/>
              <w:jc w:val="center"/>
              <w:rPr>
                <w:rFonts w:hint="eastAsia" w:ascii="宋体" w:hAnsi="宋体" w:cs="宋体"/>
                <w:kern w:val="0"/>
                <w:szCs w:val="21"/>
              </w:rPr>
            </w:pPr>
            <w:r>
              <w:rPr>
                <w:rFonts w:hint="eastAsia" w:ascii="宋体" w:hAnsi="宋体" w:cs="宋体"/>
                <w:kern w:val="0"/>
                <w:szCs w:val="21"/>
              </w:rPr>
              <w:t>区城市管理委</w:t>
            </w:r>
          </w:p>
          <w:p>
            <w:pPr>
              <w:snapToGrid w:val="0"/>
              <w:jc w:val="center"/>
              <w:rPr>
                <w:rFonts w:hint="eastAsia" w:ascii="宋体" w:hAnsi="宋体" w:cs="宋体"/>
                <w:szCs w:val="21"/>
              </w:rPr>
            </w:pPr>
            <w:r>
              <w:rPr>
                <w:rFonts w:hint="eastAsia" w:ascii="宋体" w:hAnsi="宋体" w:cs="宋体"/>
                <w:szCs w:val="21"/>
              </w:rPr>
              <w:t>石景山园管委会区科委</w:t>
            </w:r>
          </w:p>
          <w:p>
            <w:pPr>
              <w:snapToGrid w:val="0"/>
              <w:ind w:left="-105" w:leftChars="-50" w:right="-105" w:rightChars="-50"/>
              <w:jc w:val="center"/>
              <w:rPr>
                <w:rFonts w:hint="eastAsia" w:ascii="宋体" w:hAnsi="宋体" w:cs="宋体"/>
                <w:kern w:val="0"/>
                <w:szCs w:val="21"/>
              </w:rPr>
            </w:pPr>
            <w:r>
              <w:rPr>
                <w:rFonts w:hint="eastAsia" w:ascii="Times New Roman" w:hAnsi="Times New Roman"/>
              </w:rPr>
              <w:t>区住房城市建设委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区文化和旅游局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区园林绿化局</w:t>
            </w:r>
          </w:p>
          <w:p>
            <w:pPr>
              <w:snapToGrid w:val="0"/>
              <w:ind w:left="-105" w:leftChars="-50" w:right="-105" w:rightChars="-50"/>
              <w:jc w:val="center"/>
              <w:rPr>
                <w:rFonts w:hint="eastAsia" w:ascii="宋体" w:hAnsi="宋体" w:cs="宋体"/>
                <w:szCs w:val="21"/>
              </w:rPr>
            </w:pPr>
            <w:r>
              <w:rPr>
                <w:rFonts w:hint="eastAsia" w:ascii="宋体" w:hAnsi="宋体" w:cs="宋体"/>
                <w:kern w:val="0"/>
                <w:szCs w:val="21"/>
              </w:rPr>
              <w:t>区财政局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区银行保险产业园管理委员会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13</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加强海绵城市建设</w:t>
            </w:r>
          </w:p>
        </w:tc>
        <w:tc>
          <w:tcPr>
            <w:tcW w:w="2056" w:type="pct"/>
            <w:noWrap w:val="0"/>
            <w:vAlign w:val="center"/>
          </w:tcPr>
          <w:p>
            <w:pPr>
              <w:spacing w:after="120"/>
              <w:rPr>
                <w:rFonts w:ascii="Times New Roman" w:hAnsi="Times New Roman"/>
              </w:rPr>
            </w:pPr>
            <w:r>
              <w:rPr>
                <w:rFonts w:hint="eastAsia" w:ascii="Times New Roman" w:hAnsi="Times New Roman"/>
              </w:rPr>
              <w:t>全区范围推广开展“海绵校园”“海绵公园”“海绵道路”等海绵城市建设工程。</w:t>
            </w:r>
            <w:r>
              <w:rPr>
                <w:rFonts w:hint="eastAsia" w:ascii="宋体" w:hAnsi="宋体" w:cs="宋体"/>
              </w:rPr>
              <w:t>建成区海绵城市达标面积比例达到北京市要求。</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区城市管理委</w:t>
            </w:r>
          </w:p>
        </w:tc>
        <w:tc>
          <w:tcPr>
            <w:tcW w:w="910" w:type="pct"/>
            <w:noWrap w:val="0"/>
            <w:vAlign w:val="center"/>
          </w:tcPr>
          <w:p>
            <w:pPr>
              <w:snapToGrid w:val="0"/>
              <w:jc w:val="center"/>
              <w:rPr>
                <w:rFonts w:hint="eastAsia" w:ascii="宋体" w:hAnsi="宋体" w:cs="宋体"/>
                <w:kern w:val="0"/>
                <w:szCs w:val="21"/>
              </w:rPr>
            </w:pPr>
            <w:r>
              <w:rPr>
                <w:rFonts w:hint="eastAsia" w:ascii="Times New Roman" w:hAnsi="Times New Roman"/>
              </w:rPr>
              <w:t>市规划自然资源委</w:t>
            </w:r>
            <w:r>
              <w:rPr>
                <w:rFonts w:hint="eastAsia" w:ascii="Times New Roman" w:hAnsi="Times New Roman"/>
              </w:rPr>
              <w:cr/>
            </w:r>
            <w:r>
              <w:rPr>
                <w:rFonts w:hint="eastAsia" w:ascii="Times New Roman" w:hAnsi="Times New Roman"/>
              </w:rPr>
              <w:t>石景山分局</w:t>
            </w:r>
          </w:p>
          <w:p>
            <w:pPr>
              <w:snapToGrid w:val="0"/>
              <w:ind w:left="-105" w:leftChars="-50" w:right="-105" w:rightChars="-50"/>
              <w:jc w:val="center"/>
              <w:rPr>
                <w:rFonts w:hint="eastAsia" w:ascii="Times New Roman" w:hAnsi="Times New Roman"/>
              </w:rPr>
            </w:pPr>
            <w:r>
              <w:rPr>
                <w:rFonts w:hint="eastAsia" w:ascii="Times New Roman" w:hAnsi="Times New Roman"/>
              </w:rPr>
              <w:t>区住房城市建设委</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14</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提升监测预警能力</w:t>
            </w:r>
          </w:p>
        </w:tc>
        <w:tc>
          <w:tcPr>
            <w:tcW w:w="2056" w:type="pct"/>
            <w:noWrap w:val="0"/>
            <w:vAlign w:val="center"/>
          </w:tcPr>
          <w:p>
            <w:pPr>
              <w:snapToGrid w:val="0"/>
              <w:rPr>
                <w:rFonts w:ascii="宋体" w:hAnsi="宋体" w:cs="宋体"/>
                <w:kern w:val="0"/>
                <w:szCs w:val="21"/>
              </w:rPr>
            </w:pPr>
            <w:r>
              <w:rPr>
                <w:rFonts w:hint="eastAsia" w:ascii="Times New Roman" w:hAnsi="Times New Roman"/>
              </w:rPr>
              <w:t>健全覆盖全区的气象监测和自然灾害预警系统，进一步提高短时临近气象预报精准度，加大重点区域的精准预测预警。</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jc w:val="center"/>
              <w:rPr>
                <w:rFonts w:hint="eastAsia" w:ascii="宋体" w:hAnsi="宋体" w:cs="宋体"/>
                <w:kern w:val="0"/>
                <w:szCs w:val="21"/>
              </w:rPr>
            </w:pPr>
            <w:r>
              <w:rPr>
                <w:rFonts w:hint="eastAsia" w:ascii="宋体" w:hAnsi="宋体" w:cs="宋体"/>
                <w:kern w:val="0"/>
                <w:szCs w:val="21"/>
              </w:rPr>
              <w:t>区气象局</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6"/>
            <w:noWrap w:val="0"/>
            <w:vAlign w:val="center"/>
          </w:tcPr>
          <w:p>
            <w:pPr>
              <w:snapToGrid w:val="0"/>
              <w:ind w:left="-105" w:leftChars="-50" w:right="-105" w:rightChars="-50"/>
              <w:jc w:val="center"/>
              <w:rPr>
                <w:rFonts w:hint="eastAsia" w:ascii="宋体" w:hAnsi="宋体" w:cs="宋体"/>
                <w:b/>
                <w:kern w:val="0"/>
                <w:szCs w:val="21"/>
              </w:rPr>
            </w:pPr>
            <w:r>
              <w:rPr>
                <w:rFonts w:hint="eastAsia" w:ascii="黑体" w:hAnsi="黑体" w:eastAsia="黑体" w:cs="黑体"/>
                <w:kern w:val="0"/>
                <w:szCs w:val="21"/>
              </w:rPr>
              <w:t>五、强化综合保障和能力建设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0" w:type="pct"/>
            <w:vMerge w:val="restart"/>
            <w:noWrap w:val="0"/>
            <w:vAlign w:val="center"/>
          </w:tcPr>
          <w:p>
            <w:pPr>
              <w:snapToGrid w:val="0"/>
              <w:jc w:val="center"/>
              <w:rPr>
                <w:rFonts w:ascii="宋体" w:hAnsi="宋体" w:cs="宋体"/>
                <w:kern w:val="0"/>
                <w:szCs w:val="21"/>
                <w:lang w:val="en"/>
              </w:rPr>
            </w:pPr>
            <w:r>
              <w:rPr>
                <w:rFonts w:hint="eastAsia" w:ascii="宋体" w:hAnsi="宋体" w:cs="宋体"/>
                <w:kern w:val="0"/>
                <w:szCs w:val="21"/>
              </w:rPr>
              <w:t>15</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提升统计核算能力和数据质量管理</w:t>
            </w:r>
          </w:p>
        </w:tc>
        <w:tc>
          <w:tcPr>
            <w:tcW w:w="2056" w:type="pct"/>
            <w:noWrap w:val="0"/>
            <w:vAlign w:val="center"/>
          </w:tcPr>
          <w:p>
            <w:pPr>
              <w:snapToGrid w:val="0"/>
              <w:rPr>
                <w:rFonts w:hint="eastAsia" w:ascii="Times New Roman" w:hAnsi="Times New Roman"/>
              </w:rPr>
            </w:pPr>
            <w:r>
              <w:rPr>
                <w:rFonts w:hint="eastAsia" w:ascii="Times New Roman" w:hAnsi="Times New Roman"/>
              </w:rPr>
              <w:t>编制区级温室气体清单。</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snapToGrid w:val="0"/>
              <w:rPr>
                <w:rFonts w:hint="eastAsia"/>
              </w:rPr>
            </w:pPr>
            <w:r>
              <w:rPr>
                <w:rFonts w:hint="eastAsia" w:ascii="Times New Roman" w:hAnsi="Times New Roman"/>
              </w:rPr>
              <w:t>做好全区能源运行监测分析，</w:t>
            </w:r>
            <w:r>
              <w:rPr>
                <w:rFonts w:hint="eastAsia"/>
              </w:rPr>
              <w:t>夯实碳排放核算数据基础</w:t>
            </w:r>
            <w:r>
              <w:rPr>
                <w:rFonts w:hint="eastAsia" w:ascii="Times New Roman" w:hAnsi="Times New Roman"/>
              </w:rPr>
              <w:t>，</w:t>
            </w:r>
            <w:r>
              <w:rPr>
                <w:rFonts w:hint="eastAsia"/>
              </w:rPr>
              <w:t>定期统计核算全区能源运行碳排放情况，加强全区碳排放形势分析。</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szCs w:val="21"/>
              </w:rPr>
            </w:pPr>
            <w:r>
              <w:rPr>
                <w:rFonts w:hint="eastAsia" w:ascii="宋体" w:hAnsi="宋体" w:cs="宋体"/>
                <w:szCs w:val="21"/>
              </w:rPr>
              <w:t>区生态环境局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区统计局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区发展改革委</w:t>
            </w:r>
          </w:p>
          <w:p>
            <w:pPr>
              <w:jc w:val="center"/>
              <w:rPr>
                <w:rFonts w:hint="eastAsia" w:ascii="宋体" w:hAnsi="宋体" w:cs="宋体"/>
                <w:kern w:val="0"/>
                <w:szCs w:val="21"/>
              </w:rPr>
            </w:pPr>
            <w:r>
              <w:rPr>
                <w:rFonts w:hint="eastAsia" w:ascii="宋体" w:hAnsi="宋体" w:cs="宋体"/>
                <w:kern w:val="0"/>
                <w:szCs w:val="21"/>
              </w:rPr>
              <w:t>区城市管理委</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 w:type="pct"/>
            <w:vMerge w:val="restart"/>
            <w:noWrap w:val="0"/>
            <w:vAlign w:val="center"/>
          </w:tcPr>
          <w:p>
            <w:pPr>
              <w:snapToGrid w:val="0"/>
              <w:jc w:val="center"/>
              <w:rPr>
                <w:rFonts w:ascii="宋体" w:hAnsi="宋体" w:cs="宋体"/>
                <w:kern w:val="0"/>
                <w:szCs w:val="21"/>
                <w:lang w:val="en"/>
              </w:rPr>
            </w:pPr>
            <w:r>
              <w:rPr>
                <w:rFonts w:hint="eastAsia" w:ascii="宋体" w:hAnsi="宋体" w:cs="宋体"/>
                <w:kern w:val="0"/>
                <w:szCs w:val="21"/>
              </w:rPr>
              <w:t>16</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强化应对气候变化的财政及经济政策支持</w:t>
            </w:r>
          </w:p>
        </w:tc>
        <w:tc>
          <w:tcPr>
            <w:tcW w:w="2056" w:type="pct"/>
            <w:noWrap w:val="0"/>
            <w:vAlign w:val="center"/>
          </w:tcPr>
          <w:p>
            <w:pPr>
              <w:pStyle w:val="23"/>
              <w:snapToGrid w:val="0"/>
              <w:rPr>
                <w:rFonts w:hint="eastAsia" w:ascii="宋体" w:hAnsi="宋体" w:cs="宋体"/>
                <w:kern w:val="0"/>
              </w:rPr>
            </w:pPr>
            <w:r>
              <w:rPr>
                <w:rFonts w:hint="eastAsia" w:ascii="宋体" w:hAnsi="宋体" w:cs="宋体"/>
                <w:kern w:val="0"/>
              </w:rPr>
              <w:t>统筹做好对减缓和适应气候变化工作的资金保障，鼓励低碳技术研发推广和项目建设，逐步削减对燃气供暖等化石能源消费的政策补贴。积极争取国家、北京市可再生能源开发利用、温室气体排放控制、低碳试点示范等方面的政策支持。</w:t>
            </w:r>
          </w:p>
        </w:tc>
        <w:tc>
          <w:tcPr>
            <w:tcW w:w="443"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vMerge w:val="restart"/>
            <w:noWrap w:val="0"/>
            <w:vAlign w:val="center"/>
          </w:tcPr>
          <w:p>
            <w:pPr>
              <w:snapToGrid w:val="0"/>
              <w:ind w:left="-105" w:leftChars="-50" w:right="-105" w:rightChars="-50"/>
              <w:jc w:val="center"/>
              <w:rPr>
                <w:rFonts w:hint="eastAsia" w:ascii="Times New Roman" w:hAnsi="Times New Roman"/>
              </w:rPr>
            </w:pPr>
            <w:r>
              <w:rPr>
                <w:rFonts w:hint="eastAsia" w:ascii="Times New Roman" w:hAnsi="Times New Roman"/>
              </w:rPr>
              <w:t>区发展改革委</w:t>
            </w:r>
          </w:p>
          <w:p>
            <w:pPr>
              <w:snapToGrid w:val="0"/>
              <w:ind w:left="-105" w:leftChars="-50" w:right="-105" w:rightChars="-50"/>
              <w:jc w:val="center"/>
              <w:rPr>
                <w:rFonts w:hint="eastAsia" w:ascii="Times New Roman" w:hAnsi="Times New Roman"/>
              </w:rPr>
            </w:pPr>
            <w:r>
              <w:rPr>
                <w:rFonts w:hint="eastAsia" w:ascii="Times New Roman" w:hAnsi="Times New Roman"/>
              </w:rPr>
              <w:t>区财政局</w:t>
            </w:r>
          </w:p>
          <w:p>
            <w:pPr>
              <w:snapToGrid w:val="0"/>
              <w:ind w:left="-105" w:leftChars="-50" w:right="-105" w:rightChars="-50"/>
              <w:jc w:val="center"/>
              <w:rPr>
                <w:rFonts w:hint="eastAsia" w:ascii="Times New Roman" w:hAnsi="Times New Roman"/>
              </w:rPr>
            </w:pPr>
            <w:r>
              <w:rPr>
                <w:rFonts w:hint="eastAsia" w:ascii="Times New Roman" w:hAnsi="Times New Roman"/>
              </w:rPr>
              <w:t>区生态环境局</w:t>
            </w:r>
          </w:p>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区银行保险产业园管理委员会</w:t>
            </w:r>
          </w:p>
          <w:p>
            <w:pPr>
              <w:snapToGrid w:val="0"/>
              <w:jc w:val="center"/>
              <w:rPr>
                <w:rFonts w:ascii="宋体" w:hAnsi="宋体" w:cs="宋体"/>
                <w:szCs w:val="21"/>
              </w:rPr>
            </w:pPr>
            <w:r>
              <w:rPr>
                <w:rFonts w:hint="eastAsia" w:ascii="宋体" w:hAnsi="宋体" w:cs="宋体"/>
                <w:szCs w:val="21"/>
              </w:rPr>
              <w:t>石景山园管委会区科委</w:t>
            </w:r>
          </w:p>
        </w:tc>
        <w:tc>
          <w:tcPr>
            <w:tcW w:w="910"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20" w:type="pct"/>
            <w:vMerge w:val="continue"/>
            <w:noWrap w:val="0"/>
            <w:vAlign w:val="center"/>
          </w:tcPr>
          <w:p>
            <w:pPr>
              <w:snapToGrid w:val="0"/>
              <w:jc w:val="center"/>
              <w:rPr>
                <w:rFonts w:hint="eastAsia" w:ascii="宋体" w:hAnsi="宋体" w:cs="宋体"/>
                <w:kern w:val="0"/>
                <w:szCs w:val="21"/>
              </w:rPr>
            </w:pPr>
          </w:p>
        </w:tc>
        <w:tc>
          <w:tcPr>
            <w:tcW w:w="402"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2056" w:type="pct"/>
            <w:noWrap w:val="0"/>
            <w:vAlign w:val="center"/>
          </w:tcPr>
          <w:p>
            <w:pPr>
              <w:pStyle w:val="23"/>
              <w:snapToGrid w:val="0"/>
              <w:rPr>
                <w:rFonts w:hint="eastAsia" w:ascii="宋体" w:hAnsi="宋体" w:cs="宋体"/>
                <w:kern w:val="0"/>
              </w:rPr>
            </w:pPr>
            <w:r>
              <w:rPr>
                <w:rFonts w:hint="eastAsia" w:ascii="宋体" w:hAnsi="宋体" w:cs="宋体"/>
                <w:kern w:val="0"/>
              </w:rPr>
              <w:t>大力推进气候投融资等绿色金融政策，引导更多社会资金流向应对气候变化领域。推动落实北京市碳资产质押融资试点方案。加大对应对气候变化和“双碳”领域的科技支撑。</w:t>
            </w:r>
          </w:p>
        </w:tc>
        <w:tc>
          <w:tcPr>
            <w:tcW w:w="443"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967" w:type="pct"/>
            <w:vMerge w:val="continue"/>
            <w:noWrap w:val="0"/>
            <w:vAlign w:val="center"/>
          </w:tcPr>
          <w:p>
            <w:pPr>
              <w:snapToGrid w:val="0"/>
              <w:ind w:left="-105" w:leftChars="-50" w:right="-105" w:rightChars="-50"/>
              <w:jc w:val="center"/>
              <w:rPr>
                <w:rFonts w:hint="eastAsia" w:ascii="宋体" w:hAnsi="宋体" w:cs="宋体"/>
                <w:kern w:val="0"/>
                <w:szCs w:val="21"/>
              </w:rPr>
            </w:pPr>
          </w:p>
        </w:tc>
        <w:tc>
          <w:tcPr>
            <w:tcW w:w="910" w:type="pct"/>
            <w:vMerge w:val="continue"/>
            <w:noWrap w:val="0"/>
            <w:vAlign w:val="center"/>
          </w:tcPr>
          <w:p>
            <w:pPr>
              <w:snapToGrid w:val="0"/>
              <w:ind w:left="-105" w:leftChars="-50" w:right="-105" w:rightChar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 w:type="pct"/>
            <w:vMerge w:val="restart"/>
            <w:noWrap w:val="0"/>
            <w:vAlign w:val="center"/>
          </w:tcPr>
          <w:p>
            <w:pPr>
              <w:snapToGrid w:val="0"/>
              <w:jc w:val="center"/>
              <w:rPr>
                <w:rFonts w:ascii="宋体" w:hAnsi="宋体" w:cs="宋体"/>
                <w:kern w:val="0"/>
                <w:szCs w:val="21"/>
                <w:lang w:val="en"/>
              </w:rPr>
            </w:pPr>
            <w:r>
              <w:rPr>
                <w:rFonts w:hint="eastAsia" w:ascii="宋体" w:hAnsi="宋体" w:cs="宋体"/>
                <w:kern w:val="0"/>
                <w:szCs w:val="21"/>
                <w:lang w:val="en"/>
              </w:rPr>
              <w:t>17</w:t>
            </w:r>
          </w:p>
        </w:tc>
        <w:tc>
          <w:tcPr>
            <w:tcW w:w="402" w:type="pct"/>
            <w:vMerge w:val="restar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加强宣传引导教育</w:t>
            </w: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 xml:space="preserve">加大应对气候变化宣传力度。组织开展2025年全国低碳日、世界环境日、生态日等宣传活动。推广高效低碳绿色产品，引导市民积极参与低碳出行与垃圾分类等绿色低碳的生活方式和消费理念。 </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szCs w:val="21"/>
              </w:rPr>
              <w:t>区</w:t>
            </w:r>
            <w:r>
              <w:rPr>
                <w:rFonts w:hint="eastAsia" w:ascii="宋体" w:hAnsi="宋体" w:cs="宋体"/>
                <w:kern w:val="0"/>
                <w:szCs w:val="21"/>
              </w:rPr>
              <w:t>生态环境局</w:t>
            </w:r>
          </w:p>
          <w:p>
            <w:pPr>
              <w:snapToGrid w:val="0"/>
              <w:ind w:left="-105" w:leftChars="-50" w:right="-105" w:rightChars="-50"/>
              <w:jc w:val="center"/>
              <w:rPr>
                <w:rFonts w:hint="eastAsia" w:ascii="宋体" w:hAnsi="宋体" w:cs="宋体"/>
                <w:kern w:val="0"/>
                <w:szCs w:val="21"/>
              </w:rPr>
            </w:pPr>
            <w:r>
              <w:rPr>
                <w:rFonts w:hint="eastAsia" w:ascii="宋体" w:hAnsi="宋体" w:cs="宋体"/>
                <w:szCs w:val="21"/>
              </w:rPr>
              <w:t>区</w:t>
            </w:r>
            <w:r>
              <w:rPr>
                <w:rFonts w:hint="eastAsia" w:ascii="宋体" w:hAnsi="宋体" w:cs="宋体"/>
                <w:kern w:val="0"/>
                <w:szCs w:val="21"/>
              </w:rPr>
              <w:t>发展改革委</w:t>
            </w:r>
          </w:p>
          <w:p>
            <w:pPr>
              <w:snapToGrid w:val="0"/>
              <w:ind w:left="-105" w:leftChars="-50" w:right="-105" w:rightChars="-50"/>
              <w:jc w:val="center"/>
              <w:rPr>
                <w:rFonts w:hint="eastAsia" w:ascii="宋体" w:hAnsi="宋体" w:cs="宋体"/>
                <w:szCs w:val="21"/>
              </w:rPr>
            </w:pPr>
            <w:r>
              <w:rPr>
                <w:rFonts w:hint="eastAsia" w:ascii="宋体" w:hAnsi="宋体" w:cs="宋体"/>
                <w:szCs w:val="21"/>
              </w:rPr>
              <w:t>区城市管理委</w:t>
            </w:r>
          </w:p>
          <w:p>
            <w:pPr>
              <w:widowControl/>
              <w:jc w:val="center"/>
              <w:rPr>
                <w:rFonts w:hint="eastAsia"/>
              </w:rPr>
            </w:pPr>
            <w:r>
              <w:rPr>
                <w:rFonts w:hint="eastAsia" w:ascii="宋体" w:hAnsi="宋体" w:cs="宋体"/>
                <w:szCs w:val="21"/>
              </w:rPr>
              <w:t>区机关事务管理服务中心</w:t>
            </w:r>
          </w:p>
        </w:tc>
        <w:tc>
          <w:tcPr>
            <w:tcW w:w="910"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220" w:type="pct"/>
            <w:vMerge w:val="continue"/>
            <w:noWrap w:val="0"/>
            <w:vAlign w:val="center"/>
          </w:tcPr>
          <w:p>
            <w:pPr>
              <w:widowControl/>
              <w:snapToGrid w:val="0"/>
              <w:jc w:val="left"/>
              <w:rPr>
                <w:rFonts w:hint="eastAsia" w:ascii="宋体" w:hAnsi="宋体" w:cs="宋体"/>
                <w:kern w:val="0"/>
                <w:szCs w:val="21"/>
              </w:rPr>
            </w:pPr>
          </w:p>
        </w:tc>
        <w:tc>
          <w:tcPr>
            <w:tcW w:w="402" w:type="pct"/>
            <w:vMerge w:val="continue"/>
            <w:noWrap w:val="0"/>
            <w:vAlign w:val="center"/>
          </w:tcPr>
          <w:p>
            <w:pPr>
              <w:widowControl/>
              <w:snapToGrid w:val="0"/>
              <w:ind w:left="-105" w:leftChars="-50" w:right="-105" w:rightChars="-50"/>
              <w:jc w:val="left"/>
              <w:rPr>
                <w:rFonts w:hint="eastAsia" w:ascii="宋体" w:hAnsi="宋体" w:cs="宋体"/>
                <w:kern w:val="0"/>
                <w:szCs w:val="21"/>
              </w:rPr>
            </w:pP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开展应对气候变化、碳市场等相关教育培训，提高各级党员领导干部和企业人员、社会公众应对气候变化知识的培训力度，将应对气候变化纳入干部教育培训的重要内容，加大应对气候变化领域人才培养，提升推动低碳发展本领。</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spacing w:line="360" w:lineRule="exact"/>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spacing w:line="360" w:lineRule="exact"/>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rPr>
              <w:t>区委组织部</w:t>
            </w:r>
          </w:p>
          <w:p>
            <w:pPr>
              <w:snapToGrid w:val="0"/>
              <w:spacing w:line="360" w:lineRule="exact"/>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rPr>
              <w:t>区人力资源社会保障局</w:t>
            </w:r>
          </w:p>
          <w:p>
            <w:pPr>
              <w:snapToGrid w:val="0"/>
              <w:spacing w:line="360" w:lineRule="exact"/>
              <w:ind w:left="-105" w:leftChars="-50" w:right="-105" w:rightChars="-50"/>
              <w:jc w:val="center"/>
              <w:rPr>
                <w:rFonts w:hint="eastAsia" w:ascii="宋体" w:hAnsi="宋体" w:eastAsia="宋体" w:cs="宋体"/>
                <w:kern w:val="0"/>
                <w:szCs w:val="21"/>
              </w:rPr>
            </w:pPr>
            <w:r>
              <w:rPr>
                <w:rFonts w:hint="eastAsia" w:ascii="宋体" w:hAnsi="宋体" w:eastAsia="宋体" w:cs="宋体"/>
                <w:kern w:val="0"/>
                <w:szCs w:val="21"/>
              </w:rPr>
              <w:t>区委党校</w:t>
            </w:r>
          </w:p>
          <w:p>
            <w:pPr>
              <w:pStyle w:val="10"/>
              <w:ind w:left="3360"/>
              <w:jc w:val="center"/>
              <w:rPr>
                <w:rFonts w:hint="eastAsia" w:cs="Times New Roman"/>
              </w:rPr>
            </w:pPr>
          </w:p>
          <w:p>
            <w:pPr>
              <w:pStyle w:val="10"/>
              <w:ind w:left="336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20" w:type="pct"/>
            <w:noWrap w:val="0"/>
            <w:vAlign w:val="center"/>
          </w:tcPr>
          <w:p>
            <w:pPr>
              <w:snapToGrid w:val="0"/>
              <w:jc w:val="center"/>
              <w:rPr>
                <w:rFonts w:ascii="宋体" w:hAnsi="宋体" w:cs="宋体"/>
                <w:kern w:val="0"/>
                <w:szCs w:val="21"/>
                <w:lang w:val="en"/>
              </w:rPr>
            </w:pPr>
            <w:r>
              <w:rPr>
                <w:rFonts w:hint="eastAsia" w:ascii="宋体" w:hAnsi="宋体" w:cs="宋体"/>
                <w:kern w:val="0"/>
                <w:szCs w:val="21"/>
              </w:rPr>
              <w:t>18</w:t>
            </w:r>
          </w:p>
        </w:tc>
        <w:tc>
          <w:tcPr>
            <w:tcW w:w="402"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开展交流合作</w:t>
            </w:r>
          </w:p>
        </w:tc>
        <w:tc>
          <w:tcPr>
            <w:tcW w:w="2056" w:type="pct"/>
            <w:noWrap w:val="0"/>
            <w:vAlign w:val="center"/>
          </w:tcPr>
          <w:p>
            <w:pPr>
              <w:snapToGrid w:val="0"/>
              <w:rPr>
                <w:rFonts w:hint="eastAsia" w:ascii="宋体" w:hAnsi="宋体" w:cs="宋体"/>
                <w:kern w:val="0"/>
                <w:szCs w:val="21"/>
              </w:rPr>
            </w:pPr>
            <w:r>
              <w:rPr>
                <w:rFonts w:hint="eastAsia" w:ascii="宋体" w:hAnsi="宋体" w:cs="宋体"/>
                <w:kern w:val="0"/>
                <w:szCs w:val="21"/>
              </w:rPr>
              <w:t>积极参加国际大都市清洁空气和应对气候变化论坛等应对气候变化交流活动。</w:t>
            </w:r>
          </w:p>
        </w:tc>
        <w:tc>
          <w:tcPr>
            <w:tcW w:w="443" w:type="pct"/>
            <w:noWrap w:val="0"/>
            <w:vAlign w:val="center"/>
          </w:tcPr>
          <w:p>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rPr>
              <w:t>年底前</w:t>
            </w:r>
          </w:p>
        </w:tc>
        <w:tc>
          <w:tcPr>
            <w:tcW w:w="967" w:type="pct"/>
            <w:noWrap w:val="0"/>
            <w:vAlign w:val="center"/>
          </w:tcPr>
          <w:p>
            <w:pPr>
              <w:snapToGrid w:val="0"/>
              <w:spacing w:line="360" w:lineRule="exact"/>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910" w:type="pct"/>
            <w:noWrap w:val="0"/>
            <w:vAlign w:val="center"/>
          </w:tcPr>
          <w:p>
            <w:pPr>
              <w:snapToGrid w:val="0"/>
              <w:spacing w:line="360" w:lineRule="exact"/>
              <w:ind w:left="-105" w:leftChars="-50" w:right="-105" w:rightChars="-50"/>
              <w:jc w:val="center"/>
              <w:rPr>
                <w:rFonts w:ascii="宋体" w:hAnsi="宋体" w:cs="宋体"/>
                <w:kern w:val="0"/>
                <w:szCs w:val="21"/>
              </w:rPr>
            </w:pPr>
            <w:r>
              <w:rPr>
                <w:rFonts w:hint="eastAsia" w:ascii="宋体" w:hAnsi="宋体" w:cs="宋体"/>
                <w:kern w:val="0"/>
                <w:szCs w:val="21"/>
              </w:rPr>
              <w:t>——</w:t>
            </w:r>
          </w:p>
        </w:tc>
      </w:tr>
    </w:tbl>
    <w:p>
      <w:pPr>
        <w:keepNext w:val="0"/>
        <w:keepLines w:val="0"/>
        <w:pageBreakBefore w:val="0"/>
        <w:widowControl/>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黑体" w:hAnsi="黑体" w:eastAsia="黑体" w:cs="方正小标宋简体"/>
          <w:sz w:val="32"/>
          <w:szCs w:val="32"/>
          <w:lang w:eastAsia="zh-CN"/>
        </w:rPr>
      </w:pPr>
      <w:r>
        <w:rPr>
          <w:rFonts w:hint="eastAsia" w:ascii="黑体" w:hAnsi="黑体" w:eastAsia="黑体" w:cs="黑体"/>
          <w:sz w:val="32"/>
          <w:szCs w:val="32"/>
        </w:rPr>
        <w:br w:type="page"/>
      </w:r>
      <w:bookmarkStart w:id="2" w:name="_GoBack"/>
      <w:bookmarkEnd w:id="2"/>
    </w:p>
    <w:p>
      <w:pPr>
        <w:adjustRightInd w:val="0"/>
        <w:snapToGrid w:val="0"/>
        <w:spacing w:before="360" w:beforeLines="150" w:after="360" w:afterLines="150"/>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eastAsia="zh-CN"/>
        </w:rPr>
        <w:t>石景山区</w:t>
      </w:r>
      <w:r>
        <w:rPr>
          <w:rFonts w:hint="eastAsia" w:ascii="方正小标宋简体" w:hAnsi="方正小标宋简体" w:eastAsia="方正小标宋简体" w:cs="Times New Roman"/>
          <w:sz w:val="44"/>
          <w:szCs w:val="44"/>
        </w:rPr>
        <w:t>生态保护202</w:t>
      </w:r>
      <w:r>
        <w:rPr>
          <w:rFonts w:hint="eastAsia" w:ascii="方正小标宋简体" w:hAnsi="方正小标宋简体" w:eastAsia="方正小标宋简体" w:cs="Times New Roman"/>
          <w:sz w:val="44"/>
          <w:szCs w:val="44"/>
          <w:lang w:val="en-US" w:eastAsia="zh-CN"/>
        </w:rPr>
        <w:t>5</w:t>
      </w:r>
      <w:r>
        <w:rPr>
          <w:rFonts w:hint="eastAsia" w:ascii="方正小标宋简体" w:hAnsi="方正小标宋简体" w:eastAsia="方正小标宋简体" w:cs="Times New Roman"/>
          <w:sz w:val="44"/>
          <w:szCs w:val="44"/>
        </w:rPr>
        <w:t>年行动计划（征求意见稿）</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952"/>
        <w:gridCol w:w="5370"/>
        <w:gridCol w:w="918"/>
        <w:gridCol w:w="3052"/>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8" w:type="pct"/>
            <w:noWrap w:val="0"/>
            <w:vAlign w:val="center"/>
          </w:tcPr>
          <w:p>
            <w:pPr>
              <w:adjustRightInd w:val="0"/>
              <w:snapToGrid w:val="0"/>
              <w:ind w:left="-105" w:leftChars="-50" w:right="-105" w:rightChars="-50"/>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336" w:type="pct"/>
            <w:noWrap w:val="0"/>
            <w:vAlign w:val="center"/>
          </w:tcPr>
          <w:p>
            <w:pPr>
              <w:adjustRightInd w:val="0"/>
              <w:snapToGrid w:val="0"/>
              <w:ind w:left="-105" w:leftChars="-50" w:right="-105" w:rightChars="-50"/>
              <w:jc w:val="center"/>
              <w:rPr>
                <w:rFonts w:hint="eastAsia" w:ascii="黑体" w:hAnsi="黑体" w:eastAsia="黑体" w:cs="黑体"/>
                <w:color w:val="auto"/>
                <w:szCs w:val="21"/>
              </w:rPr>
            </w:pPr>
            <w:r>
              <w:rPr>
                <w:rFonts w:hint="eastAsia" w:ascii="黑体" w:hAnsi="黑体" w:eastAsia="黑体" w:cs="黑体"/>
                <w:color w:val="auto"/>
                <w:szCs w:val="21"/>
              </w:rPr>
              <w:t>重点任务</w:t>
            </w:r>
          </w:p>
        </w:tc>
        <w:tc>
          <w:tcPr>
            <w:tcW w:w="1895" w:type="pct"/>
            <w:noWrap w:val="0"/>
            <w:vAlign w:val="center"/>
          </w:tcPr>
          <w:p>
            <w:pPr>
              <w:adjustRightInd w:val="0"/>
              <w:snapToGrid w:val="0"/>
              <w:jc w:val="center"/>
              <w:rPr>
                <w:rFonts w:hint="eastAsia" w:ascii="黑体" w:hAnsi="黑体" w:eastAsia="黑体" w:cs="黑体"/>
                <w:color w:val="auto"/>
                <w:szCs w:val="21"/>
              </w:rPr>
            </w:pPr>
            <w:r>
              <w:rPr>
                <w:rFonts w:hint="eastAsia" w:ascii="黑体" w:hAnsi="黑体" w:eastAsia="黑体" w:cs="黑体"/>
                <w:color w:val="auto"/>
                <w:szCs w:val="21"/>
              </w:rPr>
              <w:t>工作措施</w:t>
            </w:r>
          </w:p>
        </w:tc>
        <w:tc>
          <w:tcPr>
            <w:tcW w:w="324" w:type="pct"/>
            <w:noWrap w:val="0"/>
            <w:vAlign w:val="center"/>
          </w:tcPr>
          <w:p>
            <w:pPr>
              <w:adjustRightInd w:val="0"/>
              <w:snapToGrid w:val="0"/>
              <w:jc w:val="center"/>
              <w:rPr>
                <w:rFonts w:hint="eastAsia" w:ascii="黑体" w:hAnsi="黑体" w:eastAsia="黑体" w:cs="黑体"/>
                <w:color w:val="auto"/>
                <w:szCs w:val="21"/>
              </w:rPr>
            </w:pPr>
            <w:r>
              <w:rPr>
                <w:rFonts w:hint="eastAsia" w:ascii="黑体" w:hAnsi="黑体" w:eastAsia="黑体" w:cs="黑体"/>
                <w:color w:val="auto"/>
                <w:szCs w:val="21"/>
              </w:rPr>
              <w:t>完成</w:t>
            </w:r>
          </w:p>
          <w:p>
            <w:pPr>
              <w:adjustRightInd w:val="0"/>
              <w:snapToGrid w:val="0"/>
              <w:jc w:val="center"/>
              <w:rPr>
                <w:rFonts w:hint="eastAsia" w:ascii="黑体" w:hAnsi="黑体" w:eastAsia="黑体" w:cs="黑体"/>
                <w:color w:val="auto"/>
                <w:szCs w:val="21"/>
              </w:rPr>
            </w:pPr>
            <w:r>
              <w:rPr>
                <w:rFonts w:hint="eastAsia" w:ascii="黑体" w:hAnsi="黑体" w:eastAsia="黑体" w:cs="黑体"/>
                <w:color w:val="auto"/>
                <w:szCs w:val="21"/>
              </w:rPr>
              <w:t>时限</w:t>
            </w:r>
          </w:p>
        </w:tc>
        <w:tc>
          <w:tcPr>
            <w:tcW w:w="1077" w:type="pct"/>
            <w:noWrap w:val="0"/>
            <w:vAlign w:val="center"/>
          </w:tcPr>
          <w:p>
            <w:pPr>
              <w:autoSpaceDE w:val="0"/>
              <w:adjustRightInd w:val="0"/>
              <w:snapToGrid w:val="0"/>
              <w:jc w:val="center"/>
              <w:rPr>
                <w:rFonts w:hint="eastAsia" w:ascii="黑体" w:hAnsi="黑体" w:eastAsia="黑体" w:cs="黑体"/>
                <w:color w:val="auto"/>
                <w:szCs w:val="21"/>
              </w:rPr>
            </w:pPr>
            <w:r>
              <w:rPr>
                <w:rFonts w:hint="eastAsia" w:ascii="黑体" w:hAnsi="黑体" w:eastAsia="黑体" w:cs="黑体"/>
                <w:color w:val="auto"/>
                <w:szCs w:val="21"/>
              </w:rPr>
              <w:t>主责单位</w:t>
            </w:r>
          </w:p>
        </w:tc>
        <w:tc>
          <w:tcPr>
            <w:tcW w:w="1156" w:type="pct"/>
            <w:noWrap w:val="0"/>
            <w:vAlign w:val="center"/>
          </w:tcPr>
          <w:p>
            <w:pPr>
              <w:autoSpaceDE w:val="0"/>
              <w:adjustRightInd w:val="0"/>
              <w:snapToGrid w:val="0"/>
              <w:jc w:val="center"/>
              <w:rPr>
                <w:rFonts w:hint="eastAsia" w:ascii="黑体" w:hAnsi="黑体" w:eastAsia="黑体" w:cs="黑体"/>
                <w:color w:val="auto"/>
                <w:szCs w:val="21"/>
              </w:rPr>
            </w:pPr>
            <w:r>
              <w:rPr>
                <w:rFonts w:hint="eastAsia" w:ascii="黑体" w:hAnsi="黑体" w:eastAsia="黑体" w:cs="黑体"/>
                <w:color w:val="auto"/>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5000" w:type="pct"/>
            <w:gridSpan w:val="6"/>
            <w:noWrap w:val="0"/>
            <w:vAlign w:val="center"/>
          </w:tcPr>
          <w:p>
            <w:pPr>
              <w:autoSpaceDE w:val="0"/>
              <w:adjustRightInd w:val="0"/>
              <w:snapToGrid w:val="0"/>
              <w:ind w:left="-105" w:leftChars="-50" w:right="-105" w:rightChars="-50"/>
              <w:jc w:val="center"/>
              <w:rPr>
                <w:rFonts w:hint="eastAsia" w:ascii="黑体" w:hAnsi="黑体" w:eastAsia="黑体" w:cs="黑体"/>
                <w:color w:val="auto"/>
                <w:szCs w:val="21"/>
              </w:rPr>
            </w:pPr>
            <w:r>
              <w:rPr>
                <w:rFonts w:hint="eastAsia" w:ascii="黑体" w:hAnsi="黑体" w:eastAsia="黑体" w:cs="黑体"/>
                <w:color w:val="auto"/>
                <w:szCs w:val="21"/>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208" w:type="pc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1</w:t>
            </w:r>
          </w:p>
        </w:tc>
        <w:tc>
          <w:tcPr>
            <w:tcW w:w="336" w:type="pct"/>
            <w:noWrap w:val="0"/>
            <w:vAlign w:val="center"/>
          </w:tcPr>
          <w:p>
            <w:pPr>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目标任务</w:t>
            </w:r>
          </w:p>
        </w:tc>
        <w:tc>
          <w:tcPr>
            <w:tcW w:w="1895" w:type="pct"/>
            <w:noWrap w:val="0"/>
            <w:vAlign w:val="center"/>
          </w:tcPr>
          <w:p>
            <w:pPr>
              <w:adjustRightInd w:val="0"/>
              <w:snapToGrid w:val="0"/>
              <w:rPr>
                <w:rFonts w:hint="eastAsia" w:ascii="宋体" w:hAnsi="宋体" w:eastAsia="宋体" w:cs="宋体"/>
                <w:color w:val="auto"/>
                <w:szCs w:val="21"/>
                <w:lang w:eastAsia="zh-CN"/>
              </w:rPr>
            </w:pPr>
            <w:r>
              <w:rPr>
                <w:rFonts w:hint="eastAsia" w:ascii="宋体" w:hAnsi="宋体" w:eastAsia="宋体" w:cs="宋体"/>
                <w:color w:val="auto"/>
                <w:sz w:val="21"/>
                <w:szCs w:val="21"/>
                <w:highlight w:val="none"/>
                <w:lang w:eastAsia="zh-CN"/>
              </w:rPr>
              <w:t>全区</w:t>
            </w:r>
            <w:r>
              <w:rPr>
                <w:rFonts w:hint="eastAsia" w:ascii="宋体" w:hAnsi="宋体" w:eastAsia="宋体" w:cs="宋体"/>
                <w:color w:val="auto"/>
                <w:sz w:val="21"/>
                <w:szCs w:val="21"/>
                <w:highlight w:val="none"/>
              </w:rPr>
              <w:t>生态环境质量指数（EI）力争稳</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向好。</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cs="宋体"/>
                <w:color w:val="auto"/>
                <w:szCs w:val="21"/>
              </w:rPr>
            </w:pPr>
            <w:r>
              <w:rPr>
                <w:rFonts w:hint="eastAsia" w:ascii="宋体" w:hAnsi="宋体" w:cs="宋体"/>
                <w:color w:val="auto"/>
                <w:sz w:val="21"/>
                <w:szCs w:val="21"/>
                <w:highlight w:val="none"/>
                <w:lang w:val="en-US" w:eastAsia="zh-CN"/>
              </w:rPr>
              <w:t>区</w:t>
            </w:r>
            <w:r>
              <w:rPr>
                <w:rFonts w:hint="eastAsia" w:ascii="宋体" w:hAnsi="宋体" w:eastAsia="宋体" w:cs="宋体"/>
                <w:color w:val="auto"/>
                <w:sz w:val="21"/>
                <w:szCs w:val="21"/>
                <w:highlight w:val="none"/>
              </w:rPr>
              <w:t>生态环境局</w:t>
            </w:r>
          </w:p>
        </w:tc>
        <w:tc>
          <w:tcPr>
            <w:tcW w:w="1156" w:type="pct"/>
            <w:noWrap w:val="0"/>
            <w:vAlign w:val="center"/>
          </w:tcPr>
          <w:p>
            <w:pPr>
              <w:autoSpaceDE w:val="0"/>
              <w:adjustRightInd w:val="0"/>
              <w:snapToGrid w:val="0"/>
              <w:spacing w:line="240" w:lineRule="auto"/>
              <w:jc w:val="center"/>
              <w:rPr>
                <w:rFonts w:hint="default" w:ascii="宋体" w:hAnsi="宋体" w:eastAsia="宋体" w:cs="宋体"/>
                <w:color w:val="auto"/>
                <w:kern w:val="2"/>
                <w:sz w:val="21"/>
                <w:szCs w:val="21"/>
                <w:highlight w:val="none"/>
                <w:lang w:eastAsia="zh-CN"/>
              </w:rPr>
            </w:pPr>
            <w:r>
              <w:rPr>
                <w:rFonts w:hint="default" w:ascii="宋体" w:hAnsi="宋体" w:eastAsia="宋体" w:cs="宋体"/>
                <w:color w:val="auto"/>
                <w:kern w:val="2"/>
                <w:sz w:val="21"/>
                <w:szCs w:val="21"/>
                <w:highlight w:val="none"/>
              </w:rPr>
              <w:t>市规划自然资源委</w:t>
            </w:r>
            <w:r>
              <w:rPr>
                <w:rFonts w:hint="default" w:ascii="宋体" w:hAnsi="宋体" w:eastAsia="宋体" w:cs="宋体"/>
                <w:color w:val="auto"/>
                <w:kern w:val="2"/>
                <w:sz w:val="21"/>
                <w:szCs w:val="21"/>
                <w:highlight w:val="none"/>
                <w:lang w:eastAsia="zh-CN"/>
              </w:rPr>
              <w:t>石景山分局</w:t>
            </w:r>
          </w:p>
          <w:p>
            <w:pPr>
              <w:autoSpaceDE w:val="0"/>
              <w:adjustRightInd w:val="0"/>
              <w:snapToGrid w:val="0"/>
              <w:spacing w:line="240" w:lineRule="auto"/>
              <w:jc w:val="center"/>
              <w:rPr>
                <w:rFonts w:hint="default"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eastAsia="zh-CN"/>
              </w:rPr>
              <w:t>区</w:t>
            </w:r>
            <w:r>
              <w:rPr>
                <w:rFonts w:hint="default" w:ascii="宋体" w:hAnsi="宋体" w:eastAsia="宋体" w:cs="宋体"/>
                <w:color w:val="auto"/>
                <w:kern w:val="2"/>
                <w:sz w:val="21"/>
                <w:szCs w:val="21"/>
                <w:highlight w:val="none"/>
              </w:rPr>
              <w:t>园林绿化局</w:t>
            </w:r>
          </w:p>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hint="eastAsia" w:ascii="宋体" w:hAnsi="宋体" w:cs="宋体"/>
                <w:color w:val="auto"/>
                <w:szCs w:val="21"/>
              </w:rPr>
            </w:pPr>
            <w:r>
              <w:rPr>
                <w:rFonts w:hint="default" w:ascii="宋体" w:hAnsi="宋体" w:eastAsia="宋体" w:cs="宋体"/>
                <w:color w:val="auto"/>
                <w:kern w:val="2"/>
                <w:sz w:val="21"/>
                <w:szCs w:val="21"/>
                <w:highlight w:val="none"/>
                <w:lang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000" w:type="pct"/>
            <w:gridSpan w:val="6"/>
            <w:noWrap w:val="0"/>
            <w:vAlign w:val="center"/>
          </w:tcPr>
          <w:p>
            <w:pPr>
              <w:autoSpaceDE w:val="0"/>
              <w:adjustRightInd w:val="0"/>
              <w:snapToGrid w:val="0"/>
              <w:ind w:left="-105" w:leftChars="-50" w:right="-105" w:rightChars="-50"/>
              <w:jc w:val="center"/>
              <w:rPr>
                <w:rFonts w:hint="eastAsia" w:ascii="宋体" w:hAnsi="宋体" w:cs="宋体"/>
                <w:color w:val="auto"/>
                <w:szCs w:val="21"/>
              </w:rPr>
            </w:pPr>
            <w:r>
              <w:rPr>
                <w:rFonts w:hint="eastAsia" w:ascii="黑体" w:hAnsi="黑体" w:eastAsia="黑体" w:cs="黑体"/>
                <w:color w:val="auto"/>
                <w:szCs w:val="21"/>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08" w:type="pct"/>
            <w:noWrap w:val="0"/>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rPr>
              <w:t>2</w:t>
            </w:r>
          </w:p>
        </w:tc>
        <w:tc>
          <w:tcPr>
            <w:tcW w:w="336" w:type="pct"/>
            <w:tcBorders>
              <w:bottom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强化工作机制</w:t>
            </w:r>
          </w:p>
        </w:tc>
        <w:tc>
          <w:tcPr>
            <w:tcW w:w="1895" w:type="pct"/>
            <w:tcBorders>
              <w:bottom w:val="single" w:color="auto" w:sz="4" w:space="0"/>
            </w:tcBorders>
            <w:noWrap w:val="0"/>
            <w:vAlign w:val="center"/>
          </w:tcPr>
          <w:p>
            <w:pPr>
              <w:adjustRightInd w:val="0"/>
              <w:snapToGrid w:val="0"/>
              <w:rPr>
                <w:rFonts w:hint="eastAsia" w:ascii="宋体" w:hAnsi="宋体" w:cs="宋体"/>
                <w:color w:val="auto"/>
                <w:szCs w:val="21"/>
              </w:rPr>
            </w:pPr>
            <w:r>
              <w:rPr>
                <w:rFonts w:hint="eastAsia" w:ascii="宋体" w:hAnsi="宋体" w:cs="宋体"/>
                <w:color w:val="auto"/>
                <w:szCs w:val="21"/>
                <w:lang w:eastAsia="zh-CN"/>
              </w:rPr>
              <w:t>落实区级</w:t>
            </w:r>
            <w:r>
              <w:rPr>
                <w:rFonts w:hint="eastAsia" w:ascii="宋体" w:hAnsi="宋体" w:cs="宋体"/>
                <w:color w:val="auto"/>
                <w:szCs w:val="21"/>
              </w:rPr>
              <w:t>生物多样性保护协调工作机制</w:t>
            </w:r>
            <w:r>
              <w:rPr>
                <w:rFonts w:hint="eastAsia" w:ascii="宋体" w:hAnsi="宋体" w:cs="宋体"/>
                <w:color w:val="auto"/>
                <w:szCs w:val="21"/>
                <w:lang w:eastAsia="zh-CN"/>
              </w:rPr>
              <w:t>，召开区级生物多样性保护联席会。</w:t>
            </w:r>
            <w:r>
              <w:rPr>
                <w:rFonts w:hint="eastAsia" w:ascii="宋体" w:hAnsi="宋体" w:cs="宋体"/>
                <w:color w:val="auto"/>
                <w:kern w:val="0"/>
                <w:szCs w:val="21"/>
              </w:rPr>
              <w:t>统筹提升生态环境质量，推进生态保护修复监管工作。</w:t>
            </w:r>
          </w:p>
        </w:tc>
        <w:tc>
          <w:tcPr>
            <w:tcW w:w="324" w:type="pct"/>
            <w:tcBorders>
              <w:bottom w:val="single" w:color="auto" w:sz="4" w:space="0"/>
            </w:tcBorders>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tcBorders>
              <w:bottom w:val="single" w:color="auto" w:sz="4" w:space="0"/>
            </w:tcBorders>
            <w:noWrap w:val="0"/>
            <w:vAlign w:val="center"/>
          </w:tcPr>
          <w:p>
            <w:pPr>
              <w:autoSpaceDE w:val="0"/>
              <w:adjustRightInd w:val="0"/>
              <w:snapToGrid w:val="0"/>
              <w:jc w:val="center"/>
              <w:rPr>
                <w:rFonts w:hint="eastAsia" w:ascii="宋体" w:hAnsi="宋体" w:cs="宋体"/>
                <w:color w:val="auto"/>
                <w:szCs w:val="21"/>
              </w:rPr>
            </w:pPr>
            <w:r>
              <w:rPr>
                <w:rFonts w:hint="eastAsia" w:ascii="宋体" w:hAnsi="宋体" w:cs="宋体"/>
                <w:color w:val="auto"/>
                <w:sz w:val="21"/>
                <w:szCs w:val="21"/>
                <w:highlight w:val="none"/>
                <w:lang w:val="en-US" w:eastAsia="zh-CN"/>
              </w:rPr>
              <w:t>区</w:t>
            </w:r>
            <w:r>
              <w:rPr>
                <w:rFonts w:hint="eastAsia" w:ascii="宋体" w:hAnsi="宋体" w:eastAsia="宋体" w:cs="宋体"/>
                <w:color w:val="auto"/>
                <w:sz w:val="21"/>
                <w:szCs w:val="21"/>
                <w:highlight w:val="none"/>
              </w:rPr>
              <w:t>生态环境局</w:t>
            </w:r>
          </w:p>
        </w:tc>
        <w:tc>
          <w:tcPr>
            <w:tcW w:w="1156" w:type="pct"/>
            <w:tcBorders>
              <w:bottom w:val="single" w:color="auto" w:sz="4" w:space="0"/>
            </w:tcBorders>
            <w:noWrap w:val="0"/>
            <w:vAlign w:val="center"/>
          </w:tcPr>
          <w:p>
            <w:pPr>
              <w:autoSpaceDE w:val="0"/>
              <w:adjustRightInd w:val="0"/>
              <w:snapToGrid w:val="0"/>
              <w:spacing w:line="240" w:lineRule="auto"/>
              <w:jc w:val="center"/>
              <w:rPr>
                <w:rFonts w:hint="default"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eastAsia="zh-CN"/>
              </w:rPr>
              <w:t>区</w:t>
            </w:r>
            <w:r>
              <w:rPr>
                <w:rFonts w:hint="default" w:ascii="宋体" w:hAnsi="宋体" w:eastAsia="宋体" w:cs="宋体"/>
                <w:color w:val="auto"/>
                <w:kern w:val="2"/>
                <w:sz w:val="21"/>
                <w:szCs w:val="21"/>
                <w:highlight w:val="none"/>
              </w:rPr>
              <w:t>园林绿化局</w:t>
            </w:r>
          </w:p>
          <w:p>
            <w:pPr>
              <w:autoSpaceDE w:val="0"/>
              <w:adjustRightInd w:val="0"/>
              <w:snapToGrid w:val="0"/>
              <w:spacing w:line="240" w:lineRule="auto"/>
              <w:jc w:val="center"/>
              <w:rPr>
                <w:rFonts w:hint="default"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eastAsia="zh-CN"/>
              </w:rPr>
              <w:t>区城市管理委</w:t>
            </w:r>
          </w:p>
          <w:p>
            <w:pPr>
              <w:autoSpaceDE w:val="0"/>
              <w:adjustRightInd w:val="0"/>
              <w:snapToGrid w:val="0"/>
              <w:spacing w:line="240" w:lineRule="auto"/>
              <w:jc w:val="center"/>
              <w:rPr>
                <w:rFonts w:hint="default" w:ascii="宋体" w:hAnsi="宋体" w:eastAsia="宋体" w:cs="宋体"/>
                <w:color w:val="auto"/>
                <w:kern w:val="2"/>
                <w:sz w:val="21"/>
                <w:szCs w:val="21"/>
                <w:highlight w:val="none"/>
                <w:lang w:eastAsia="zh-CN"/>
              </w:rPr>
            </w:pPr>
            <w:r>
              <w:rPr>
                <w:rFonts w:hint="default" w:ascii="宋体" w:hAnsi="宋体" w:eastAsia="宋体" w:cs="宋体"/>
                <w:color w:val="auto"/>
                <w:kern w:val="2"/>
                <w:sz w:val="21"/>
                <w:szCs w:val="21"/>
                <w:highlight w:val="none"/>
              </w:rPr>
              <w:t>市规划自然资源委</w:t>
            </w:r>
            <w:r>
              <w:rPr>
                <w:rFonts w:hint="default" w:ascii="宋体" w:hAnsi="宋体" w:eastAsia="宋体" w:cs="宋体"/>
                <w:color w:val="auto"/>
                <w:kern w:val="2"/>
                <w:sz w:val="21"/>
                <w:szCs w:val="21"/>
                <w:highlight w:val="none"/>
                <w:lang w:eastAsia="zh-CN"/>
              </w:rPr>
              <w:t>石景山分局</w:t>
            </w:r>
          </w:p>
          <w:p>
            <w:pPr>
              <w:autoSpaceDE w:val="0"/>
              <w:adjustRightInd w:val="0"/>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区发展改革委</w:t>
            </w:r>
          </w:p>
          <w:p>
            <w:pPr>
              <w:autoSpaceDE w:val="0"/>
              <w:adjustRightInd w:val="0"/>
              <w:snapToGrid w:val="0"/>
              <w:spacing w:line="240" w:lineRule="auto"/>
              <w:jc w:val="center"/>
              <w:rPr>
                <w:rFonts w:hint="eastAsia"/>
                <w:color w:val="auto"/>
                <w:lang w:val="en-US" w:eastAsia="zh-CN"/>
              </w:rPr>
            </w:pPr>
            <w:r>
              <w:rPr>
                <w:rFonts w:hint="eastAsia" w:ascii="宋体" w:hAnsi="宋体" w:eastAsia="宋体" w:cs="宋体"/>
                <w:color w:val="auto"/>
                <w:kern w:val="2"/>
                <w:sz w:val="21"/>
                <w:szCs w:val="21"/>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08" w:type="pct"/>
            <w:tcBorders>
              <w:right w:val="single" w:color="auto" w:sz="4" w:space="0"/>
            </w:tcBorders>
            <w:noWrap w:val="0"/>
            <w:vAlign w:val="center"/>
          </w:tcPr>
          <w:p>
            <w:pPr>
              <w:adjustRightInd w:val="0"/>
              <w:snapToGrid w:val="0"/>
              <w:ind w:left="-105" w:leftChars="-50" w:right="-105" w:rightChars="-50"/>
              <w:jc w:val="center"/>
              <w:rPr>
                <w:rFonts w:ascii="宋体" w:hAnsi="宋体" w:cs="宋体"/>
                <w:color w:val="auto"/>
                <w:szCs w:val="21"/>
              </w:rPr>
            </w:pPr>
            <w:r>
              <w:rPr>
                <w:rFonts w:hint="eastAsia" w:ascii="宋体" w:hAnsi="宋体" w:cs="宋体"/>
                <w:color w:val="auto"/>
                <w:szCs w:val="21"/>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加强监测评估</w:t>
            </w:r>
          </w:p>
        </w:tc>
        <w:tc>
          <w:tcPr>
            <w:tcW w:w="18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Cs w:val="21"/>
                <w:lang w:eastAsia="zh-CN"/>
              </w:rPr>
            </w:pPr>
            <w:r>
              <w:rPr>
                <w:rFonts w:hint="eastAsia" w:ascii="宋体" w:hAnsi="宋体" w:cs="宋体"/>
                <w:color w:val="auto"/>
                <w:szCs w:val="21"/>
              </w:rPr>
              <w:t>按照国家</w:t>
            </w:r>
            <w:r>
              <w:rPr>
                <w:rFonts w:hint="eastAsia" w:ascii="宋体" w:hAnsi="宋体" w:cs="宋体"/>
                <w:color w:val="auto"/>
                <w:szCs w:val="21"/>
                <w:lang w:eastAsia="zh-CN"/>
              </w:rPr>
              <w:t>和市级</w:t>
            </w:r>
            <w:r>
              <w:rPr>
                <w:rFonts w:hint="eastAsia" w:ascii="宋体" w:hAnsi="宋体" w:cs="宋体"/>
                <w:color w:val="auto"/>
                <w:szCs w:val="21"/>
              </w:rPr>
              <w:t>相关技术规范，</w:t>
            </w:r>
            <w:r>
              <w:rPr>
                <w:rFonts w:hint="eastAsia" w:ascii="宋体" w:hAnsi="宋体" w:cs="宋体"/>
                <w:color w:val="auto"/>
                <w:szCs w:val="21"/>
                <w:lang w:eastAsia="zh-CN"/>
              </w:rPr>
              <w:t>持续</w:t>
            </w:r>
            <w:r>
              <w:rPr>
                <w:rFonts w:hint="eastAsia" w:ascii="宋体" w:hAnsi="宋体" w:cs="宋体"/>
                <w:color w:val="auto"/>
                <w:szCs w:val="21"/>
              </w:rPr>
              <w:t>开展新一轮生物多样性保护调查</w:t>
            </w:r>
            <w:r>
              <w:rPr>
                <w:rFonts w:hint="eastAsia" w:ascii="宋体" w:hAnsi="宋体" w:cs="宋体"/>
                <w:color w:val="auto"/>
                <w:szCs w:val="21"/>
                <w:lang w:eastAsia="zh-CN"/>
              </w:rPr>
              <w:t>研究工作。</w:t>
            </w:r>
          </w:p>
        </w:tc>
        <w:tc>
          <w:tcPr>
            <w:tcW w:w="3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宋体" w:hAnsi="宋体" w:cs="宋体"/>
                <w:color w:val="auto"/>
                <w:szCs w:val="21"/>
              </w:rPr>
            </w:pPr>
            <w:r>
              <w:rPr>
                <w:rFonts w:hint="eastAsia" w:ascii="宋体" w:hAnsi="宋体" w:cs="宋体"/>
                <w:color w:val="auto"/>
                <w:sz w:val="21"/>
                <w:szCs w:val="21"/>
                <w:highlight w:val="none"/>
                <w:lang w:val="en-US" w:eastAsia="zh-CN"/>
              </w:rPr>
              <w:t>区</w:t>
            </w:r>
            <w:r>
              <w:rPr>
                <w:rFonts w:hint="eastAsia" w:ascii="宋体" w:hAnsi="宋体" w:eastAsia="宋体" w:cs="宋体"/>
                <w:color w:val="auto"/>
                <w:sz w:val="21"/>
                <w:szCs w:val="21"/>
                <w:highlight w:val="none"/>
              </w:rPr>
              <w:t>生态环境局</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spacing w:line="240" w:lineRule="auto"/>
              <w:jc w:val="center"/>
              <w:rPr>
                <w:rFonts w:hint="default"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eastAsia="zh-CN"/>
              </w:rPr>
              <w:t>区</w:t>
            </w:r>
            <w:r>
              <w:rPr>
                <w:rFonts w:hint="default" w:ascii="宋体" w:hAnsi="宋体" w:eastAsia="宋体" w:cs="宋体"/>
                <w:color w:val="auto"/>
                <w:kern w:val="2"/>
                <w:sz w:val="21"/>
                <w:szCs w:val="21"/>
                <w:highlight w:val="none"/>
              </w:rPr>
              <w:t>园林绿化局</w:t>
            </w:r>
          </w:p>
          <w:p>
            <w:pPr>
              <w:autoSpaceDE w:val="0"/>
              <w:adjustRightInd w:val="0"/>
              <w:snapToGrid w:val="0"/>
              <w:spacing w:line="240" w:lineRule="auto"/>
              <w:jc w:val="center"/>
              <w:rPr>
                <w:rFonts w:hint="eastAsia" w:ascii="宋体" w:hAnsi="宋体" w:cs="宋体"/>
                <w:color w:val="auto"/>
                <w:szCs w:val="21"/>
              </w:rPr>
            </w:pPr>
            <w:r>
              <w:rPr>
                <w:rFonts w:hint="default" w:ascii="宋体" w:hAnsi="宋体" w:eastAsia="宋体" w:cs="宋体"/>
                <w:color w:val="auto"/>
                <w:kern w:val="2"/>
                <w:sz w:val="21"/>
                <w:szCs w:val="21"/>
                <w:highlight w:val="none"/>
                <w:lang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208" w:type="pct"/>
            <w:tcBorders>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4</w:t>
            </w:r>
          </w:p>
        </w:tc>
        <w:tc>
          <w:tcPr>
            <w:tcW w:w="33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强化外来入侵物种防控</w:t>
            </w:r>
          </w:p>
        </w:tc>
        <w:tc>
          <w:tcPr>
            <w:tcW w:w="18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color w:val="auto"/>
                <w:szCs w:val="21"/>
              </w:rPr>
            </w:pPr>
            <w:r>
              <w:rPr>
                <w:rFonts w:hint="eastAsia" w:ascii="宋体" w:hAnsi="宋体" w:cs="宋体"/>
                <w:color w:val="auto"/>
                <w:szCs w:val="21"/>
              </w:rPr>
              <w:t>做好引进植物审批监管和美国白蛾等外来入侵物种的监测与综合治理。</w:t>
            </w:r>
          </w:p>
        </w:tc>
        <w:tc>
          <w:tcPr>
            <w:tcW w:w="3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autoSpaceDE w:val="0"/>
              <w:snapToGrid w:val="0"/>
              <w:jc w:val="center"/>
              <w:rPr>
                <w:rFonts w:hint="eastAsia" w:ascii="Times New Roman" w:hAnsi="Times New Roman"/>
                <w:color w:val="auto"/>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5</w:t>
            </w:r>
          </w:p>
        </w:tc>
        <w:tc>
          <w:tcPr>
            <w:tcW w:w="33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保护重点生物遗传资源</w:t>
            </w:r>
          </w:p>
        </w:tc>
        <w:tc>
          <w:tcPr>
            <w:tcW w:w="18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color w:val="auto"/>
                <w:szCs w:val="21"/>
              </w:rPr>
            </w:pPr>
            <w:r>
              <w:rPr>
                <w:rFonts w:hint="eastAsia" w:ascii="宋体" w:hAnsi="宋体" w:eastAsia="宋体" w:cs="宋体"/>
                <w:color w:val="auto"/>
                <w:sz w:val="21"/>
                <w:szCs w:val="21"/>
                <w:highlight w:val="none"/>
                <w:lang w:eastAsia="zh-CN"/>
              </w:rPr>
              <w:t>加强重点林草种质资源保护，</w:t>
            </w:r>
            <w:r>
              <w:rPr>
                <w:rFonts w:hint="eastAsia" w:ascii="宋体" w:hAnsi="宋体" w:cs="宋体"/>
                <w:b w:val="0"/>
                <w:bCs w:val="0"/>
                <w:color w:val="auto"/>
                <w:kern w:val="0"/>
                <w:sz w:val="21"/>
                <w:szCs w:val="21"/>
                <w:highlight w:val="none"/>
                <w:lang w:eastAsia="zh-CN"/>
              </w:rPr>
              <w:t>配合市级部门推动</w:t>
            </w:r>
            <w:r>
              <w:rPr>
                <w:rFonts w:hint="eastAsia" w:ascii="宋体" w:hAnsi="宋体" w:cs="宋体"/>
                <w:color w:val="auto"/>
                <w:szCs w:val="21"/>
              </w:rPr>
              <w:t>构建市级林草种质资源库体系，持续开展林草种质资源收集工作。</w:t>
            </w:r>
          </w:p>
        </w:tc>
        <w:tc>
          <w:tcPr>
            <w:tcW w:w="3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5" w:leftChars="-50" w:right="-105" w:rightChars="-50"/>
              <w:jc w:val="center"/>
              <w:rPr>
                <w:rFonts w:ascii="宋体" w:hAnsi="宋体" w:cs="宋体"/>
                <w:color w:val="auto"/>
                <w:szCs w:val="21"/>
              </w:rPr>
            </w:pPr>
            <w:r>
              <w:rPr>
                <w:rFonts w:hint="eastAsia" w:ascii="宋体" w:hAnsi="宋体" w:cs="宋体"/>
                <w:color w:val="auto"/>
                <w:szCs w:val="21"/>
              </w:rPr>
              <w:t>6</w:t>
            </w:r>
          </w:p>
        </w:tc>
        <w:tc>
          <w:tcPr>
            <w:tcW w:w="33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加强执法检查</w:t>
            </w:r>
          </w:p>
        </w:tc>
        <w:tc>
          <w:tcPr>
            <w:tcW w:w="1895"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color w:val="auto"/>
                <w:szCs w:val="21"/>
              </w:rPr>
            </w:pPr>
            <w:r>
              <w:rPr>
                <w:rFonts w:hint="eastAsia" w:ascii="宋体" w:hAnsi="宋体" w:cs="宋体"/>
                <w:color w:val="auto"/>
                <w:szCs w:val="21"/>
              </w:rPr>
              <w:t>依法查处破坏陆生野生动植物资源及栖息地、侵占和破坏林木种质资源等违法行为。对陆生野生动物及其制品交易进行监督检查。</w:t>
            </w:r>
          </w:p>
        </w:tc>
        <w:tc>
          <w:tcPr>
            <w:tcW w:w="3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000" w:type="pct"/>
            <w:gridSpan w:val="6"/>
            <w:noWrap w:val="0"/>
            <w:vAlign w:val="center"/>
          </w:tcPr>
          <w:p>
            <w:pPr>
              <w:autoSpaceDE w:val="0"/>
              <w:adjustRightInd w:val="0"/>
              <w:snapToGrid w:val="0"/>
              <w:ind w:left="-105" w:leftChars="-50" w:right="-105" w:rightChars="-50"/>
              <w:jc w:val="center"/>
              <w:rPr>
                <w:rFonts w:hint="eastAsia" w:ascii="宋体" w:hAnsi="宋体" w:cs="宋体"/>
                <w:color w:val="auto"/>
                <w:szCs w:val="21"/>
              </w:rPr>
            </w:pPr>
            <w:r>
              <w:rPr>
                <w:rFonts w:hint="eastAsia" w:ascii="黑体" w:hAnsi="黑体" w:eastAsia="黑体" w:cs="黑体"/>
                <w:color w:val="auto"/>
                <w:szCs w:val="21"/>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208" w:type="pct"/>
            <w:vMerge w:val="restar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7</w:t>
            </w:r>
          </w:p>
        </w:tc>
        <w:tc>
          <w:tcPr>
            <w:tcW w:w="336" w:type="pct"/>
            <w:vMerge w:val="restar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加强重要生态空间监督管理</w:t>
            </w:r>
          </w:p>
        </w:tc>
        <w:tc>
          <w:tcPr>
            <w:tcW w:w="1895" w:type="pct"/>
            <w:noWrap w:val="0"/>
            <w:vAlign w:val="center"/>
          </w:tcPr>
          <w:p>
            <w:pPr>
              <w:widowControl/>
              <w:snapToGrid w:val="0"/>
              <w:ind w:left="-105" w:leftChars="-50" w:right="-105" w:rightChars="-50"/>
              <w:jc w:val="left"/>
              <w:rPr>
                <w:rFonts w:hint="eastAsia" w:ascii="宋体" w:hAnsi="宋体" w:cs="宋体"/>
                <w:color w:val="auto"/>
                <w:kern w:val="0"/>
                <w:szCs w:val="21"/>
              </w:rPr>
            </w:pPr>
            <w:r>
              <w:rPr>
                <w:rFonts w:hint="eastAsia" w:ascii="宋体" w:hAnsi="宋体" w:cs="宋体"/>
                <w:color w:val="auto"/>
                <w:kern w:val="0"/>
                <w:szCs w:val="21"/>
              </w:rPr>
              <w:t>加强生态保护红线管理，严格落实国土空间用途管制，加强生态保护红线内临时用地管理。</w:t>
            </w:r>
          </w:p>
          <w:p>
            <w:pPr>
              <w:widowControl/>
              <w:snapToGrid w:val="0"/>
              <w:ind w:left="-105" w:leftChars="-50" w:right="-105" w:rightChars="-50"/>
              <w:jc w:val="left"/>
              <w:rPr>
                <w:rFonts w:hint="eastAsia" w:ascii="宋体" w:hAnsi="宋体" w:cs="宋体"/>
                <w:color w:val="auto"/>
                <w:szCs w:val="21"/>
              </w:rPr>
            </w:pPr>
            <w:r>
              <w:rPr>
                <w:rFonts w:hint="eastAsia" w:ascii="宋体" w:hAnsi="宋体" w:cs="宋体"/>
                <w:color w:val="auto"/>
                <w:kern w:val="0"/>
                <w:szCs w:val="21"/>
              </w:rPr>
              <w:t>组织开展生态保护红线人类活动问题线索核实处理。</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adjustRightInd w:val="0"/>
              <w:snapToGrid w:val="0"/>
              <w:spacing w:line="240" w:lineRule="auto"/>
              <w:jc w:val="center"/>
              <w:rPr>
                <w:rFonts w:hint="default" w:ascii="宋体" w:hAnsi="宋体" w:eastAsia="宋体" w:cs="宋体"/>
                <w:color w:val="auto"/>
                <w:kern w:val="2"/>
                <w:sz w:val="21"/>
                <w:szCs w:val="21"/>
                <w:highlight w:val="none"/>
                <w:lang w:eastAsia="zh-CN"/>
              </w:rPr>
            </w:pPr>
            <w:r>
              <w:rPr>
                <w:rFonts w:hint="default" w:ascii="宋体" w:hAnsi="宋体" w:eastAsia="宋体" w:cs="宋体"/>
                <w:color w:val="auto"/>
                <w:kern w:val="2"/>
                <w:sz w:val="21"/>
                <w:szCs w:val="21"/>
                <w:highlight w:val="none"/>
              </w:rPr>
              <w:t>市规划自然资源委</w:t>
            </w:r>
            <w:r>
              <w:rPr>
                <w:rFonts w:hint="default" w:ascii="宋体" w:hAnsi="宋体" w:eastAsia="宋体" w:cs="宋体"/>
                <w:color w:val="auto"/>
                <w:kern w:val="2"/>
                <w:sz w:val="21"/>
                <w:szCs w:val="21"/>
                <w:highlight w:val="none"/>
                <w:lang w:eastAsia="zh-CN"/>
              </w:rPr>
              <w:t>石景山分局</w:t>
            </w:r>
          </w:p>
          <w:p>
            <w:pPr>
              <w:autoSpaceDE w:val="0"/>
              <w:adjustRightInd w:val="0"/>
              <w:snapToGrid w:val="0"/>
              <w:ind w:left="-99" w:leftChars="-47" w:right="-105" w:rightChars="-50"/>
              <w:jc w:val="center"/>
              <w:rPr>
                <w:rFonts w:hint="eastAsia" w:ascii="宋体" w:hAnsi="宋体" w:cs="宋体"/>
                <w:color w:val="auto"/>
                <w:szCs w:val="21"/>
              </w:rPr>
            </w:pPr>
            <w:r>
              <w:rPr>
                <w:rFonts w:hint="eastAsia" w:ascii="宋体" w:hAnsi="宋体" w:cs="宋体"/>
                <w:color w:val="auto"/>
                <w:sz w:val="21"/>
                <w:szCs w:val="21"/>
                <w:highlight w:val="none"/>
                <w:lang w:eastAsia="zh-CN"/>
              </w:rPr>
              <w:t>区</w:t>
            </w:r>
            <w:r>
              <w:rPr>
                <w:rFonts w:hint="eastAsia" w:ascii="宋体" w:hAnsi="宋体" w:eastAsia="宋体" w:cs="宋体"/>
                <w:color w:val="auto"/>
                <w:sz w:val="21"/>
                <w:szCs w:val="21"/>
                <w:highlight w:val="none"/>
                <w:lang w:eastAsia="zh-CN"/>
              </w:rPr>
              <w:t>生态环境局</w:t>
            </w:r>
          </w:p>
        </w:tc>
        <w:tc>
          <w:tcPr>
            <w:tcW w:w="1156" w:type="pct"/>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208" w:type="pct"/>
            <w:vMerge w:val="continue"/>
            <w:noWrap w:val="0"/>
            <w:vAlign w:val="center"/>
          </w:tcPr>
          <w:p>
            <w:pPr>
              <w:adjustRightInd w:val="0"/>
              <w:snapToGrid w:val="0"/>
              <w:ind w:left="-105" w:leftChars="-50" w:right="-105" w:rightChars="-50"/>
              <w:jc w:val="center"/>
              <w:rPr>
                <w:rFonts w:hint="eastAsia" w:ascii="宋体" w:hAnsi="宋体" w:cs="宋体"/>
                <w:color w:val="auto"/>
                <w:szCs w:val="21"/>
              </w:rPr>
            </w:pPr>
          </w:p>
        </w:tc>
        <w:tc>
          <w:tcPr>
            <w:tcW w:w="336" w:type="pct"/>
            <w:vMerge w:val="continue"/>
            <w:noWrap w:val="0"/>
            <w:vAlign w:val="center"/>
          </w:tcPr>
          <w:p>
            <w:pPr>
              <w:adjustRightInd w:val="0"/>
              <w:snapToGrid w:val="0"/>
              <w:ind w:left="-105" w:leftChars="-50" w:right="-105" w:rightChars="-50"/>
              <w:jc w:val="center"/>
              <w:rPr>
                <w:rFonts w:hint="eastAsia" w:ascii="宋体" w:hAnsi="宋体" w:cs="宋体"/>
                <w:color w:val="auto"/>
                <w:szCs w:val="21"/>
              </w:rPr>
            </w:pPr>
          </w:p>
        </w:tc>
        <w:tc>
          <w:tcPr>
            <w:tcW w:w="1895" w:type="pct"/>
            <w:noWrap w:val="0"/>
            <w:vAlign w:val="center"/>
          </w:tcPr>
          <w:p>
            <w:pPr>
              <w:widowControl/>
              <w:snapToGrid w:val="0"/>
              <w:jc w:val="left"/>
              <w:rPr>
                <w:rFonts w:hint="eastAsia" w:ascii="宋体" w:hAnsi="宋体" w:cs="宋体"/>
                <w:color w:val="auto"/>
                <w:kern w:val="0"/>
                <w:szCs w:val="21"/>
              </w:rPr>
            </w:pPr>
            <w:r>
              <w:rPr>
                <w:rFonts w:hint="eastAsia" w:ascii="宋体" w:hAnsi="宋体" w:cs="宋体"/>
                <w:color w:val="auto"/>
                <w:kern w:val="0"/>
                <w:szCs w:val="21"/>
                <w:lang w:eastAsia="zh"/>
              </w:rPr>
              <w:t>严格自然保护地监督管理</w:t>
            </w:r>
            <w:r>
              <w:rPr>
                <w:rFonts w:hint="eastAsia" w:ascii="宋体" w:hAnsi="宋体" w:cs="宋体"/>
                <w:color w:val="auto"/>
                <w:kern w:val="0"/>
                <w:szCs w:val="21"/>
                <w:lang w:eastAsia="zh-CN"/>
              </w:rPr>
              <w:t>，</w:t>
            </w:r>
            <w:r>
              <w:rPr>
                <w:rFonts w:hint="eastAsia" w:ascii="宋体" w:hAnsi="宋体" w:cs="宋体"/>
                <w:color w:val="auto"/>
                <w:kern w:val="0"/>
                <w:szCs w:val="21"/>
              </w:rPr>
              <w:t>开展自然保护地生态环境监督工作。</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adjustRightInd w:val="0"/>
              <w:snapToGrid w:val="0"/>
              <w:spacing w:line="260" w:lineRule="exact"/>
              <w:ind w:right="-105" w:rightChars="-50"/>
              <w:jc w:val="center"/>
              <w:rPr>
                <w:rFonts w:ascii="宋体" w:hAnsi="宋体" w:cs="宋体"/>
                <w:color w:val="auto"/>
                <w:kern w:val="0"/>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园林绿化局</w:t>
            </w:r>
          </w:p>
          <w:p>
            <w:pPr>
              <w:autoSpaceDE w:val="0"/>
              <w:adjustRightInd w:val="0"/>
              <w:snapToGrid w:val="0"/>
              <w:spacing w:line="260" w:lineRule="exact"/>
              <w:ind w:right="-105" w:rightChars="-50"/>
              <w:jc w:val="center"/>
              <w:rPr>
                <w:rFonts w:hint="eastAsia" w:ascii="宋体" w:hAnsi="宋体" w:cs="宋体"/>
                <w:color w:val="auto"/>
                <w:szCs w:val="21"/>
              </w:rPr>
            </w:pPr>
            <w:r>
              <w:rPr>
                <w:rFonts w:hint="eastAsia" w:ascii="宋体" w:hAnsi="宋体" w:cs="宋体"/>
                <w:color w:val="auto"/>
                <w:kern w:val="0"/>
                <w:szCs w:val="21"/>
                <w:lang w:eastAsia="zh-CN"/>
              </w:rPr>
              <w:t>区</w:t>
            </w:r>
            <w:r>
              <w:rPr>
                <w:rFonts w:hint="eastAsia" w:ascii="宋体" w:hAnsi="宋体" w:cs="宋体"/>
                <w:color w:val="auto"/>
                <w:kern w:val="0"/>
                <w:szCs w:val="21"/>
              </w:rPr>
              <w:t>生态环境局</w:t>
            </w:r>
          </w:p>
        </w:tc>
        <w:tc>
          <w:tcPr>
            <w:tcW w:w="1156" w:type="pct"/>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jc w:val="center"/>
        </w:trPr>
        <w:tc>
          <w:tcPr>
            <w:tcW w:w="208" w:type="pct"/>
            <w:vMerge w:val="continue"/>
            <w:noWrap w:val="0"/>
            <w:vAlign w:val="center"/>
          </w:tcPr>
          <w:p>
            <w:pPr>
              <w:widowControl/>
              <w:snapToGrid w:val="0"/>
              <w:ind w:left="-105" w:leftChars="-50" w:right="-105" w:rightChars="-50"/>
              <w:jc w:val="left"/>
              <w:rPr>
                <w:rFonts w:hint="eastAsia" w:ascii="宋体" w:hAnsi="宋体" w:cs="宋体"/>
                <w:color w:val="auto"/>
                <w:szCs w:val="21"/>
              </w:rPr>
            </w:pPr>
          </w:p>
        </w:tc>
        <w:tc>
          <w:tcPr>
            <w:tcW w:w="336" w:type="pct"/>
            <w:vMerge w:val="continue"/>
            <w:noWrap w:val="0"/>
            <w:vAlign w:val="center"/>
          </w:tcPr>
          <w:p>
            <w:pPr>
              <w:widowControl/>
              <w:snapToGrid w:val="0"/>
              <w:ind w:left="-105" w:leftChars="-50" w:right="-105" w:rightChars="-50"/>
              <w:jc w:val="center"/>
              <w:rPr>
                <w:rFonts w:hint="eastAsia" w:ascii="宋体" w:hAnsi="宋体" w:cs="宋体"/>
                <w:color w:val="auto"/>
                <w:szCs w:val="21"/>
              </w:rPr>
            </w:pPr>
          </w:p>
        </w:tc>
        <w:tc>
          <w:tcPr>
            <w:tcW w:w="1895" w:type="pct"/>
            <w:noWrap w:val="0"/>
            <w:vAlign w:val="center"/>
          </w:tcPr>
          <w:p>
            <w:pPr>
              <w:adjustRightInd w:val="0"/>
              <w:snapToGrid w:val="0"/>
              <w:rPr>
                <w:rFonts w:hint="eastAsia" w:ascii="宋体" w:hAnsi="宋体" w:cs="宋体"/>
                <w:color w:val="auto"/>
                <w:szCs w:val="21"/>
              </w:rPr>
            </w:pPr>
            <w:r>
              <w:rPr>
                <w:rFonts w:hint="eastAsia" w:ascii="宋体" w:hAnsi="宋体" w:cs="宋体"/>
                <w:color w:val="auto"/>
                <w:kern w:val="0"/>
                <w:szCs w:val="21"/>
              </w:rPr>
              <w:t>进一步加强自然保护地和生态保护红线的日常管理和例行巡查，开展人类活动问题的核查、整改；严格查处不符合空间管控要求的违法违规行为。</w:t>
            </w:r>
          </w:p>
        </w:tc>
        <w:tc>
          <w:tcPr>
            <w:tcW w:w="324" w:type="pct"/>
            <w:noWrap w:val="0"/>
            <w:vAlign w:val="center"/>
          </w:tcPr>
          <w:p>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年底前</w:t>
            </w:r>
          </w:p>
        </w:tc>
        <w:tc>
          <w:tcPr>
            <w:tcW w:w="1077" w:type="pct"/>
            <w:noWrap w:val="0"/>
            <w:vAlign w:val="center"/>
          </w:tcPr>
          <w:p>
            <w:pPr>
              <w:autoSpaceDE w:val="0"/>
              <w:adjustRightInd w:val="0"/>
              <w:snapToGrid w:val="0"/>
              <w:spacing w:line="240" w:lineRule="auto"/>
              <w:jc w:val="center"/>
              <w:rPr>
                <w:rFonts w:hint="eastAsia"/>
                <w:color w:val="auto"/>
                <w:highlight w:val="none"/>
                <w:lang w:val="en-US" w:eastAsia="zh-CN"/>
              </w:rPr>
            </w:pPr>
            <w:r>
              <w:rPr>
                <w:rFonts w:hint="eastAsia"/>
                <w:color w:val="auto"/>
                <w:highlight w:val="none"/>
                <w:lang w:val="en-US" w:eastAsia="zh-CN"/>
              </w:rPr>
              <w:t>区生态环境局</w:t>
            </w:r>
          </w:p>
          <w:p>
            <w:pPr>
              <w:keepNext w:val="0"/>
              <w:keepLines w:val="0"/>
              <w:pageBreakBefore w:val="0"/>
              <w:widowControl w:val="0"/>
              <w:kinsoku/>
              <w:wordWrap/>
              <w:overflowPunct/>
              <w:topLinePunct w:val="0"/>
              <w:autoSpaceDE w:val="0"/>
              <w:autoSpaceDN/>
              <w:bidi w:val="0"/>
              <w:adjustRightInd w:val="0"/>
              <w:snapToGrid w:val="0"/>
              <w:spacing w:line="260" w:lineRule="exact"/>
              <w:jc w:val="center"/>
              <w:textAlignment w:val="auto"/>
              <w:rPr>
                <w:rFonts w:hint="eastAsia"/>
                <w:color w:val="auto"/>
                <w:highlight w:val="none"/>
                <w:lang w:eastAsia="zh-CN"/>
              </w:rPr>
            </w:pPr>
            <w:r>
              <w:rPr>
                <w:rFonts w:hint="eastAsia"/>
                <w:color w:val="auto"/>
                <w:highlight w:val="none"/>
                <w:lang w:eastAsia="zh-CN"/>
              </w:rPr>
              <w:t>区园林绿化局</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cs="宋体"/>
                <w:color w:val="auto"/>
                <w:kern w:val="0"/>
                <w:szCs w:val="21"/>
              </w:rPr>
            </w:pPr>
            <w:r>
              <w:rPr>
                <w:rFonts w:hint="default"/>
                <w:color w:val="auto"/>
                <w:highlight w:val="none"/>
              </w:rPr>
              <w:t>市</w:t>
            </w:r>
            <w:r>
              <w:rPr>
                <w:rFonts w:hint="default" w:ascii="宋体" w:hAnsi="宋体" w:eastAsia="宋体" w:cs="宋体"/>
                <w:color w:val="auto"/>
                <w:kern w:val="0"/>
                <w:sz w:val="21"/>
                <w:szCs w:val="21"/>
                <w:highlight w:val="none"/>
                <w:lang w:val="en-US" w:eastAsia="zh-CN"/>
              </w:rPr>
              <w:t>规划自然资源委石景山分局</w:t>
            </w:r>
          </w:p>
        </w:tc>
        <w:tc>
          <w:tcPr>
            <w:tcW w:w="1156" w:type="pct"/>
            <w:noWrap w:val="0"/>
            <w:vAlign w:val="center"/>
          </w:tcPr>
          <w:p>
            <w:pPr>
              <w:keepNext w:val="0"/>
              <w:keepLines w:val="0"/>
              <w:pageBreakBefore w:val="0"/>
              <w:kinsoku/>
              <w:wordWrap/>
              <w:overflowPunct/>
              <w:topLinePunct w:val="0"/>
              <w:autoSpaceDE w:val="0"/>
              <w:autoSpaceDN/>
              <w:bidi w:val="0"/>
              <w:adjustRightInd w:val="0"/>
              <w:snapToGrid w:val="0"/>
              <w:spacing w:line="260" w:lineRule="exact"/>
              <w:jc w:val="center"/>
              <w:textAlignment w:val="auto"/>
              <w:rPr>
                <w:rFonts w:hint="eastAsia" w:ascii="宋体" w:hAnsi="宋体" w:cs="宋体"/>
                <w:color w:val="auto"/>
                <w:kern w:val="0"/>
                <w:szCs w:val="21"/>
              </w:rPr>
            </w:pPr>
            <w:r>
              <w:rPr>
                <w:rFonts w:hint="eastAsia" w:ascii="宋体" w:hAnsi="宋体" w:eastAsia="宋体" w:cs="宋体"/>
                <w:color w:val="auto"/>
                <w:kern w:val="0"/>
                <w:sz w:val="21"/>
                <w:szCs w:val="21"/>
                <w:highlight w:val="none"/>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208" w:type="pc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8</w:t>
            </w:r>
          </w:p>
        </w:tc>
        <w:tc>
          <w:tcPr>
            <w:tcW w:w="336" w:type="pc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加强资源开发利用活动监督</w:t>
            </w:r>
          </w:p>
        </w:tc>
        <w:tc>
          <w:tcPr>
            <w:tcW w:w="1895" w:type="pct"/>
            <w:noWrap w:val="0"/>
            <w:vAlign w:val="center"/>
          </w:tcPr>
          <w:p>
            <w:pPr>
              <w:adjustRightInd w:val="0"/>
              <w:snapToGrid w:val="0"/>
              <w:rPr>
                <w:rFonts w:hint="eastAsia" w:ascii="宋体" w:hAnsi="宋体" w:cs="宋体"/>
                <w:color w:val="auto"/>
                <w:szCs w:val="21"/>
                <w:lang w:eastAsia="zh"/>
              </w:rPr>
            </w:pPr>
            <w:r>
              <w:rPr>
                <w:rFonts w:hint="eastAsia" w:ascii="宋体" w:hAnsi="宋体" w:cs="宋体"/>
                <w:color w:val="auto"/>
                <w:szCs w:val="21"/>
              </w:rPr>
              <w:t>加大对矿产资源私挖盗采活动的</w:t>
            </w:r>
            <w:r>
              <w:rPr>
                <w:rFonts w:hint="eastAsia" w:ascii="宋体" w:hAnsi="宋体" w:cs="宋体"/>
                <w:color w:val="auto"/>
                <w:szCs w:val="21"/>
                <w:lang w:eastAsia="zh"/>
              </w:rPr>
              <w:t>打击</w:t>
            </w:r>
            <w:r>
              <w:rPr>
                <w:rFonts w:hint="eastAsia" w:ascii="宋体" w:hAnsi="宋体" w:cs="宋体"/>
                <w:color w:val="auto"/>
                <w:szCs w:val="21"/>
              </w:rPr>
              <w:t>力度</w:t>
            </w:r>
            <w:r>
              <w:rPr>
                <w:rFonts w:hint="eastAsia" w:ascii="宋体" w:hAnsi="宋体" w:cs="宋体"/>
                <w:color w:val="auto"/>
                <w:szCs w:val="21"/>
                <w:lang w:eastAsia="zh"/>
              </w:rPr>
              <w:t>，</w:t>
            </w:r>
            <w:r>
              <w:rPr>
                <w:rFonts w:hint="eastAsia" w:ascii="宋体" w:hAnsi="宋体" w:cs="宋体"/>
                <w:color w:val="auto"/>
                <w:szCs w:val="21"/>
              </w:rPr>
              <w:t>严格查处非法开采违法行为</w:t>
            </w:r>
            <w:r>
              <w:rPr>
                <w:rFonts w:hint="eastAsia" w:ascii="宋体" w:hAnsi="宋体" w:cs="宋体"/>
                <w:color w:val="auto"/>
                <w:szCs w:val="21"/>
                <w:lang w:eastAsia="zh"/>
              </w:rPr>
              <w:t>。落实联动执法工作机制，强化行政执法与刑事司法的有效衔接，对涉嫌违法犯罪问题及时移送司法机关追究刑事责任</w:t>
            </w:r>
            <w:r>
              <w:rPr>
                <w:rFonts w:hint="eastAsia" w:ascii="宋体" w:hAnsi="宋体" w:cs="宋体"/>
                <w:color w:val="auto"/>
                <w:szCs w:val="21"/>
              </w:rPr>
              <w:t>。</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cs="宋体"/>
                <w:color w:val="auto"/>
                <w:szCs w:val="21"/>
              </w:rPr>
            </w:pPr>
            <w:r>
              <w:rPr>
                <w:rFonts w:hint="default"/>
                <w:color w:val="auto"/>
                <w:highlight w:val="none"/>
              </w:rPr>
              <w:t>市</w:t>
            </w:r>
            <w:r>
              <w:rPr>
                <w:rFonts w:hint="default" w:ascii="宋体" w:hAnsi="宋体" w:eastAsia="宋体" w:cs="宋体"/>
                <w:color w:val="auto"/>
                <w:kern w:val="0"/>
                <w:sz w:val="21"/>
                <w:szCs w:val="21"/>
                <w:highlight w:val="none"/>
                <w:lang w:val="en-US" w:eastAsia="zh-CN"/>
              </w:rPr>
              <w:t>规划自然资源委石景山分局</w:t>
            </w:r>
          </w:p>
        </w:tc>
        <w:tc>
          <w:tcPr>
            <w:tcW w:w="1156" w:type="pct"/>
            <w:noWrap w:val="0"/>
            <w:vAlign w:val="center"/>
          </w:tcPr>
          <w:p>
            <w:pPr>
              <w:autoSpaceDE w:val="0"/>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08" w:type="pct"/>
            <w:vMerge w:val="restart"/>
            <w:noWrap w:val="0"/>
            <w:vAlign w:val="center"/>
          </w:tcPr>
          <w:p>
            <w:pPr>
              <w:widowControl/>
              <w:snapToGrid w:val="0"/>
              <w:ind w:left="-105" w:leftChars="-50" w:right="-105" w:rightChars="-5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336" w:type="pct"/>
            <w:vMerge w:val="restart"/>
            <w:noWrap w:val="0"/>
            <w:vAlign w:val="center"/>
          </w:tcPr>
          <w:p>
            <w:pPr>
              <w:widowControl/>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统筹推进实施生态保护修复</w:t>
            </w:r>
          </w:p>
        </w:tc>
        <w:tc>
          <w:tcPr>
            <w:tcW w:w="1895" w:type="pct"/>
            <w:noWrap w:val="0"/>
            <w:vAlign w:val="center"/>
          </w:tcPr>
          <w:p>
            <w:pPr>
              <w:widowControl/>
              <w:snapToGrid w:val="0"/>
              <w:jc w:val="left"/>
              <w:rPr>
                <w:rFonts w:hint="eastAsia" w:ascii="宋体" w:hAnsi="宋体" w:cs="宋体"/>
                <w:color w:val="auto"/>
                <w:kern w:val="0"/>
                <w:szCs w:val="21"/>
              </w:rPr>
            </w:pPr>
            <w:r>
              <w:rPr>
                <w:rFonts w:hint="eastAsia" w:ascii="宋体" w:hAnsi="宋体" w:cs="宋体"/>
                <w:color w:val="auto"/>
                <w:kern w:val="0"/>
                <w:szCs w:val="21"/>
              </w:rPr>
              <w:t>推进园林绿化“增绿提质”，森林覆盖率保持稳定。建设生态保育小区1处，无界公园1处，实施全龄友好型公园改造3处，建设金安桥西北侧地块等小微绿地7处。</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adjustRightInd w:val="0"/>
              <w:snapToGrid w:val="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1156" w:type="pct"/>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208" w:type="pct"/>
            <w:vMerge w:val="continue"/>
            <w:noWrap w:val="0"/>
            <w:vAlign w:val="center"/>
          </w:tcPr>
          <w:p>
            <w:pPr>
              <w:widowControl/>
              <w:snapToGrid w:val="0"/>
              <w:ind w:left="-105" w:leftChars="-50" w:right="-105" w:rightChars="-50"/>
              <w:jc w:val="left"/>
              <w:rPr>
                <w:rFonts w:hint="eastAsia" w:ascii="宋体" w:hAnsi="宋体" w:cs="宋体"/>
                <w:color w:val="auto"/>
                <w:szCs w:val="21"/>
              </w:rPr>
            </w:pPr>
          </w:p>
        </w:tc>
        <w:tc>
          <w:tcPr>
            <w:tcW w:w="336" w:type="pct"/>
            <w:vMerge w:val="continue"/>
            <w:noWrap w:val="0"/>
            <w:vAlign w:val="center"/>
          </w:tcPr>
          <w:p>
            <w:pPr>
              <w:widowControl/>
              <w:snapToGrid w:val="0"/>
              <w:ind w:left="-105" w:leftChars="-50" w:right="-105" w:rightChars="-50"/>
              <w:jc w:val="center"/>
              <w:rPr>
                <w:rFonts w:hint="eastAsia" w:ascii="宋体" w:hAnsi="宋体" w:cs="宋体"/>
                <w:color w:val="auto"/>
                <w:szCs w:val="21"/>
              </w:rPr>
            </w:pPr>
          </w:p>
        </w:tc>
        <w:tc>
          <w:tcPr>
            <w:tcW w:w="1895" w:type="pct"/>
            <w:noWrap w:val="0"/>
            <w:vAlign w:val="center"/>
          </w:tcPr>
          <w:p>
            <w:pPr>
              <w:spacing w:line="280" w:lineRule="exact"/>
              <w:rPr>
                <w:rFonts w:hint="eastAsia" w:ascii="宋体" w:hAnsi="宋体" w:cs="宋体"/>
                <w:color w:val="auto"/>
                <w:szCs w:val="21"/>
                <w:lang w:eastAsia="zh"/>
              </w:rPr>
            </w:pPr>
            <w:r>
              <w:rPr>
                <w:rFonts w:hint="eastAsia" w:ascii="宋体" w:hAnsi="宋体" w:cs="宋体"/>
                <w:color w:val="auto"/>
                <w:szCs w:val="21"/>
              </w:rPr>
              <w:t>开展立体绿化，有效提升绿视率。推进建筑物墙面、围栏、围墙垂直绿化，优化乔灌草立体结构；推进试点花园示范街区建设；结合老旧小区改造，持续推动花园住区建设；开展绿视率调查</w:t>
            </w:r>
            <w:r>
              <w:rPr>
                <w:rFonts w:hint="eastAsia" w:ascii="宋体" w:hAnsi="宋体" w:cs="宋体"/>
                <w:color w:val="auto"/>
                <w:szCs w:val="21"/>
                <w:lang w:eastAsia="zh-CN"/>
              </w:rPr>
              <w:t>评估</w:t>
            </w:r>
            <w:r>
              <w:rPr>
                <w:rFonts w:hint="eastAsia" w:ascii="宋体" w:hAnsi="宋体" w:cs="宋体"/>
                <w:color w:val="auto"/>
                <w:szCs w:val="21"/>
              </w:rPr>
              <w:t>，</w:t>
            </w:r>
            <w:r>
              <w:rPr>
                <w:rFonts w:hint="eastAsia" w:ascii="宋体" w:hAnsi="宋体" w:cs="宋体"/>
                <w:color w:val="auto"/>
                <w:szCs w:val="21"/>
                <w:lang w:eastAsia="zh-CN"/>
              </w:rPr>
              <w:t>为绿视率提升工作提供数据支持</w:t>
            </w:r>
            <w:r>
              <w:rPr>
                <w:rFonts w:hint="eastAsia" w:ascii="宋体" w:hAnsi="宋体" w:cs="宋体"/>
                <w:color w:val="auto"/>
                <w:szCs w:val="21"/>
              </w:rPr>
              <w:t>。</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snapToGrid w:val="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园林绿化局</w:t>
            </w:r>
          </w:p>
          <w:p>
            <w:pPr>
              <w:autoSpaceDE w:val="0"/>
              <w:snapToGrid w:val="0"/>
              <w:jc w:val="center"/>
              <w:rPr>
                <w:rFonts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住房城</w:t>
            </w:r>
            <w:r>
              <w:rPr>
                <w:rFonts w:hint="eastAsia" w:ascii="宋体" w:hAnsi="宋体" w:cs="宋体"/>
                <w:color w:val="auto"/>
                <w:szCs w:val="21"/>
                <w:lang w:eastAsia="zh-CN"/>
              </w:rPr>
              <w:t>市</w:t>
            </w:r>
            <w:r>
              <w:rPr>
                <w:rFonts w:hint="eastAsia" w:ascii="宋体" w:hAnsi="宋体" w:cs="宋体"/>
                <w:color w:val="auto"/>
                <w:szCs w:val="21"/>
              </w:rPr>
              <w:t>建设委</w:t>
            </w:r>
          </w:p>
          <w:p>
            <w:pPr>
              <w:autoSpaceDE w:val="0"/>
              <w:snapToGrid w:val="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1156" w:type="pct"/>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208" w:type="pct"/>
            <w:vMerge w:val="continue"/>
            <w:noWrap w:val="0"/>
            <w:vAlign w:val="center"/>
          </w:tcPr>
          <w:p>
            <w:pPr>
              <w:widowControl/>
              <w:snapToGrid w:val="0"/>
              <w:ind w:left="-105" w:leftChars="-50" w:right="-105" w:rightChars="-50"/>
              <w:jc w:val="left"/>
              <w:rPr>
                <w:rFonts w:hint="eastAsia" w:ascii="宋体" w:hAnsi="宋体" w:cs="宋体"/>
                <w:color w:val="auto"/>
                <w:szCs w:val="21"/>
              </w:rPr>
            </w:pPr>
          </w:p>
        </w:tc>
        <w:tc>
          <w:tcPr>
            <w:tcW w:w="336" w:type="pct"/>
            <w:vMerge w:val="continue"/>
            <w:noWrap w:val="0"/>
            <w:vAlign w:val="center"/>
          </w:tcPr>
          <w:p>
            <w:pPr>
              <w:widowControl/>
              <w:snapToGrid w:val="0"/>
              <w:ind w:left="-105" w:leftChars="-50" w:right="-105" w:rightChars="-50"/>
              <w:jc w:val="center"/>
              <w:rPr>
                <w:rFonts w:hint="eastAsia" w:ascii="宋体" w:hAnsi="宋体" w:cs="宋体"/>
                <w:color w:val="auto"/>
                <w:szCs w:val="21"/>
              </w:rPr>
            </w:pPr>
          </w:p>
        </w:tc>
        <w:tc>
          <w:tcPr>
            <w:tcW w:w="1895" w:type="pct"/>
            <w:noWrap w:val="0"/>
            <w:vAlign w:val="center"/>
          </w:tcPr>
          <w:p>
            <w:pPr>
              <w:spacing w:line="280" w:lineRule="exact"/>
              <w:rPr>
                <w:rFonts w:hint="eastAsia" w:ascii="宋体" w:hAnsi="宋体" w:cs="宋体"/>
                <w:color w:val="auto"/>
                <w:szCs w:val="21"/>
              </w:rPr>
            </w:pPr>
            <w:r>
              <w:rPr>
                <w:rFonts w:hint="eastAsia" w:ascii="宋体" w:hAnsi="宋体" w:cs="宋体"/>
                <w:color w:val="auto"/>
                <w:szCs w:val="21"/>
              </w:rPr>
              <w:t>按照市级工作要求，组织开展生态环境损害赔偿线索筛查，推进生态损害赔偿案件办理。</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snapToGrid w:val="0"/>
              <w:jc w:val="center"/>
              <w:rPr>
                <w:rFonts w:hint="eastAsia" w:ascii="宋体" w:hAnsi="宋体" w:cs="宋体"/>
                <w:color w:val="auto"/>
                <w:szCs w:val="21"/>
                <w:lang w:eastAsia="zh-CN"/>
              </w:rPr>
            </w:pPr>
            <w:r>
              <w:rPr>
                <w:rFonts w:hint="eastAsia" w:ascii="宋体" w:hAnsi="宋体" w:cs="宋体"/>
                <w:color w:val="auto"/>
                <w:szCs w:val="21"/>
                <w:lang w:eastAsia="zh-CN"/>
              </w:rPr>
              <w:t>区生态环境局</w:t>
            </w:r>
          </w:p>
        </w:tc>
        <w:tc>
          <w:tcPr>
            <w:tcW w:w="1156" w:type="pct"/>
            <w:noWrap w:val="0"/>
            <w:vAlign w:val="center"/>
          </w:tcPr>
          <w:p>
            <w:pPr>
              <w:autoSpaceDE w:val="0"/>
              <w:snapToGrid w:val="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市规划自然资源委石景山分局</w:t>
            </w:r>
          </w:p>
          <w:p>
            <w:pPr>
              <w:autoSpaceDE w:val="0"/>
              <w:snapToGrid w:val="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区城市管理委</w:t>
            </w:r>
          </w:p>
          <w:p>
            <w:pPr>
              <w:autoSpaceDE w:val="0"/>
              <w:snapToGrid w:val="0"/>
              <w:jc w:val="center"/>
              <w:rPr>
                <w:rFonts w:hint="eastAsia" w:ascii="宋体" w:hAnsi="宋体" w:eastAsia="宋体" w:cs="宋体"/>
                <w:color w:val="auto"/>
                <w:spacing w:val="-26"/>
                <w:sz w:val="21"/>
                <w:szCs w:val="21"/>
                <w:highlight w:val="none"/>
              </w:rPr>
            </w:pPr>
            <w:r>
              <w:rPr>
                <w:rFonts w:hint="eastAsia" w:ascii="宋体" w:hAnsi="宋体" w:eastAsia="宋体" w:cs="宋体"/>
                <w:color w:val="auto"/>
                <w:szCs w:val="21"/>
                <w:lang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000" w:type="pct"/>
            <w:gridSpan w:val="6"/>
            <w:noWrap w:val="0"/>
            <w:vAlign w:val="center"/>
          </w:tcPr>
          <w:p>
            <w:pPr>
              <w:autoSpaceDE w:val="0"/>
              <w:snapToGrid w:val="0"/>
              <w:ind w:left="-105" w:leftChars="-50" w:right="-105" w:rightChars="-50"/>
              <w:jc w:val="center"/>
              <w:rPr>
                <w:rFonts w:hint="eastAsia" w:ascii="宋体" w:hAnsi="宋体" w:cs="宋体"/>
                <w:color w:val="auto"/>
                <w:szCs w:val="21"/>
              </w:rPr>
            </w:pPr>
            <w:r>
              <w:rPr>
                <w:rFonts w:hint="eastAsia" w:ascii="黑体" w:hAnsi="黑体" w:eastAsia="黑体" w:cs="黑体"/>
                <w:color w:val="auto"/>
                <w:szCs w:val="21"/>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08" w:type="pct"/>
            <w:noWrap w:val="0"/>
            <w:vAlign w:val="center"/>
          </w:tcPr>
          <w:p>
            <w:pPr>
              <w:adjustRightInd w:val="0"/>
              <w:snapToGrid w:val="0"/>
              <w:ind w:left="-105" w:leftChars="-50" w:right="-105" w:rightChar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336" w:type="pc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kern w:val="0"/>
                <w:szCs w:val="21"/>
              </w:rPr>
              <w:t>推进区域生态协同治理</w:t>
            </w:r>
          </w:p>
        </w:tc>
        <w:tc>
          <w:tcPr>
            <w:tcW w:w="1895" w:type="pct"/>
            <w:noWrap w:val="0"/>
            <w:vAlign w:val="center"/>
          </w:tcPr>
          <w:p>
            <w:pPr>
              <w:adjustRightInd w:val="0"/>
              <w:snapToGrid w:val="0"/>
              <w:rPr>
                <w:rFonts w:hint="eastAsia" w:ascii="宋体" w:hAnsi="宋体" w:cs="宋体"/>
                <w:color w:val="auto"/>
                <w:kern w:val="2"/>
                <w:sz w:val="21"/>
                <w:szCs w:val="21"/>
                <w:highlight w:val="yellow"/>
                <w:lang w:val="en-US" w:eastAsia="zh" w:bidi="ar-SA"/>
              </w:rPr>
            </w:pPr>
            <w:bookmarkStart w:id="0" w:name="OLE_LINK1"/>
            <w:r>
              <w:rPr>
                <w:rFonts w:hint="eastAsia"/>
                <w:color w:val="auto"/>
                <w:lang w:eastAsia="zh-CN"/>
              </w:rPr>
              <w:t>按照市级统一部署安排，</w:t>
            </w:r>
            <w:bookmarkEnd w:id="0"/>
            <w:r>
              <w:rPr>
                <w:rFonts w:hint="eastAsia" w:ascii="Times New Roman" w:hAnsi="Times New Roman"/>
                <w:color w:val="auto"/>
              </w:rPr>
              <w:t>加大京津冀联合工作力度。</w:t>
            </w:r>
            <w:r>
              <w:rPr>
                <w:rFonts w:hint="eastAsia" w:ascii="宋体" w:hAnsi="宋体" w:cs="宋体"/>
                <w:color w:val="auto"/>
                <w:szCs w:val="21"/>
              </w:rPr>
              <w:t>积极推进京津冀林木良种备案互认工作</w:t>
            </w:r>
            <w:r>
              <w:rPr>
                <w:rFonts w:hint="eastAsia" w:ascii="Times New Roman" w:hAnsi="Times New Roman"/>
                <w:color w:val="auto"/>
              </w:rPr>
              <w:t>，</w:t>
            </w:r>
            <w:r>
              <w:rPr>
                <w:rFonts w:hint="eastAsia" w:ascii="宋体" w:hAnsi="宋体" w:cs="宋体"/>
                <w:color w:val="auto"/>
                <w:szCs w:val="21"/>
              </w:rPr>
              <w:t>协同防控美国白蛾、松材线虫等有害生物。</w:t>
            </w:r>
          </w:p>
        </w:tc>
        <w:tc>
          <w:tcPr>
            <w:tcW w:w="324" w:type="pct"/>
            <w:noWrap w:val="0"/>
            <w:vAlign w:val="center"/>
          </w:tcPr>
          <w:p>
            <w:pPr>
              <w:adjustRightInd w:val="0"/>
              <w:snapToGrid w:val="0"/>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年底前</w:t>
            </w:r>
          </w:p>
        </w:tc>
        <w:tc>
          <w:tcPr>
            <w:tcW w:w="1077" w:type="pct"/>
            <w:noWrap w:val="0"/>
            <w:vAlign w:val="center"/>
          </w:tcPr>
          <w:p>
            <w:pPr>
              <w:autoSpaceDE w:val="0"/>
              <w:snapToGrid w:val="0"/>
              <w:jc w:val="center"/>
              <w:rPr>
                <w:rFonts w:hint="eastAsia" w:ascii="宋体" w:hAnsi="宋体" w:cs="宋体"/>
                <w:color w:val="auto"/>
                <w:kern w:val="2"/>
                <w:sz w:val="21"/>
                <w:szCs w:val="21"/>
                <w:lang w:val="en-US" w:eastAsia="zh-CN" w:bidi="ar-SA"/>
              </w:rPr>
            </w:pPr>
            <w:r>
              <w:rPr>
                <w:rFonts w:hint="eastAsia" w:ascii="宋体" w:hAnsi="宋体" w:cs="宋体"/>
                <w:color w:val="auto"/>
                <w:szCs w:val="21"/>
                <w:lang w:eastAsia="zh-CN"/>
              </w:rPr>
              <w:t>区</w:t>
            </w:r>
            <w:r>
              <w:rPr>
                <w:rFonts w:hint="eastAsia" w:ascii="宋体" w:hAnsi="宋体" w:cs="宋体"/>
                <w:color w:val="auto"/>
                <w:szCs w:val="21"/>
              </w:rPr>
              <w:t>园林绿化局</w:t>
            </w:r>
          </w:p>
        </w:tc>
        <w:tc>
          <w:tcPr>
            <w:tcW w:w="1156" w:type="pct"/>
            <w:noWrap w:val="0"/>
            <w:vAlign w:val="center"/>
          </w:tcPr>
          <w:p>
            <w:pPr>
              <w:autoSpaceDE w:val="0"/>
              <w:snapToGrid w:val="0"/>
              <w:jc w:val="center"/>
              <w:rPr>
                <w:rFonts w:hint="eastAsia" w:ascii="宋体" w:hAnsi="宋体" w:cs="宋体"/>
                <w:color w:val="auto"/>
                <w:kern w:val="2"/>
                <w:sz w:val="21"/>
                <w:szCs w:val="21"/>
                <w:lang w:val="en-US" w:eastAsia="zh-CN" w:bidi="ar-SA"/>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08" w:type="pct"/>
            <w:vMerge w:val="restart"/>
            <w:noWrap w:val="0"/>
            <w:vAlign w:val="center"/>
          </w:tcPr>
          <w:p>
            <w:pPr>
              <w:adjustRightInd w:val="0"/>
              <w:snapToGrid w:val="0"/>
              <w:ind w:left="-105" w:leftChars="-50" w:right="-105" w:rightChar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w:t>
            </w:r>
          </w:p>
        </w:tc>
        <w:tc>
          <w:tcPr>
            <w:tcW w:w="336" w:type="pct"/>
            <w:vMerge w:val="restart"/>
            <w:noWrap w:val="0"/>
            <w:vAlign w:val="center"/>
          </w:tcPr>
          <w:p>
            <w:pPr>
              <w:adjustRightInd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rPr>
              <w:t>开展生态环境质量评价</w:t>
            </w:r>
          </w:p>
        </w:tc>
        <w:tc>
          <w:tcPr>
            <w:tcW w:w="1895" w:type="pct"/>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kern w:val="0"/>
                <w:sz w:val="21"/>
                <w:szCs w:val="21"/>
                <w:highlight w:val="none"/>
                <w:lang w:val="en-US" w:eastAsia="zh-CN"/>
              </w:rPr>
              <w:t>配合市级部门开展生态环境质量评价和应用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eastAsia="zh-CN"/>
              </w:rPr>
              <w:t>开展</w:t>
            </w:r>
            <w:r>
              <w:rPr>
                <w:rFonts w:hint="eastAsia" w:ascii="宋体" w:hAnsi="宋体" w:eastAsia="宋体" w:cs="宋体"/>
                <w:color w:val="auto"/>
                <w:sz w:val="21"/>
                <w:szCs w:val="21"/>
                <w:highlight w:val="none"/>
              </w:rPr>
              <w:t>石景山区生态环境质量优化提升研究</w:t>
            </w:r>
            <w:r>
              <w:rPr>
                <w:rFonts w:hint="eastAsia" w:ascii="宋体" w:hAnsi="宋体" w:eastAsia="宋体" w:cs="宋体"/>
                <w:color w:val="auto"/>
                <w:sz w:val="21"/>
                <w:szCs w:val="21"/>
                <w:highlight w:val="none"/>
                <w:lang w:eastAsia="zh-CN"/>
              </w:rPr>
              <w:t>。</w:t>
            </w:r>
          </w:p>
        </w:tc>
        <w:tc>
          <w:tcPr>
            <w:tcW w:w="324" w:type="pc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cs="宋体"/>
                <w:color w:val="auto"/>
                <w:szCs w:val="21"/>
              </w:rPr>
            </w:pPr>
            <w:r>
              <w:rPr>
                <w:rFonts w:hint="eastAsia" w:ascii="宋体" w:hAnsi="宋体" w:eastAsia="宋体" w:cs="宋体"/>
                <w:color w:val="auto"/>
                <w:spacing w:val="0"/>
                <w:sz w:val="21"/>
                <w:szCs w:val="21"/>
                <w:highlight w:val="none"/>
              </w:rPr>
              <w:t>年底前</w:t>
            </w:r>
          </w:p>
        </w:tc>
        <w:tc>
          <w:tcPr>
            <w:tcW w:w="1077" w:type="pct"/>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cs="宋体"/>
                <w:color w:val="auto"/>
                <w:szCs w:val="21"/>
              </w:rPr>
            </w:pPr>
            <w:r>
              <w:rPr>
                <w:rFonts w:hint="eastAsia" w:ascii="宋体" w:hAnsi="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1156" w:type="pct"/>
            <w:noWrap w:val="0"/>
            <w:vAlign w:val="center"/>
          </w:tcPr>
          <w:p>
            <w:pPr>
              <w:autoSpaceDE w:val="0"/>
              <w:snapToGrid w:val="0"/>
              <w:ind w:right="-105" w:rightChars="-5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208" w:type="pct"/>
            <w:vMerge w:val="continue"/>
            <w:noWrap w:val="0"/>
            <w:vAlign w:val="center"/>
          </w:tcPr>
          <w:p>
            <w:pPr>
              <w:adjustRightInd w:val="0"/>
              <w:snapToGrid w:val="0"/>
              <w:ind w:left="-105" w:leftChars="-50" w:right="-105" w:rightChars="-50"/>
              <w:jc w:val="center"/>
              <w:rPr>
                <w:rFonts w:hint="eastAsia" w:ascii="宋体" w:hAnsi="宋体" w:cs="宋体"/>
                <w:color w:val="auto"/>
                <w:szCs w:val="21"/>
              </w:rPr>
            </w:pPr>
          </w:p>
        </w:tc>
        <w:tc>
          <w:tcPr>
            <w:tcW w:w="336" w:type="pct"/>
            <w:vMerge w:val="continue"/>
            <w:noWrap w:val="0"/>
            <w:vAlign w:val="center"/>
          </w:tcPr>
          <w:p>
            <w:pPr>
              <w:adjustRightInd w:val="0"/>
              <w:snapToGrid w:val="0"/>
              <w:ind w:left="-105" w:leftChars="-50" w:right="-105" w:rightChars="-50"/>
              <w:jc w:val="center"/>
              <w:rPr>
                <w:rFonts w:hint="eastAsia" w:ascii="宋体" w:hAnsi="宋体" w:cs="宋体"/>
                <w:color w:val="auto"/>
                <w:szCs w:val="21"/>
              </w:rPr>
            </w:pPr>
          </w:p>
        </w:tc>
        <w:tc>
          <w:tcPr>
            <w:tcW w:w="1895" w:type="pct"/>
            <w:noWrap w:val="0"/>
            <w:vAlign w:val="center"/>
          </w:tcPr>
          <w:p>
            <w:pPr>
              <w:adjustRightInd w:val="0"/>
              <w:snapToGrid w:val="0"/>
              <w:rPr>
                <w:rFonts w:hint="eastAsia" w:ascii="宋体" w:hAnsi="宋体" w:cs="宋体"/>
                <w:color w:val="auto"/>
                <w:kern w:val="0"/>
                <w:szCs w:val="21"/>
              </w:rPr>
            </w:pPr>
            <w:r>
              <w:rPr>
                <w:rFonts w:hint="eastAsia" w:ascii="宋体" w:hAnsi="宋体" w:cs="宋体"/>
                <w:color w:val="auto"/>
                <w:kern w:val="0"/>
                <w:szCs w:val="21"/>
              </w:rPr>
              <w:t>组织对生态用地变化线索开展实地核查，提升生态保护精细化水平。</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snapToGrid w:val="0"/>
              <w:ind w:left="-105" w:leftChars="-50" w:right="-105" w:rightChars="-50"/>
              <w:jc w:val="center"/>
              <w:rPr>
                <w:rFonts w:hint="eastAsia" w:ascii="宋体" w:hAnsi="宋体" w:cs="宋体"/>
                <w:color w:val="auto"/>
                <w:szCs w:val="21"/>
              </w:rPr>
            </w:pPr>
            <w:r>
              <w:rPr>
                <w:rFonts w:hint="eastAsia" w:ascii="宋体" w:hAnsi="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1156" w:type="pc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宋体" w:hAnsi="宋体" w:eastAsia="宋体" w:cs="宋体"/>
                <w:color w:val="auto"/>
                <w:kern w:val="0"/>
                <w:sz w:val="21"/>
                <w:szCs w:val="21"/>
                <w:highlight w:val="none"/>
                <w:lang w:val="en-US" w:eastAsia="zh-CN"/>
              </w:rPr>
            </w:pPr>
            <w:r>
              <w:rPr>
                <w:rFonts w:hint="default"/>
                <w:color w:val="auto"/>
                <w:highlight w:val="none"/>
              </w:rPr>
              <w:t>市</w:t>
            </w:r>
            <w:r>
              <w:rPr>
                <w:rFonts w:hint="default" w:ascii="宋体" w:hAnsi="宋体" w:eastAsia="宋体" w:cs="宋体"/>
                <w:color w:val="auto"/>
                <w:kern w:val="0"/>
                <w:sz w:val="21"/>
                <w:szCs w:val="21"/>
                <w:highlight w:val="none"/>
                <w:lang w:val="en-US" w:eastAsia="zh-CN"/>
              </w:rPr>
              <w:t>规划自然资源委石景山分局</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区园林绿化局</w:t>
            </w:r>
          </w:p>
          <w:p>
            <w:pPr>
              <w:autoSpaceDE w:val="0"/>
              <w:snapToGrid w:val="0"/>
              <w:ind w:left="-105" w:leftChars="-50" w:right="-105" w:rightChars="-50"/>
              <w:jc w:val="center"/>
              <w:rPr>
                <w:rFonts w:hint="eastAsia" w:ascii="宋体" w:hAnsi="宋体" w:cs="宋体"/>
                <w:color w:val="auto"/>
                <w:szCs w:val="21"/>
              </w:rPr>
            </w:pPr>
            <w:r>
              <w:rPr>
                <w:rFonts w:hint="eastAsia" w:ascii="宋体" w:hAnsi="宋体" w:eastAsia="宋体" w:cs="宋体"/>
                <w:color w:val="auto"/>
                <w:kern w:val="0"/>
                <w:sz w:val="21"/>
                <w:szCs w:val="21"/>
                <w:highlight w:val="none"/>
                <w:lang w:val="en-US" w:eastAsia="zh-CN"/>
              </w:rPr>
              <w:t>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208" w:type="pct"/>
            <w:vMerge w:val="restart"/>
            <w:noWrap w:val="0"/>
            <w:vAlign w:val="center"/>
          </w:tcPr>
          <w:p>
            <w:pPr>
              <w:adjustRightInd w:val="0"/>
              <w:snapToGrid w:val="0"/>
              <w:ind w:left="-105" w:leftChars="-50" w:right="-105" w:rightChar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336" w:type="pct"/>
            <w:vMerge w:val="restart"/>
            <w:noWrap w:val="0"/>
            <w:vAlign w:val="center"/>
          </w:tcPr>
          <w:p>
            <w:pPr>
              <w:adjustRightInd w:val="0"/>
              <w:snapToGrid w:val="0"/>
              <w:ind w:left="-105" w:leftChars="-50" w:right="-105" w:rightChars="-50"/>
              <w:jc w:val="center"/>
              <w:rPr>
                <w:rFonts w:hint="eastAsia" w:ascii="宋体" w:hAnsi="宋体" w:cs="宋体"/>
                <w:color w:val="auto"/>
                <w:szCs w:val="21"/>
              </w:rPr>
            </w:pPr>
            <w:bookmarkStart w:id="1" w:name="lawyee_37028_8"/>
            <w:r>
              <w:rPr>
                <w:rFonts w:hint="eastAsia" w:ascii="宋体" w:hAnsi="宋体" w:cs="宋体"/>
                <w:color w:val="auto"/>
                <w:szCs w:val="21"/>
              </w:rPr>
              <w:t>开展</w:t>
            </w:r>
            <w:r>
              <w:rPr>
                <w:rFonts w:hint="eastAsia" w:ascii="宋体" w:hAnsi="宋体" w:cs="宋体"/>
                <w:color w:val="auto"/>
                <w:kern w:val="0"/>
                <w:szCs w:val="21"/>
              </w:rPr>
              <w:t>GEP-R</w:t>
            </w:r>
            <w:r>
              <w:rPr>
                <w:rFonts w:hint="eastAsia" w:ascii="宋体" w:hAnsi="宋体" w:cs="宋体"/>
                <w:color w:val="auto"/>
                <w:szCs w:val="21"/>
              </w:rPr>
              <w:t>核算</w:t>
            </w:r>
            <w:bookmarkEnd w:id="1"/>
            <w:r>
              <w:rPr>
                <w:rFonts w:hint="eastAsia" w:ascii="宋体" w:hAnsi="宋体" w:cs="宋体"/>
                <w:color w:val="auto"/>
                <w:szCs w:val="21"/>
              </w:rPr>
              <w:t>和应用</w:t>
            </w:r>
          </w:p>
        </w:tc>
        <w:tc>
          <w:tcPr>
            <w:tcW w:w="1895" w:type="pct"/>
            <w:noWrap w:val="0"/>
            <w:vAlign w:val="center"/>
          </w:tcPr>
          <w:p>
            <w:pPr>
              <w:widowControl/>
              <w:jc w:val="left"/>
              <w:rPr>
                <w:rFonts w:hint="eastAsia" w:ascii="宋体" w:hAnsi="宋体" w:cs="宋体"/>
                <w:color w:val="auto"/>
                <w:kern w:val="0"/>
                <w:szCs w:val="21"/>
                <w:lang w:eastAsia="zh"/>
              </w:rPr>
            </w:pPr>
            <w:r>
              <w:rPr>
                <w:rFonts w:hint="eastAsia" w:ascii="宋体" w:hAnsi="宋体" w:cs="宋体"/>
                <w:b w:val="0"/>
                <w:bCs w:val="0"/>
                <w:color w:val="auto"/>
                <w:kern w:val="0"/>
                <w:sz w:val="21"/>
                <w:szCs w:val="21"/>
                <w:highlight w:val="none"/>
                <w:lang w:eastAsia="zh-CN"/>
              </w:rPr>
              <w:t>按照市级工作要求，</w:t>
            </w:r>
            <w:r>
              <w:rPr>
                <w:rFonts w:hint="eastAsia" w:ascii="宋体" w:hAnsi="宋体" w:cs="宋体"/>
                <w:color w:val="auto"/>
                <w:kern w:val="0"/>
                <w:szCs w:val="21"/>
                <w:lang w:eastAsia="zh" w:bidi="ar"/>
              </w:rPr>
              <w:t>以</w:t>
            </w:r>
            <w:r>
              <w:rPr>
                <w:rFonts w:hint="eastAsia" w:ascii="宋体" w:hAnsi="宋体" w:cs="宋体"/>
                <w:color w:val="auto"/>
                <w:kern w:val="0"/>
                <w:szCs w:val="21"/>
              </w:rPr>
              <w:t>生态系统调节服务价值（</w:t>
            </w:r>
            <w:r>
              <w:rPr>
                <w:rFonts w:hint="eastAsia" w:ascii="宋体" w:hAnsi="宋体" w:cs="宋体"/>
                <w:color w:val="auto"/>
                <w:kern w:val="0"/>
                <w:szCs w:val="21"/>
                <w:lang w:eastAsia="zh" w:bidi="ar"/>
              </w:rPr>
              <w:t>GEP-R</w:t>
            </w:r>
            <w:r>
              <w:rPr>
                <w:rFonts w:hint="eastAsia" w:ascii="宋体" w:hAnsi="宋体" w:cs="宋体"/>
                <w:color w:val="auto"/>
                <w:kern w:val="0"/>
                <w:szCs w:val="21"/>
                <w:lang w:bidi="ar"/>
              </w:rPr>
              <w:t>）</w:t>
            </w:r>
            <w:r>
              <w:rPr>
                <w:rFonts w:hint="eastAsia" w:ascii="宋体" w:hAnsi="宋体" w:cs="宋体"/>
                <w:color w:val="auto"/>
                <w:kern w:val="0"/>
                <w:szCs w:val="21"/>
                <w:lang w:eastAsia="zh" w:bidi="ar"/>
              </w:rPr>
              <w:t>不降低为底线，</w:t>
            </w:r>
            <w:r>
              <w:rPr>
                <w:rFonts w:hint="eastAsia" w:ascii="宋体" w:hAnsi="宋体" w:cs="宋体"/>
                <w:color w:val="auto"/>
                <w:kern w:val="0"/>
                <w:szCs w:val="21"/>
                <w:lang w:eastAsia="zh-CN" w:bidi="ar"/>
              </w:rPr>
              <w:t>配合市级部门</w:t>
            </w:r>
            <w:r>
              <w:rPr>
                <w:rFonts w:hint="eastAsia" w:ascii="宋体" w:hAnsi="宋体" w:cs="宋体"/>
                <w:color w:val="auto"/>
                <w:kern w:val="0"/>
                <w:szCs w:val="21"/>
                <w:lang w:bidi="ar"/>
              </w:rPr>
              <w:t>稳步推进GEP-R核算结果在全市横向交换补偿</w:t>
            </w:r>
            <w:r>
              <w:rPr>
                <w:rFonts w:hint="eastAsia" w:ascii="宋体" w:hAnsi="宋体" w:cs="宋体"/>
                <w:color w:val="auto"/>
                <w:kern w:val="0"/>
                <w:szCs w:val="21"/>
                <w:lang w:eastAsia="zh" w:bidi="ar"/>
              </w:rPr>
              <w:t>中的</w:t>
            </w:r>
            <w:r>
              <w:rPr>
                <w:rFonts w:hint="eastAsia" w:ascii="宋体" w:hAnsi="宋体" w:cs="宋体"/>
                <w:color w:val="auto"/>
                <w:kern w:val="0"/>
                <w:szCs w:val="21"/>
                <w:lang w:bidi="ar"/>
              </w:rPr>
              <w:t>应用</w:t>
            </w:r>
            <w:r>
              <w:rPr>
                <w:rFonts w:hint="eastAsia" w:ascii="宋体" w:hAnsi="宋体" w:cs="宋体"/>
                <w:color w:val="auto"/>
                <w:kern w:val="0"/>
                <w:szCs w:val="21"/>
                <w:lang w:eastAsia="zh" w:bidi="ar"/>
              </w:rPr>
              <w:t>，实现保护同责，发展共享</w:t>
            </w:r>
            <w:r>
              <w:rPr>
                <w:rFonts w:hint="eastAsia" w:ascii="宋体" w:hAnsi="宋体" w:cs="宋体"/>
                <w:color w:val="auto"/>
                <w:kern w:val="0"/>
                <w:szCs w:val="21"/>
                <w:lang w:bidi="ar"/>
              </w:rPr>
              <w:t>。</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年底前</w:t>
            </w:r>
          </w:p>
        </w:tc>
        <w:tc>
          <w:tcPr>
            <w:tcW w:w="1077" w:type="pct"/>
            <w:noWrap w:val="0"/>
            <w:vAlign w:val="center"/>
          </w:tcPr>
          <w:p>
            <w:pPr>
              <w:autoSpaceDE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发展改革委</w:t>
            </w:r>
          </w:p>
        </w:tc>
        <w:tc>
          <w:tcPr>
            <w:tcW w:w="1156" w:type="pct"/>
            <w:noWrap w:val="0"/>
            <w:vAlign w:val="center"/>
          </w:tcPr>
          <w:p>
            <w:pPr>
              <w:autoSpaceDE w:val="0"/>
              <w:snapToGrid w:val="0"/>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208" w:type="pct"/>
            <w:vMerge w:val="continue"/>
            <w:noWrap w:val="0"/>
            <w:vAlign w:val="center"/>
          </w:tcPr>
          <w:p>
            <w:pPr>
              <w:adjustRightInd w:val="0"/>
              <w:snapToGrid w:val="0"/>
              <w:ind w:left="-105" w:leftChars="-50" w:right="-105" w:rightChars="-50"/>
              <w:jc w:val="center"/>
              <w:rPr>
                <w:rFonts w:hint="eastAsia" w:ascii="宋体" w:hAnsi="宋体" w:cs="宋体"/>
                <w:color w:val="auto"/>
                <w:szCs w:val="21"/>
              </w:rPr>
            </w:pPr>
          </w:p>
        </w:tc>
        <w:tc>
          <w:tcPr>
            <w:tcW w:w="336" w:type="pct"/>
            <w:vMerge w:val="continue"/>
            <w:noWrap w:val="0"/>
            <w:vAlign w:val="center"/>
          </w:tcPr>
          <w:p>
            <w:pPr>
              <w:adjustRightInd w:val="0"/>
              <w:snapToGrid w:val="0"/>
              <w:ind w:left="-105" w:leftChars="-50" w:right="-105" w:rightChars="-50"/>
              <w:jc w:val="center"/>
              <w:rPr>
                <w:rFonts w:hint="eastAsia" w:ascii="宋体" w:hAnsi="宋体" w:cs="宋体"/>
                <w:color w:val="auto"/>
                <w:szCs w:val="21"/>
              </w:rPr>
            </w:pPr>
          </w:p>
        </w:tc>
        <w:tc>
          <w:tcPr>
            <w:tcW w:w="1895" w:type="pct"/>
            <w:noWrap w:val="0"/>
            <w:vAlign w:val="center"/>
          </w:tcPr>
          <w:p>
            <w:pPr>
              <w:keepNext w:val="0"/>
              <w:keepLines w:val="0"/>
              <w:pageBreakBefore w:val="0"/>
              <w:kinsoku/>
              <w:wordWrap/>
              <w:overflowPunct/>
              <w:topLinePunct w:val="0"/>
              <w:autoSpaceDN/>
              <w:bidi w:val="0"/>
              <w:adjustRightInd w:val="0"/>
              <w:snapToGrid w:val="0"/>
              <w:spacing w:line="320" w:lineRule="exact"/>
              <w:textAlignment w:val="auto"/>
              <w:rPr>
                <w:rFonts w:hint="eastAsia" w:ascii="宋体" w:hAnsi="宋体" w:cs="宋体"/>
                <w:color w:val="auto"/>
                <w:szCs w:val="21"/>
                <w:lang w:eastAsia="zh"/>
              </w:rPr>
            </w:pPr>
            <w:r>
              <w:rPr>
                <w:rFonts w:hint="eastAsia" w:ascii="宋体" w:hAnsi="宋体" w:cs="宋体"/>
                <w:b w:val="0"/>
                <w:bCs w:val="0"/>
                <w:color w:val="auto"/>
                <w:kern w:val="0"/>
                <w:sz w:val="21"/>
                <w:szCs w:val="21"/>
                <w:highlight w:val="none"/>
                <w:lang w:eastAsia="zh-CN"/>
              </w:rPr>
              <w:t>配合市级部门</w:t>
            </w:r>
            <w:r>
              <w:rPr>
                <w:rFonts w:hint="eastAsia" w:ascii="宋体" w:hAnsi="宋体" w:eastAsia="宋体" w:cs="宋体"/>
                <w:b w:val="0"/>
                <w:bCs w:val="0"/>
                <w:color w:val="auto"/>
                <w:kern w:val="0"/>
                <w:sz w:val="21"/>
                <w:szCs w:val="21"/>
                <w:highlight w:val="none"/>
                <w:lang w:eastAsia="zh-CN"/>
              </w:rPr>
              <w:t>实施《北京市生态系统调节服务价值（GEP-R）核算方案》，</w:t>
            </w:r>
            <w:r>
              <w:rPr>
                <w:rFonts w:hint="eastAsia" w:ascii="宋体" w:hAnsi="宋体" w:cs="宋体"/>
                <w:b w:val="0"/>
                <w:bCs w:val="0"/>
                <w:color w:val="auto"/>
                <w:kern w:val="0"/>
                <w:sz w:val="21"/>
                <w:szCs w:val="21"/>
                <w:highlight w:val="none"/>
                <w:lang w:eastAsia="zh-CN"/>
              </w:rPr>
              <w:t>做</w:t>
            </w:r>
            <w:r>
              <w:rPr>
                <w:rFonts w:hint="eastAsia" w:ascii="宋体" w:hAnsi="宋体" w:eastAsia="宋体" w:cs="宋体"/>
                <w:b w:val="0"/>
                <w:bCs w:val="0"/>
                <w:color w:val="auto"/>
                <w:kern w:val="0"/>
                <w:sz w:val="21"/>
                <w:szCs w:val="21"/>
                <w:highlight w:val="none"/>
                <w:lang w:eastAsia="zh-CN"/>
              </w:rPr>
              <w:t>好GEP-R核算工作。开展石景山区GEP-R精细化提升策略研究。</w:t>
            </w:r>
          </w:p>
        </w:tc>
        <w:tc>
          <w:tcPr>
            <w:tcW w:w="324" w:type="pc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宋体" w:hAnsi="宋体" w:cs="宋体"/>
                <w:color w:val="auto"/>
                <w:szCs w:val="21"/>
              </w:rPr>
            </w:pPr>
            <w:r>
              <w:rPr>
                <w:rFonts w:hint="eastAsia" w:ascii="宋体" w:hAnsi="宋体" w:eastAsia="宋体" w:cs="宋体"/>
                <w:color w:val="auto"/>
                <w:spacing w:val="0"/>
                <w:kern w:val="0"/>
                <w:sz w:val="21"/>
                <w:szCs w:val="21"/>
                <w:highlight w:val="none"/>
              </w:rPr>
              <w:t>年底前</w:t>
            </w:r>
          </w:p>
        </w:tc>
        <w:tc>
          <w:tcPr>
            <w:tcW w:w="1077" w:type="pct"/>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宋体" w:hAnsi="宋体" w:cs="宋体"/>
                <w:color w:val="auto"/>
                <w:szCs w:val="21"/>
                <w:lang w:eastAsia="zh"/>
              </w:rPr>
            </w:pPr>
            <w:r>
              <w:rPr>
                <w:rFonts w:hint="eastAsia" w:ascii="宋体" w:hAnsi="宋体" w:cs="宋体"/>
                <w:color w:val="auto"/>
                <w:sz w:val="21"/>
                <w:szCs w:val="21"/>
                <w:highlight w:val="none"/>
                <w:lang w:eastAsia="zh-CN"/>
              </w:rPr>
              <w:t>区</w:t>
            </w:r>
            <w:r>
              <w:rPr>
                <w:rFonts w:hint="eastAsia" w:ascii="宋体" w:hAnsi="宋体" w:eastAsia="宋体" w:cs="宋体"/>
                <w:color w:val="auto"/>
                <w:sz w:val="21"/>
                <w:szCs w:val="21"/>
                <w:highlight w:val="none"/>
              </w:rPr>
              <w:t>生态环境局</w:t>
            </w:r>
          </w:p>
        </w:tc>
        <w:tc>
          <w:tcPr>
            <w:tcW w:w="1156" w:type="pct"/>
            <w:noWrap w:val="0"/>
            <w:vAlign w:val="center"/>
          </w:tcPr>
          <w:p>
            <w:pPr>
              <w:autoSpaceDE w:val="0"/>
              <w:snapToGrid w:val="0"/>
              <w:jc w:val="center"/>
              <w:rPr>
                <w:rFonts w:hint="eastAsia" w:ascii="宋体" w:hAnsi="宋体" w:cs="宋体"/>
                <w:color w:val="auto"/>
                <w:szCs w:val="21"/>
              </w:rPr>
            </w:pPr>
            <w:r>
              <w:rPr>
                <w:rFonts w:hint="eastAsia" w:ascii="宋体" w:hAnsi="宋体" w:eastAsia="宋体" w:cs="宋体"/>
                <w:color w:val="auto"/>
                <w:spacing w:val="-2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08" w:type="pct"/>
            <w:noWrap w:val="0"/>
            <w:vAlign w:val="center"/>
          </w:tcPr>
          <w:p>
            <w:pPr>
              <w:widowControl/>
              <w:adjustRightInd w:val="0"/>
              <w:snapToGrid w:val="0"/>
              <w:ind w:left="-105" w:leftChars="-50" w:right="-105" w:rightChars="-5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13</w:t>
            </w:r>
          </w:p>
        </w:tc>
        <w:tc>
          <w:tcPr>
            <w:tcW w:w="336" w:type="pct"/>
            <w:noWrap w:val="0"/>
            <w:vAlign w:val="center"/>
          </w:tcPr>
          <w:p>
            <w:pPr>
              <w:widowControl/>
              <w:adjustRightInd w:val="0"/>
              <w:snapToGrid w:val="0"/>
              <w:ind w:left="-105" w:leftChars="-50" w:right="-105" w:rightChars="-50"/>
              <w:jc w:val="center"/>
              <w:rPr>
                <w:rFonts w:hint="eastAsia" w:ascii="宋体" w:hAnsi="宋体" w:cs="宋体"/>
                <w:color w:val="auto"/>
                <w:szCs w:val="21"/>
              </w:rPr>
            </w:pPr>
            <w:r>
              <w:rPr>
                <w:rFonts w:hint="eastAsia" w:ascii="宋体" w:hAnsi="宋体" w:eastAsia="宋体" w:cs="宋体"/>
                <w:color w:val="auto"/>
                <w:kern w:val="0"/>
                <w:sz w:val="21"/>
                <w:szCs w:val="21"/>
                <w:highlight w:val="none"/>
                <w:lang w:val="en-US" w:eastAsia="zh-CN"/>
              </w:rPr>
              <w:t>推进生态文明示范创建</w:t>
            </w:r>
          </w:p>
        </w:tc>
        <w:tc>
          <w:tcPr>
            <w:tcW w:w="1895" w:type="pct"/>
            <w:noWrap w:val="0"/>
            <w:vAlign w:val="center"/>
          </w:tcPr>
          <w:p>
            <w:pPr>
              <w:adjustRightInd w:val="0"/>
              <w:snapToGrid w:val="0"/>
              <w:rPr>
                <w:rFonts w:hint="eastAsia" w:ascii="宋体" w:hAnsi="宋体" w:eastAsia="宋体" w:cs="宋体"/>
                <w:color w:val="auto"/>
                <w:szCs w:val="21"/>
                <w:lang w:eastAsia="zh-CN"/>
              </w:rPr>
            </w:pPr>
            <w:r>
              <w:rPr>
                <w:rFonts w:hint="eastAsia" w:ascii="宋体" w:hAnsi="宋体" w:cs="宋体"/>
                <w:color w:val="auto"/>
                <w:szCs w:val="21"/>
              </w:rPr>
              <w:t>按照国家</w:t>
            </w:r>
            <w:r>
              <w:rPr>
                <w:rFonts w:hint="eastAsia" w:ascii="宋体" w:hAnsi="宋体" w:cs="宋体"/>
                <w:color w:val="auto"/>
                <w:szCs w:val="21"/>
                <w:lang w:eastAsia="zh-CN"/>
              </w:rPr>
              <w:t>和市级</w:t>
            </w:r>
            <w:r>
              <w:rPr>
                <w:rFonts w:hint="eastAsia" w:ascii="宋体" w:hAnsi="宋体" w:cs="宋体"/>
                <w:color w:val="auto"/>
                <w:szCs w:val="21"/>
              </w:rPr>
              <w:t>部署，</w:t>
            </w:r>
            <w:r>
              <w:rPr>
                <w:rFonts w:hint="eastAsia" w:ascii="宋体" w:hAnsi="宋体" w:cs="宋体"/>
                <w:color w:val="auto"/>
                <w:szCs w:val="21"/>
                <w:lang w:eastAsia="zh-CN"/>
              </w:rPr>
              <w:t>积极推进全区</w:t>
            </w:r>
            <w:r>
              <w:rPr>
                <w:rFonts w:hint="eastAsia" w:ascii="宋体" w:hAnsi="宋体" w:cs="宋体"/>
                <w:color w:val="auto"/>
                <w:szCs w:val="21"/>
              </w:rPr>
              <w:t>“绿水青山就是金山银山”实践创新基地创建工作</w:t>
            </w:r>
            <w:r>
              <w:rPr>
                <w:rFonts w:hint="eastAsia" w:ascii="宋体" w:hAnsi="宋体" w:cs="宋体"/>
                <w:color w:val="auto"/>
                <w:szCs w:val="21"/>
                <w:lang w:eastAsia="zh-CN"/>
              </w:rPr>
              <w:t>，力争年底前顺利进入市级项目储备库。</w:t>
            </w:r>
          </w:p>
        </w:tc>
        <w:tc>
          <w:tcPr>
            <w:tcW w:w="324" w:type="pct"/>
            <w:noWrap w:val="0"/>
            <w:vAlign w:val="center"/>
          </w:tcPr>
          <w:p>
            <w:pPr>
              <w:adjustRightInd w:val="0"/>
              <w:snapToGrid w:val="0"/>
              <w:jc w:val="center"/>
              <w:rPr>
                <w:rFonts w:hint="eastAsia" w:ascii="宋体" w:hAnsi="宋体" w:cs="宋体"/>
                <w:color w:val="auto"/>
                <w:szCs w:val="21"/>
              </w:rPr>
            </w:pPr>
            <w:r>
              <w:rPr>
                <w:rFonts w:hint="eastAsia" w:ascii="宋体" w:hAnsi="宋体" w:cs="宋体"/>
                <w:color w:val="auto"/>
                <w:kern w:val="0"/>
                <w:szCs w:val="21"/>
              </w:rPr>
              <w:t>年底前</w:t>
            </w:r>
          </w:p>
        </w:tc>
        <w:tc>
          <w:tcPr>
            <w:tcW w:w="1077" w:type="pct"/>
            <w:noWrap w:val="0"/>
            <w:vAlign w:val="center"/>
          </w:tcPr>
          <w:p>
            <w:pPr>
              <w:autoSpaceDE w:val="0"/>
              <w:snapToGrid w:val="0"/>
              <w:jc w:val="center"/>
              <w:rPr>
                <w:rFonts w:hint="eastAsia" w:ascii="宋体" w:hAnsi="宋体" w:cs="宋体"/>
                <w:color w:val="auto"/>
                <w:szCs w:val="21"/>
              </w:rPr>
            </w:pPr>
            <w:r>
              <w:rPr>
                <w:rFonts w:hint="eastAsia" w:ascii="宋体" w:hAnsi="宋体" w:cs="宋体"/>
                <w:color w:val="auto"/>
                <w:szCs w:val="21"/>
                <w:lang w:eastAsia="zh-CN"/>
              </w:rPr>
              <w:t>区</w:t>
            </w:r>
            <w:r>
              <w:rPr>
                <w:rFonts w:hint="eastAsia" w:ascii="宋体" w:hAnsi="宋体" w:cs="宋体"/>
                <w:color w:val="auto"/>
                <w:szCs w:val="21"/>
              </w:rPr>
              <w:t>生态环境局</w:t>
            </w:r>
          </w:p>
        </w:tc>
        <w:tc>
          <w:tcPr>
            <w:tcW w:w="1156" w:type="pc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color w:val="auto"/>
                <w:highlight w:val="none"/>
                <w:lang w:val="en-US" w:eastAsia="zh-CN"/>
              </w:rPr>
            </w:pPr>
            <w:r>
              <w:rPr>
                <w:rFonts w:hint="eastAsia"/>
                <w:color w:val="auto"/>
                <w:highlight w:val="none"/>
                <w:lang w:val="en-US" w:eastAsia="zh-CN"/>
              </w:rPr>
              <w:t>区发展改革委</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color w:val="auto"/>
                <w:highlight w:val="none"/>
                <w:lang w:val="en-US" w:eastAsia="zh-CN"/>
              </w:rPr>
            </w:pPr>
            <w:r>
              <w:rPr>
                <w:rFonts w:hint="eastAsia"/>
                <w:color w:val="auto"/>
                <w:highlight w:val="none"/>
                <w:lang w:val="en-US" w:eastAsia="zh-CN"/>
              </w:rPr>
              <w:t>市规划自然资源委石景山分局</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color w:val="auto"/>
                <w:highlight w:val="none"/>
                <w:lang w:val="en-US" w:eastAsia="zh-CN"/>
              </w:rPr>
            </w:pPr>
            <w:r>
              <w:rPr>
                <w:rFonts w:hint="eastAsia"/>
                <w:color w:val="auto"/>
                <w:highlight w:val="none"/>
                <w:lang w:val="en-US" w:eastAsia="zh-CN"/>
              </w:rPr>
              <w:t>区住房城市建设委</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color w:val="auto"/>
                <w:highlight w:val="none"/>
                <w:lang w:val="en-US" w:eastAsia="zh-CN"/>
              </w:rPr>
            </w:pPr>
            <w:r>
              <w:rPr>
                <w:rFonts w:hint="eastAsia"/>
                <w:color w:val="auto"/>
                <w:highlight w:val="none"/>
                <w:lang w:val="en-US" w:eastAsia="zh-CN"/>
              </w:rPr>
              <w:t>区城市管理委</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color w:val="auto"/>
                <w:highlight w:val="none"/>
                <w:lang w:val="en-US" w:eastAsia="zh-CN"/>
              </w:rPr>
            </w:pPr>
            <w:r>
              <w:rPr>
                <w:rFonts w:hint="eastAsia"/>
                <w:color w:val="auto"/>
                <w:highlight w:val="none"/>
                <w:lang w:val="en-US" w:eastAsia="zh-CN"/>
              </w:rPr>
              <w:t>区文化和旅游局</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color w:val="auto"/>
                <w:highlight w:val="none"/>
                <w:lang w:val="en-US" w:eastAsia="zh-CN"/>
              </w:rPr>
            </w:pPr>
            <w:r>
              <w:rPr>
                <w:rFonts w:hint="eastAsia"/>
                <w:color w:val="auto"/>
                <w:highlight w:val="none"/>
                <w:lang w:val="en-US" w:eastAsia="zh-CN"/>
              </w:rPr>
              <w:t>区园林绿化局</w:t>
            </w:r>
          </w:p>
          <w:p>
            <w:pPr>
              <w:autoSpaceDE w:val="0"/>
              <w:snapToGrid w:val="0"/>
              <w:jc w:val="center"/>
              <w:rPr>
                <w:rFonts w:hint="eastAsia" w:ascii="宋体" w:hAnsi="宋体" w:cs="宋体"/>
                <w:color w:val="auto"/>
                <w:szCs w:val="21"/>
              </w:rPr>
            </w:pPr>
            <w:r>
              <w:rPr>
                <w:rFonts w:hint="eastAsia" w:hAnsi="宋体" w:cs="宋体"/>
                <w:color w:val="auto"/>
                <w:kern w:val="0"/>
                <w:sz w:val="21"/>
                <w:szCs w:val="21"/>
                <w:highlight w:val="none"/>
                <w:lang w:val="en-US" w:eastAsia="zh-CN"/>
              </w:rPr>
              <w:t>区统计局</w:t>
            </w:r>
          </w:p>
        </w:tc>
      </w:tr>
    </w:tbl>
    <w:p>
      <w:pPr>
        <w:rPr>
          <w:rFonts w:hint="default"/>
          <w:lang w:val="en-US" w:eastAsia="zh-CN"/>
        </w:rPr>
      </w:pPr>
    </w:p>
    <w:sectPr>
      <w:pgSz w:w="16838" w:h="11906" w:orient="landscape"/>
      <w:pgMar w:top="1587" w:right="1440" w:bottom="1474" w:left="1440"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QyMDI2YWQxODZkY2FjNzdhMDY1NTg5MzZkNGQifQ=="/>
  </w:docVars>
  <w:rsids>
    <w:rsidRoot w:val="E1D7C55D"/>
    <w:rsid w:val="02E41B50"/>
    <w:rsid w:val="03105EF3"/>
    <w:rsid w:val="0340614C"/>
    <w:rsid w:val="06460E04"/>
    <w:rsid w:val="0A500C6F"/>
    <w:rsid w:val="0E7F2A96"/>
    <w:rsid w:val="14D709D0"/>
    <w:rsid w:val="15CF783C"/>
    <w:rsid w:val="171409A2"/>
    <w:rsid w:val="17EA01B6"/>
    <w:rsid w:val="1B2C498D"/>
    <w:rsid w:val="1CE52DA6"/>
    <w:rsid w:val="1DE267C7"/>
    <w:rsid w:val="1EA57A42"/>
    <w:rsid w:val="22492305"/>
    <w:rsid w:val="23E35DAC"/>
    <w:rsid w:val="27FFA17C"/>
    <w:rsid w:val="28736918"/>
    <w:rsid w:val="2BD01B70"/>
    <w:rsid w:val="2BF8CBAC"/>
    <w:rsid w:val="2EFB4A00"/>
    <w:rsid w:val="2F3F92B6"/>
    <w:rsid w:val="2FF615DF"/>
    <w:rsid w:val="322B4FFC"/>
    <w:rsid w:val="343D97D3"/>
    <w:rsid w:val="35992C48"/>
    <w:rsid w:val="35E07776"/>
    <w:rsid w:val="35F7D69E"/>
    <w:rsid w:val="37BB7C94"/>
    <w:rsid w:val="388610A1"/>
    <w:rsid w:val="391121EA"/>
    <w:rsid w:val="3BDDDBD8"/>
    <w:rsid w:val="3BEEF21F"/>
    <w:rsid w:val="3D6D3BBD"/>
    <w:rsid w:val="3DFCD71B"/>
    <w:rsid w:val="3EAD6B84"/>
    <w:rsid w:val="3EFCF87B"/>
    <w:rsid w:val="3EFF0FB0"/>
    <w:rsid w:val="3F5E8746"/>
    <w:rsid w:val="3F9F0B60"/>
    <w:rsid w:val="3FA6BC3D"/>
    <w:rsid w:val="3FD76034"/>
    <w:rsid w:val="3FEF2B84"/>
    <w:rsid w:val="3FF3327D"/>
    <w:rsid w:val="41BB76C8"/>
    <w:rsid w:val="42075DF4"/>
    <w:rsid w:val="44C059A5"/>
    <w:rsid w:val="4797FD60"/>
    <w:rsid w:val="47AE0FDB"/>
    <w:rsid w:val="4A7AFEAC"/>
    <w:rsid w:val="4AD40914"/>
    <w:rsid w:val="4CD1011D"/>
    <w:rsid w:val="51953FA3"/>
    <w:rsid w:val="53BF070E"/>
    <w:rsid w:val="53E9638C"/>
    <w:rsid w:val="53F96E54"/>
    <w:rsid w:val="55C6236F"/>
    <w:rsid w:val="56AA7165"/>
    <w:rsid w:val="56D07350"/>
    <w:rsid w:val="5775077A"/>
    <w:rsid w:val="58D2718A"/>
    <w:rsid w:val="59B72906"/>
    <w:rsid w:val="5AB956F8"/>
    <w:rsid w:val="5AC404F1"/>
    <w:rsid w:val="5DC257B5"/>
    <w:rsid w:val="5E5DF926"/>
    <w:rsid w:val="5EA266F7"/>
    <w:rsid w:val="5EDF5B2A"/>
    <w:rsid w:val="5EF2D969"/>
    <w:rsid w:val="5EFF46C7"/>
    <w:rsid w:val="5F2F7EA6"/>
    <w:rsid w:val="5F8FB834"/>
    <w:rsid w:val="5FBEF3B7"/>
    <w:rsid w:val="628E106E"/>
    <w:rsid w:val="666146B6"/>
    <w:rsid w:val="669A15CF"/>
    <w:rsid w:val="66F56924"/>
    <w:rsid w:val="67F67D8B"/>
    <w:rsid w:val="68BE2BAE"/>
    <w:rsid w:val="6AF66518"/>
    <w:rsid w:val="6CFF953F"/>
    <w:rsid w:val="6D6F44B8"/>
    <w:rsid w:val="6DAEB94E"/>
    <w:rsid w:val="6DB75E51"/>
    <w:rsid w:val="6DEF342B"/>
    <w:rsid w:val="6E7312AF"/>
    <w:rsid w:val="6EB62033"/>
    <w:rsid w:val="6EFF5B61"/>
    <w:rsid w:val="6F7387EB"/>
    <w:rsid w:val="6F77F5CF"/>
    <w:rsid w:val="6FF15963"/>
    <w:rsid w:val="6FF3876E"/>
    <w:rsid w:val="6FF91F97"/>
    <w:rsid w:val="70B77108"/>
    <w:rsid w:val="71F07544"/>
    <w:rsid w:val="71FF65A2"/>
    <w:rsid w:val="72E37CFD"/>
    <w:rsid w:val="736E0A67"/>
    <w:rsid w:val="757D8EB9"/>
    <w:rsid w:val="75FF5A34"/>
    <w:rsid w:val="76CD2959"/>
    <w:rsid w:val="7733A3DD"/>
    <w:rsid w:val="775B8C49"/>
    <w:rsid w:val="77BFE8FF"/>
    <w:rsid w:val="77DE4B74"/>
    <w:rsid w:val="77FAC581"/>
    <w:rsid w:val="77FD491E"/>
    <w:rsid w:val="77FF6D39"/>
    <w:rsid w:val="77FFCBF0"/>
    <w:rsid w:val="7A9FB704"/>
    <w:rsid w:val="7B6772B1"/>
    <w:rsid w:val="7B96C283"/>
    <w:rsid w:val="7BA20C59"/>
    <w:rsid w:val="7BDF483B"/>
    <w:rsid w:val="7C3CADAD"/>
    <w:rsid w:val="7CDBF4E9"/>
    <w:rsid w:val="7CEF9E48"/>
    <w:rsid w:val="7CF293FF"/>
    <w:rsid w:val="7CFE9CA6"/>
    <w:rsid w:val="7D7D90B5"/>
    <w:rsid w:val="7D8C5393"/>
    <w:rsid w:val="7DA741E9"/>
    <w:rsid w:val="7DEF915E"/>
    <w:rsid w:val="7E1F0A9A"/>
    <w:rsid w:val="7E7F453A"/>
    <w:rsid w:val="7E886EC0"/>
    <w:rsid w:val="7EEA4D63"/>
    <w:rsid w:val="7EFD06BE"/>
    <w:rsid w:val="7F72933D"/>
    <w:rsid w:val="7F738243"/>
    <w:rsid w:val="7FAE6A7B"/>
    <w:rsid w:val="7FB74CC9"/>
    <w:rsid w:val="7FBBCF17"/>
    <w:rsid w:val="7FC733F0"/>
    <w:rsid w:val="7FED2C51"/>
    <w:rsid w:val="7FEF040B"/>
    <w:rsid w:val="93F7118E"/>
    <w:rsid w:val="977FCF3A"/>
    <w:rsid w:val="99B781BB"/>
    <w:rsid w:val="99CEDF51"/>
    <w:rsid w:val="9A74EE01"/>
    <w:rsid w:val="9BF6152F"/>
    <w:rsid w:val="9D3F6C64"/>
    <w:rsid w:val="9DFD3707"/>
    <w:rsid w:val="AF77B73E"/>
    <w:rsid w:val="AFFD78A3"/>
    <w:rsid w:val="B32E694B"/>
    <w:rsid w:val="B3EBCB58"/>
    <w:rsid w:val="B6FD7D09"/>
    <w:rsid w:val="B7AAFC62"/>
    <w:rsid w:val="B7BF3983"/>
    <w:rsid w:val="B7F7F63B"/>
    <w:rsid w:val="B7FE2ABA"/>
    <w:rsid w:val="BE785CAD"/>
    <w:rsid w:val="BE7E4F36"/>
    <w:rsid w:val="BF6F2C07"/>
    <w:rsid w:val="BFDFE194"/>
    <w:rsid w:val="BFFFBAFC"/>
    <w:rsid w:val="C33C25AD"/>
    <w:rsid w:val="C3BFBE40"/>
    <w:rsid w:val="C79FF200"/>
    <w:rsid w:val="C7FBA07F"/>
    <w:rsid w:val="CBDC40A9"/>
    <w:rsid w:val="CE4E4473"/>
    <w:rsid w:val="CFD77812"/>
    <w:rsid w:val="CFFFA4FB"/>
    <w:rsid w:val="D77D5F49"/>
    <w:rsid w:val="D7DD5031"/>
    <w:rsid w:val="D7FE832C"/>
    <w:rsid w:val="DB7FB9B4"/>
    <w:rsid w:val="DBFE7D0B"/>
    <w:rsid w:val="DC57132A"/>
    <w:rsid w:val="DD5C3028"/>
    <w:rsid w:val="DE7B5090"/>
    <w:rsid w:val="DE97E5B0"/>
    <w:rsid w:val="DF7C34AD"/>
    <w:rsid w:val="DFB4E1C9"/>
    <w:rsid w:val="DFBFBB11"/>
    <w:rsid w:val="DFFFE295"/>
    <w:rsid w:val="E1D7C55D"/>
    <w:rsid w:val="E6C91A89"/>
    <w:rsid w:val="E6FE24FD"/>
    <w:rsid w:val="EB9703D1"/>
    <w:rsid w:val="EBCFEBCD"/>
    <w:rsid w:val="EBFFA8BB"/>
    <w:rsid w:val="EDEEBA1D"/>
    <w:rsid w:val="EEFF5E04"/>
    <w:rsid w:val="EF5EAAAA"/>
    <w:rsid w:val="EF77AD32"/>
    <w:rsid w:val="EFDACAA6"/>
    <w:rsid w:val="EFFE16A9"/>
    <w:rsid w:val="F1FF0ED4"/>
    <w:rsid w:val="F2A75623"/>
    <w:rsid w:val="F2B951B2"/>
    <w:rsid w:val="F3FB0234"/>
    <w:rsid w:val="F3FF2822"/>
    <w:rsid w:val="F4F432FA"/>
    <w:rsid w:val="F777EF47"/>
    <w:rsid w:val="F7D715D5"/>
    <w:rsid w:val="F7EF9678"/>
    <w:rsid w:val="F93FF45A"/>
    <w:rsid w:val="F9FC29F8"/>
    <w:rsid w:val="FA937CE7"/>
    <w:rsid w:val="FB77AB3E"/>
    <w:rsid w:val="FBEBF2F6"/>
    <w:rsid w:val="FCFF58BE"/>
    <w:rsid w:val="FD4F6F6F"/>
    <w:rsid w:val="FDCFFEFC"/>
    <w:rsid w:val="FDECE5AF"/>
    <w:rsid w:val="FE3F3B8A"/>
    <w:rsid w:val="FE5F79D3"/>
    <w:rsid w:val="FE7BD4A9"/>
    <w:rsid w:val="FEFD1FB2"/>
    <w:rsid w:val="FEFD9FE3"/>
    <w:rsid w:val="FEFF04B4"/>
    <w:rsid w:val="FEFFE317"/>
    <w:rsid w:val="FF2778C0"/>
    <w:rsid w:val="FF77524B"/>
    <w:rsid w:val="FF97208D"/>
    <w:rsid w:val="FFA74D33"/>
    <w:rsid w:val="FFC9E4B3"/>
    <w:rsid w:val="FFD695B4"/>
    <w:rsid w:val="FFDB3ACF"/>
    <w:rsid w:val="FFDF2541"/>
    <w:rsid w:val="FFEFB869"/>
    <w:rsid w:val="FFF88B41"/>
    <w:rsid w:val="FFFFD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endnote text"/>
    <w:qFormat/>
    <w:uiPriority w:val="99"/>
    <w:pPr>
      <w:widowControl w:val="0"/>
      <w:snapToGrid w:val="0"/>
      <w:spacing w:after="160" w:line="278" w:lineRule="auto"/>
      <w:jc w:val="left"/>
    </w:pPr>
    <w:rPr>
      <w:rFonts w:ascii="宋体" w:hAnsi="宋体" w:eastAsia="仿宋_GB2312" w:cs="Times New Roman"/>
      <w:snapToGrid w:val="0"/>
      <w:kern w:val="32"/>
      <w:sz w:val="32"/>
      <w:szCs w:val="32"/>
      <w:lang w:val="en-US" w:eastAsia="zh-CN" w:bidi="ar-SA"/>
    </w:rPr>
  </w:style>
  <w:style w:type="paragraph" w:styleId="3">
    <w:name w:val="Salutation"/>
    <w:basedOn w:val="1"/>
    <w:next w:val="1"/>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Body Text"/>
    <w:basedOn w:val="1"/>
    <w:next w:val="1"/>
    <w:qFormat/>
    <w:uiPriority w:val="0"/>
    <w:pPr>
      <w:spacing w:after="120"/>
    </w:pPr>
  </w:style>
  <w:style w:type="paragraph" w:styleId="5">
    <w:name w:val="Block Text"/>
    <w:basedOn w:val="1"/>
    <w:qFormat/>
    <w:uiPriority w:val="0"/>
    <w:pPr>
      <w:spacing w:after="120"/>
      <w:ind w:left="1440" w:leftChars="700" w:right="1440" w:rightChars="700"/>
    </w:pPr>
  </w:style>
  <w:style w:type="paragraph" w:styleId="6">
    <w:name w:val="toc 3"/>
    <w:next w:val="1"/>
    <w:unhideWhenUsed/>
    <w:qFormat/>
    <w:uiPriority w:val="39"/>
    <w:pPr>
      <w:widowControl w:val="0"/>
      <w:spacing w:line="560" w:lineRule="exact"/>
      <w:jc w:val="left"/>
    </w:pPr>
    <w:rPr>
      <w:rFonts w:ascii="方正小标宋简体" w:hAnsi="黑体" w:eastAsia="方正小标宋简体" w:cs="Times New Roman"/>
      <w:kern w:val="2"/>
      <w:sz w:val="44"/>
      <w:szCs w:val="44"/>
      <w:lang w:val="en-US" w:eastAsia="zh-CN" w:bidi="ar-SA"/>
    </w:rPr>
  </w:style>
  <w:style w:type="paragraph" w:styleId="7">
    <w:name w:val="Plain Text"/>
    <w:basedOn w:val="1"/>
    <w:next w:val="1"/>
    <w:qFormat/>
    <w:uiPriority w:val="0"/>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9"/>
    <w:basedOn w:val="1"/>
    <w:next w:val="1"/>
    <w:unhideWhenUsed/>
    <w:qFormat/>
    <w:uiPriority w:val="99"/>
    <w:pPr>
      <w:spacing w:before="100" w:beforeAutospacing="1" w:after="100" w:afterAutospacing="1"/>
      <w:ind w:left="3360" w:leftChars="1600"/>
      <w:jc w:val="left"/>
    </w:p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1"/>
    <w:unhideWhenUsed/>
    <w:qFormat/>
    <w:uiPriority w:val="99"/>
    <w:pPr>
      <w:ind w:firstLine="420" w:firstLineChars="200"/>
    </w:pPr>
  </w:style>
  <w:style w:type="character" w:customStyle="1" w:styleId="16">
    <w:name w:val="font01"/>
    <w:basedOn w:val="15"/>
    <w:qFormat/>
    <w:uiPriority w:val="0"/>
    <w:rPr>
      <w:rFonts w:ascii="仿宋_GB2312" w:eastAsia="仿宋_GB2312" w:cs="仿宋_GB2312"/>
      <w:color w:val="000000"/>
      <w:sz w:val="28"/>
      <w:szCs w:val="28"/>
      <w:u w:val="none"/>
    </w:rPr>
  </w:style>
  <w:style w:type="character" w:customStyle="1" w:styleId="17">
    <w:name w:val="font31"/>
    <w:qFormat/>
    <w:uiPriority w:val="0"/>
    <w:rPr>
      <w:rFonts w:hint="eastAsia" w:ascii="宋体" w:hAnsi="宋体" w:eastAsia="宋体" w:cs="宋体"/>
      <w:color w:val="000000"/>
      <w:sz w:val="28"/>
      <w:szCs w:val="28"/>
      <w:u w:val="none"/>
    </w:rPr>
  </w:style>
  <w:style w:type="character" w:customStyle="1" w:styleId="18">
    <w:name w:val="font91"/>
    <w:qFormat/>
    <w:uiPriority w:val="0"/>
    <w:rPr>
      <w:rFonts w:hint="eastAsia" w:ascii="宋体" w:hAnsi="宋体" w:eastAsia="宋体" w:cs="宋体"/>
      <w:color w:val="000000"/>
      <w:sz w:val="28"/>
      <w:szCs w:val="28"/>
      <w:u w:val="none"/>
    </w:rPr>
  </w:style>
  <w:style w:type="character" w:customStyle="1" w:styleId="19">
    <w:name w:val="font21"/>
    <w:basedOn w:val="15"/>
    <w:qFormat/>
    <w:uiPriority w:val="0"/>
    <w:rPr>
      <w:rFonts w:hint="eastAsia" w:ascii="宋体" w:hAnsi="宋体" w:eastAsia="宋体" w:cs="宋体"/>
      <w:color w:val="000000"/>
      <w:sz w:val="28"/>
      <w:szCs w:val="28"/>
      <w:u w:val="none"/>
      <w:vertAlign w:val="subscript"/>
    </w:rPr>
  </w:style>
  <w:style w:type="character" w:customStyle="1" w:styleId="20">
    <w:name w:val="font11"/>
    <w:basedOn w:val="15"/>
    <w:qFormat/>
    <w:uiPriority w:val="0"/>
    <w:rPr>
      <w:rFonts w:hint="eastAsia" w:ascii="宋体" w:hAnsi="宋体" w:eastAsia="宋体" w:cs="宋体"/>
      <w:color w:val="000000"/>
      <w:sz w:val="28"/>
      <w:szCs w:val="28"/>
      <w:u w:val="none"/>
    </w:rPr>
  </w:style>
  <w:style w:type="paragraph" w:customStyle="1" w:styleId="2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正文 缩进2字符"/>
    <w:basedOn w:val="1"/>
    <w:next w:val="1"/>
    <w:qFormat/>
    <w:uiPriority w:val="0"/>
    <w:pPr>
      <w:spacing w:line="288" w:lineRule="auto"/>
    </w:pPr>
    <w:rPr>
      <w:rFonts w:ascii="宋体" w:hAnsi="宋体" w:cs="宋体"/>
      <w:szCs w:val="21"/>
    </w:rPr>
  </w:style>
  <w:style w:type="paragraph" w:customStyle="1" w:styleId="25">
    <w:name w:val="公文"/>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584</Words>
  <Characters>623</Characters>
  <Lines>0</Lines>
  <Paragraphs>0</Paragraphs>
  <TotalTime>1</TotalTime>
  <ScaleCrop>false</ScaleCrop>
  <LinksUpToDate>false</LinksUpToDate>
  <CharactersWithSpaces>623</CharactersWithSpaces>
  <Application>WPS Office_12.8.2.16981_F1E327BC-269C-435d-A152-05C5408002CA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2020-05-30T17:52:00Z</dcterms:created>
  <dc:creator>uos</dc:creator>
  <cp:lastModifiedBy>金鑫</cp:lastModifiedBy>
  <cp:lastPrinted>2024-01-09T01:59:00Z</cp:lastPrinted>
  <dcterms:modified xsi:type="dcterms:W3CDTF">2025-02-12T04:05:42Z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2052-12.8.2.16981</vt:lpwstr>
  </property>
  <property fmtid="{D5CDD505-2E9C-101B-9397-08002B2CF9AE}" pid="3" name="ICV">
    <vt:lpwstr>1C6E4C1F3EB2458AA6939B8B5F08C70F_13</vt:lpwstr>
  </property>
  <property fmtid="{D5CDD505-2E9C-101B-9397-08002B2CF9AE}" pid="4" name="KSOTemplateDocerSaveRecord">
    <vt:lpwstr>eyJoZGlkIjoiNzQ5YzQyMDI2YWQxODZkY2FjNzdhMDY1NTg5MzZkNGQiLCJ1c2VySWQiOiIyNzg1ODg3NzUifQ==</vt:lpwstr>
  </property>
</Properties>
</file>