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Hlk187139677"/>
      <w:bookmarkStart w:id="1" w:name="OLE_LINK2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海淀区深化知识产权保护促进高质量发展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支持措施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（征求意见稿）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全面贯彻落实《知识产权强国建设纲要（2021—2035年）》，加强知识产权保护，促进知识产权创造与运用，推进国家知识产权保护示范区和知识产权强市示范城市建设，激发全社会创新活力，推动新质生产力发展，结合我区实际，特制定本措施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Calibri" w:hAnsi="Calibri" w:eastAsia="黑体"/>
          <w:color w:val="000000"/>
          <w:kern w:val="44"/>
          <w:sz w:val="32"/>
          <w:szCs w:val="20"/>
        </w:rPr>
        <w:t>第一条</w:t>
      </w:r>
      <w:r>
        <w:rPr>
          <w:rFonts w:ascii="Calibri" w:hAnsi="Calibri" w:eastAsia="黑体"/>
          <w:color w:val="000000"/>
          <w:kern w:val="44"/>
          <w:sz w:val="32"/>
          <w:szCs w:val="20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支持知识产权创造质量提升。对获得WIPO全球奖、中国专利奖或驰名商标保护的企业，给予不超过100万元奖励。鼓励企事业单位加强重点产业高价值专利培育布局，根据成效给予不超过100万元支持。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Calibri" w:hAnsi="Calibri" w:eastAsia="黑体"/>
          <w:color w:val="000000"/>
          <w:kern w:val="44"/>
          <w:sz w:val="32"/>
          <w:szCs w:val="20"/>
        </w:rPr>
        <w:t>第二条</w:t>
      </w:r>
      <w:r>
        <w:rPr>
          <w:rFonts w:ascii="Calibri" w:hAnsi="Calibri" w:eastAsia="黑体"/>
          <w:color w:val="000000"/>
          <w:kern w:val="44"/>
          <w:sz w:val="32"/>
          <w:szCs w:val="20"/>
        </w:rPr>
        <w:t xml:space="preserve"> </w:t>
      </w:r>
      <w:bookmarkStart w:id="2" w:name="OLE_LINK4"/>
      <w:r>
        <w:rPr>
          <w:rFonts w:hint="eastAsia" w:ascii="仿宋_GB2312" w:eastAsia="仿宋_GB2312"/>
          <w:sz w:val="32"/>
          <w:szCs w:val="32"/>
        </w:rPr>
        <w:t>支持专利转化运用。鼓励中小微企业承接高等学校、科研机构、医疗卫生机构专利技术，促进专利转化运用，根据转化效益，给予不超过50万元支持。</w:t>
      </w:r>
      <w:bookmarkEnd w:id="2"/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Calibri" w:hAnsi="Calibri" w:eastAsia="黑体"/>
          <w:color w:val="000000"/>
          <w:kern w:val="44"/>
          <w:sz w:val="32"/>
          <w:szCs w:val="20"/>
        </w:rPr>
        <w:t>第三条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bookmarkStart w:id="3" w:name="OLE_LINK5"/>
      <w:r>
        <w:rPr>
          <w:rFonts w:hint="eastAsia" w:ascii="仿宋_GB2312" w:eastAsia="仿宋_GB2312"/>
          <w:sz w:val="32"/>
          <w:szCs w:val="32"/>
        </w:rPr>
        <w:t>支持知识产权转化运用服务载体建设。支持企事业单位面向重点产业、重点区域搭建知识产权运营服务中心、平台等，为创新主体提供知识产权转化对接服务，根据服务成效，给予不超过30万元奖励。</w:t>
      </w:r>
    </w:p>
    <w:bookmarkEnd w:id="3"/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Calibri" w:hAnsi="Calibri" w:eastAsia="黑体"/>
          <w:color w:val="000000"/>
          <w:kern w:val="44"/>
          <w:sz w:val="32"/>
          <w:szCs w:val="20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Start w:id="4" w:name="OLE_LINK6"/>
      <w:r>
        <w:rPr>
          <w:rFonts w:hint="eastAsia" w:ascii="仿宋_GB2312" w:eastAsia="仿宋_GB2312"/>
          <w:sz w:val="32"/>
          <w:szCs w:val="32"/>
        </w:rPr>
        <w:t>支持知识产权金融创新。鼓励企业通过知识产权融资，对通过知识产权证券化产品融资的企业，按照企业实际融资额的3.5%给予补贴支持，补贴额不超过企业融资成本的50%，每家企业补贴总额不超过100万元。</w:t>
      </w:r>
      <w:bookmarkStart w:id="5" w:name="_Hlk187853424"/>
      <w:r>
        <w:rPr>
          <w:rFonts w:hint="eastAsia" w:ascii="仿宋_GB2312" w:eastAsia="仿宋_GB2312"/>
          <w:sz w:val="32"/>
          <w:szCs w:val="32"/>
        </w:rPr>
        <w:t>支持企业购买知识产权保险，对投保海外侵权责任保险、专利执行保险、专利被侵权损失保险、商业秘密被侵权损失保险等知识产权保险的企业，按照不超过实际支付保费金额的</w:t>
      </w:r>
      <w:bookmarkStart w:id="6" w:name="OLE_LINK3"/>
      <w:r>
        <w:rPr>
          <w:rFonts w:hint="eastAsia" w:ascii="仿宋_GB2312" w:eastAsia="仿宋_GB2312"/>
          <w:sz w:val="32"/>
          <w:szCs w:val="32"/>
        </w:rPr>
        <w:t>30%给予补贴支持。同一申请人同一年度支持总额不超过20万元，同一件知识产权同一险种不重复支持。</w:t>
      </w:r>
      <w:bookmarkEnd w:id="4"/>
    </w:p>
    <w:bookmarkEnd w:id="5"/>
    <w:bookmarkEnd w:id="6"/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Calibri" w:hAnsi="Calibri" w:eastAsia="黑体"/>
          <w:color w:val="000000"/>
          <w:kern w:val="44"/>
          <w:sz w:val="32"/>
          <w:szCs w:val="20"/>
        </w:rPr>
        <w:t>第五条</w:t>
      </w:r>
      <w:r>
        <w:rPr>
          <w:rFonts w:ascii="Calibri" w:hAnsi="Calibri" w:eastAsia="黑体"/>
          <w:color w:val="000000"/>
          <w:kern w:val="44"/>
          <w:sz w:val="32"/>
          <w:szCs w:val="20"/>
        </w:rPr>
        <w:t xml:space="preserve"> </w:t>
      </w:r>
      <w:bookmarkStart w:id="7" w:name="OLE_LINK41"/>
      <w:r>
        <w:rPr>
          <w:rFonts w:hint="eastAsia" w:ascii="仿宋_GB2312" w:eastAsia="仿宋_GB2312"/>
          <w:sz w:val="32"/>
          <w:szCs w:val="32"/>
        </w:rPr>
        <w:t>支持知识产权维权保护。支持企业通过法律手段维护自身知识产权合法权益，对取得积极效果的企业，按实际维权成本，给予不超过30%的支持，每件国内维权案件给予不超过10万元的支持，每件国外维权案件给予不超过30万元的支持，每家企业每年补贴总额不超过100万元。鼓励调解组织开展知识产权纠纷调解工作，对上年度依法调解成功涉及驻区主体知识产权纠纷案件50件以上的调解组织，根据调解成功的案件数量，每家给予不超过20万元支持。</w:t>
      </w:r>
    </w:p>
    <w:bookmarkEnd w:id="7"/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8" w:name="OLE_LINK40"/>
      <w:r>
        <w:rPr>
          <w:rFonts w:hint="eastAsia" w:ascii="Calibri" w:hAnsi="Calibri" w:eastAsia="黑体"/>
          <w:color w:val="000000"/>
          <w:kern w:val="44"/>
          <w:sz w:val="32"/>
          <w:szCs w:val="20"/>
        </w:rPr>
        <w:t>第六条</w:t>
      </w:r>
      <w:r>
        <w:rPr>
          <w:rFonts w:ascii="Calibri" w:hAnsi="Calibri" w:eastAsia="黑体"/>
          <w:color w:val="000000"/>
          <w:kern w:val="44"/>
          <w:sz w:val="32"/>
          <w:szCs w:val="20"/>
        </w:rPr>
        <w:t xml:space="preserve"> </w:t>
      </w:r>
      <w:bookmarkStart w:id="9" w:name="OLE_LINK8"/>
      <w:r>
        <w:rPr>
          <w:rFonts w:hint="eastAsia" w:ascii="仿宋_GB2312" w:eastAsia="仿宋_GB2312"/>
          <w:sz w:val="32"/>
          <w:szCs w:val="32"/>
        </w:rPr>
        <w:t>支持知识产权强企培育。鼓励企业知识产权管理和创新融合，对新获批知识产权示范、优势单位以及商业秘密示范单位的，给予不超过10万元奖励。</w:t>
      </w:r>
      <w:bookmarkEnd w:id="9"/>
    </w:p>
    <w:bookmarkEnd w:id="8"/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Calibri" w:hAnsi="Calibri" w:eastAsia="黑体"/>
          <w:color w:val="000000"/>
          <w:kern w:val="44"/>
          <w:sz w:val="32"/>
          <w:szCs w:val="20"/>
        </w:rPr>
        <w:t>第七条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bookmarkStart w:id="10" w:name="OLE_LINK9"/>
      <w:r>
        <w:rPr>
          <w:rFonts w:hint="eastAsia" w:ascii="仿宋_GB2312" w:eastAsia="仿宋_GB2312"/>
          <w:sz w:val="32"/>
          <w:szCs w:val="32"/>
        </w:rPr>
        <w:t>支持开展知识产权公共服务。鼓励产业园区、孵化器、社会组织等单位设立知识产权保护服务站点、知识产权信息公共服务网点等，为区域创新主体和公众提供知识产权公共服务，根据服务成效给予不超过10万元支持。</w:t>
      </w:r>
      <w:bookmarkEnd w:id="10"/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Calibri" w:hAnsi="Calibri" w:eastAsia="黑体"/>
          <w:color w:val="000000"/>
          <w:kern w:val="44"/>
          <w:sz w:val="32"/>
          <w:szCs w:val="20"/>
        </w:rPr>
        <w:t>第八条</w:t>
      </w:r>
      <w:r>
        <w:rPr>
          <w:rFonts w:ascii="Calibri" w:hAnsi="Calibri" w:eastAsia="黑体"/>
          <w:color w:val="000000"/>
          <w:kern w:val="44"/>
          <w:sz w:val="32"/>
          <w:szCs w:val="20"/>
        </w:rPr>
        <w:t xml:space="preserve"> </w:t>
      </w:r>
      <w:bookmarkStart w:id="11" w:name="OLE_LINK10"/>
      <w:r>
        <w:rPr>
          <w:rFonts w:hint="eastAsia" w:ascii="仿宋_GB2312" w:eastAsia="仿宋_GB2312"/>
          <w:sz w:val="32"/>
          <w:szCs w:val="32"/>
        </w:rPr>
        <w:t>支持知识产权服务开放。鼓励境外优质知识产权服务机构在海淀设立常驻代表机构、分支机构、办公室等，对新落地的机构给予不超过30万元支持。鼓励服务机构拓展海外市场、服务出海企业知识产权布局和维权等，根据服务成效给予不超过20万元支持。</w:t>
      </w:r>
    </w:p>
    <w:bookmarkEnd w:id="11"/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Calibri" w:hAnsi="Calibri" w:eastAsia="黑体"/>
          <w:color w:val="000000"/>
          <w:kern w:val="44"/>
          <w:sz w:val="32"/>
          <w:szCs w:val="20"/>
        </w:rPr>
        <w:t>第九条</w:t>
      </w:r>
      <w:r>
        <w:rPr>
          <w:rFonts w:ascii="Calibri" w:hAnsi="Calibri" w:eastAsia="黑体"/>
          <w:color w:val="000000"/>
          <w:kern w:val="44"/>
          <w:sz w:val="32"/>
          <w:szCs w:val="20"/>
        </w:rPr>
        <w:t xml:space="preserve"> </w:t>
      </w:r>
      <w:bookmarkStart w:id="12" w:name="OLE_LINK11"/>
      <w:r>
        <w:rPr>
          <w:rFonts w:hint="eastAsia" w:ascii="仿宋_GB2312" w:eastAsia="仿宋_GB2312"/>
          <w:sz w:val="32"/>
          <w:szCs w:val="32"/>
        </w:rPr>
        <w:t>支持知识产权人才培养和引进。对在企事业单位连续服务一年以上，并获得知识产权高级职称、国外专利代理师或专利律师资格的人才，对所属单位给予每人不超过5万元的奖励，每家单位最高奖励不超过10万元。</w:t>
      </w:r>
    </w:p>
    <w:bookmarkEnd w:id="12"/>
    <w:p>
      <w:pPr>
        <w:spacing w:line="560" w:lineRule="exact"/>
        <w:ind w:firstLine="640" w:firstLineChars="200"/>
      </w:pPr>
      <w:r>
        <w:rPr>
          <w:rFonts w:hint="eastAsia" w:ascii="Calibri" w:hAnsi="Calibri" w:eastAsia="黑体"/>
          <w:color w:val="000000"/>
          <w:kern w:val="44"/>
          <w:sz w:val="32"/>
          <w:szCs w:val="20"/>
        </w:rPr>
        <w:t>第十条</w:t>
      </w:r>
      <w:r>
        <w:rPr>
          <w:rFonts w:ascii="Calibri" w:hAnsi="Calibri" w:eastAsia="黑体"/>
          <w:color w:val="000000"/>
          <w:kern w:val="44"/>
          <w:sz w:val="32"/>
          <w:szCs w:val="20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本支持措施由北京市海淀区市场监督管理局（区知识产权局）负责解释。本支持措施自发布之日起施行，有效期三年。</w:t>
      </w:r>
      <w:bookmarkEnd w:id="0"/>
      <w:bookmarkEnd w:id="1"/>
      <w:bookmarkStart w:id="13" w:name="_GoBack"/>
      <w:bookmarkEnd w:id="13"/>
    </w:p>
    <w:sectPr>
      <w:footerReference r:id="rId7" w:type="first"/>
      <w:footerReference r:id="rId5" w:type="default"/>
      <w:footerReference r:id="rId6" w:type="even"/>
      <w:pgSz w:w="11906" w:h="16838"/>
      <w:pgMar w:top="2098" w:right="1531" w:bottom="1985" w:left="1531" w:header="851" w:footer="1361" w:gutter="0"/>
      <w:pgNumType w:fmt="numberInDash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国标宋体-超大字符集扩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 Light">
    <w:altName w:val="国标宋体-超大字符集扩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ind w:firstLine="140" w:firstLineChars="50"/>
                            <w:rPr>
                              <w:rStyle w:val="17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7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7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7"/>
                              <w:rFonts w:ascii="宋体" w:hAnsi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Style w:val="17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HFBrmyQIAAOwFAAAOAAAAZHJz&#10;L2Uyb0RvYy54bWytVM2O0zAQviPxDpbv2SRttptUm666zQYhVexKC+LsOk4T4diW7f4siCu8AScu&#10;3HmufQ7GbtPuLgghoAd3nBnPzPfNz/nFtuNozbRppchxfBJhxASVVSuWOX7zugxSjIwloiJcCpbj&#10;O2bwxeT5s/ONGrOBbCSvmEbgRJjxRuW4sVaNw9DQhnXEnEjFBChrqTti4aqXYaXJBrx3PBxE0Sjc&#10;SF0pLSkzBr4WOyWeeP91zai9rmvDLOI5htysP7U/F+4MJ+dkvNRENS3dp0H+IouOtAKCHlwVxBK0&#10;0u1PrrqWamlkbU+o7EJZ1y1lHgOgiaMnaG4bopjHAuQYdaDJ/D+39NX6RqO2yvEQI0E6KNH9l8/3&#10;X7/ff/uEho6ejTJjsLpVYGe3l3KbY6tXrFcZ+O6Ab2vduX+AhMAEuL478Mu2FlH4GKeDNI1ARUHX&#10;XyBEeHyutLEvmOyQE3KsoYCeV7KeG7sz7U1cNCHLlnNfRC7QJsej4WnkHxw04JwLZwtZgI+9tCvO&#10;hyzKrtKrNAmSwegqSKKiCKblLAlGZXx2WgyL2ayIPzp/cTJu2qpiwsXrGyVO/qwQ+5bdlfjQKkby&#10;tnLuXEpGLxczrtGaQKOW/ucYhuQfmIWP0/BqQPUEUjxIostBFpSj9CxIyuQ0yM6iNIji7DIbRUmW&#10;FOVjSPNWsH+H9Ij9B0mTsSvYAduCE/rut9BcOkdowEBfuNC14q7fnGS3iy1Q5MSFrO6gPbXczbdR&#10;tGwh6JwYe0M0DDT0HCwpew1HzSX0idxLGDVSv//Vd2cP5QUtRhtYEDkWsMEw4i8FzJ/bJb2ge2HR&#10;C2LVzSQUMoblp6gX4YG2vBdrLbu3sLmmLkZNuAHHRFCIBtPVizMLt70SNiBl0+nhvlK6XTbHx7BN&#10;FLFzcavofj59V6npysKI+Mk5EgXsugusFM/zfv25nfXw7q2OS3ry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AHFBrmyQIAAOwFAAAOAAAAAAAAAAEAIAAAADU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ind w:firstLine="140" w:firstLineChars="50"/>
                      <w:rPr>
                        <w:rStyle w:val="17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7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7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7"/>
                        <w:rFonts w:ascii="宋体" w:hAnsi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Style w:val="17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outside" w:y="1"/>
      <w:rPr>
        <w:rStyle w:val="17"/>
        <w:rFonts w:hint="eastAsia"/>
      </w:rPr>
    </w:pPr>
    <w:r>
      <w:fldChar w:fldCharType="begin"/>
    </w:r>
    <w:r>
      <w:rPr>
        <w:rStyle w:val="17"/>
      </w:rPr>
      <w:instrText xml:space="preserve">PAGE  </w:instrText>
    </w:r>
    <w:r>
      <w:fldChar w:fldCharType="end"/>
    </w:r>
  </w:p>
  <w:p>
    <w:pPr>
      <w:pStyle w:val="11"/>
      <w:ind w:right="360"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NW69xyQ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5TjBSJAOSnT/5fP9&#10;1+/33z6hxNGzUWYEVnMFdnZ7Jbc5tnrFepWB7w74ttad+wdICEyA67sDv2xrEYWPcTpI0whUFHT9&#10;BUKEx+dKG/uCyQ45IccaCuh5JeuZsTvT3sRFE7JsOfdF5AJtcjw8PYv8g4MGnHPhbCEL8LGXdsX5&#10;kEXZdXqdJkEyGF4HSVQUwaScJsGwjM/PitNiOi3ij85fnIyatqqYcPH6RomTPyvEvmV3JT60ipG8&#10;rZw7l5LRy8WUa7Qm0Kil/zmGIfkHZuHjNLwaUD2BFA+S6GqQBeUwPQ+SMjkLsvMoDaI4u8qGUZIl&#10;RfkY0qwV7N8hPWL/QdJk5Ap2wLbghL77LTSXzhEaMNAXLnStuOs3J9ntYgsUOXEhqztoTy13820U&#10;LVsIOiPG3hINAw09B0vK3sBRcwl9IvcSRo3U73/13dlDeUGL0QYWRI4FbDCM+EsB8+d2SS/oXlj0&#10;glh1UwmFjGH5KepFeKAt78Vay+4tbK6Ji1ETbsAxERSiwXT14tTCba+EDUjZZHK4r5Rul83xMWwT&#10;RexMzBXdz6fvKjVZWRgRPzlHooBdd4GV4nnerz+3sx7evdVxSY9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DNW69xyQIAAOwFAAAOAAAAAAAAAAEAIAAAADU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22"/>
    <w:rsid w:val="00154FE0"/>
    <w:rsid w:val="001647A2"/>
    <w:rsid w:val="001B1C42"/>
    <w:rsid w:val="001D7171"/>
    <w:rsid w:val="002F06DE"/>
    <w:rsid w:val="00401D78"/>
    <w:rsid w:val="004055D6"/>
    <w:rsid w:val="00444C95"/>
    <w:rsid w:val="00476AAF"/>
    <w:rsid w:val="0052325D"/>
    <w:rsid w:val="00537F2A"/>
    <w:rsid w:val="005A227F"/>
    <w:rsid w:val="005B4727"/>
    <w:rsid w:val="006371D5"/>
    <w:rsid w:val="0068269D"/>
    <w:rsid w:val="007221D3"/>
    <w:rsid w:val="00735816"/>
    <w:rsid w:val="00766C52"/>
    <w:rsid w:val="00815305"/>
    <w:rsid w:val="008D4D38"/>
    <w:rsid w:val="008D629F"/>
    <w:rsid w:val="0095687D"/>
    <w:rsid w:val="00975969"/>
    <w:rsid w:val="00A35A31"/>
    <w:rsid w:val="00B52522"/>
    <w:rsid w:val="00B529EC"/>
    <w:rsid w:val="00B92113"/>
    <w:rsid w:val="00BB04BC"/>
    <w:rsid w:val="00BC50E1"/>
    <w:rsid w:val="00C35E2F"/>
    <w:rsid w:val="00D268A7"/>
    <w:rsid w:val="00D35B92"/>
    <w:rsid w:val="00D55FBE"/>
    <w:rsid w:val="00D660C9"/>
    <w:rsid w:val="00DA081D"/>
    <w:rsid w:val="00DC35DF"/>
    <w:rsid w:val="00DF37CC"/>
    <w:rsid w:val="00E47E72"/>
    <w:rsid w:val="1F7B06A8"/>
    <w:rsid w:val="3DD9CC9B"/>
    <w:rsid w:val="7BB7E7FA"/>
    <w:rsid w:val="EB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Cs w:val="22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page number"/>
    <w:qFormat/>
    <w:uiPriority w:val="0"/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Cs w:val="22"/>
    </w:rPr>
  </w:style>
  <w:style w:type="character" w:customStyle="1" w:styleId="32">
    <w:name w:val="明显强调1"/>
    <w:basedOn w:val="16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Cs w:val="22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明显参考1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195</Words>
  <Characters>1112</Characters>
  <Lines>9</Lines>
  <Paragraphs>2</Paragraphs>
  <TotalTime>1</TotalTime>
  <ScaleCrop>false</ScaleCrop>
  <LinksUpToDate>false</LinksUpToDate>
  <CharactersWithSpaces>1305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2025-01-21T09:40:00Z</dcterms:created>
  <dc:creator>lixin_614@126.com</dc:creator>
  <cp:lastModifiedBy>zh</cp:lastModifiedBy>
  <dcterms:modified xsi:type="dcterms:W3CDTF">2025-01-21T14:07:22Z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