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en-US"/>
        </w:rPr>
      </w:pPr>
      <w:r>
        <w:rPr>
          <w:rFonts w:hint="eastAsia" w:ascii="方正小标宋简体" w:hAnsi="方正小标宋简体" w:eastAsia="方正小标宋简体" w:cs="方正小标宋简体"/>
          <w:color w:val="auto"/>
          <w:sz w:val="44"/>
          <w:szCs w:val="44"/>
          <w:highlight w:val="none"/>
          <w:lang w:val="en-US" w:eastAsia="en-US"/>
        </w:rPr>
        <w:t>北京市密云区深入打好污染防治</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en-US"/>
        </w:rPr>
        <w:t>攻坚战202</w:t>
      </w: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lang w:val="en-US" w:eastAsia="en-US"/>
        </w:rPr>
        <w:t>年</w:t>
      </w:r>
      <w:r>
        <w:rPr>
          <w:rFonts w:hint="eastAsia" w:ascii="方正小标宋简体" w:hAnsi="方正小标宋简体" w:eastAsia="方正小标宋简体" w:cs="方正小标宋简体"/>
          <w:color w:val="auto"/>
          <w:sz w:val="44"/>
          <w:szCs w:val="44"/>
          <w:highlight w:val="none"/>
          <w:lang w:val="en-US" w:eastAsia="zh-CN"/>
        </w:rPr>
        <w:t>系列行动计划</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（征求意见稿）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color w:val="auto"/>
          <w:sz w:val="32"/>
          <w:szCs w:val="32"/>
          <w:highlight w:val="none"/>
        </w:rPr>
      </w:pPr>
      <w:r>
        <w:rPr>
          <w:rFonts w:hint="eastAsia" w:ascii="仿宋_GB2312" w:eastAsia="仿宋_GB2312"/>
          <w:color w:val="auto"/>
          <w:sz w:val="32"/>
          <w:szCs w:val="32"/>
          <w:highlight w:val="none"/>
        </w:rPr>
        <w:t>为</w:t>
      </w:r>
      <w:r>
        <w:rPr>
          <w:rFonts w:hint="eastAsia" w:ascii="仿宋_GB2312" w:eastAsia="仿宋_GB2312"/>
          <w:color w:val="auto"/>
          <w:sz w:val="32"/>
          <w:szCs w:val="32"/>
          <w:highlight w:val="none"/>
          <w:lang w:eastAsia="zh-CN"/>
        </w:rPr>
        <w:t>全面</w:t>
      </w:r>
      <w:r>
        <w:rPr>
          <w:rFonts w:hint="eastAsia" w:ascii="仿宋_GB2312" w:eastAsia="仿宋_GB2312"/>
          <w:color w:val="auto"/>
          <w:sz w:val="32"/>
          <w:szCs w:val="32"/>
          <w:highlight w:val="none"/>
        </w:rPr>
        <w:t>贯彻</w:t>
      </w:r>
      <w:r>
        <w:rPr>
          <w:rFonts w:hint="eastAsia" w:ascii="仿宋_GB2312" w:eastAsia="仿宋_GB2312"/>
          <w:color w:val="auto"/>
          <w:sz w:val="32"/>
          <w:szCs w:val="32"/>
          <w:highlight w:val="none"/>
          <w:lang w:eastAsia="zh-CN"/>
        </w:rPr>
        <w:t>党的二十大精神，</w:t>
      </w:r>
      <w:r>
        <w:rPr>
          <w:color w:val="auto"/>
          <w:sz w:val="32"/>
          <w:szCs w:val="32"/>
          <w:highlight w:val="none"/>
        </w:rPr>
        <w:t>落实</w:t>
      </w:r>
      <w:r>
        <w:rPr>
          <w:rFonts w:hint="eastAsia"/>
          <w:color w:val="auto"/>
          <w:sz w:val="32"/>
          <w:szCs w:val="32"/>
          <w:highlight w:val="none"/>
        </w:rPr>
        <w:t>《推进美丽北京建设持续深入打好污染防治攻坚战202</w:t>
      </w:r>
      <w:r>
        <w:rPr>
          <w:rFonts w:hint="eastAsia"/>
          <w:color w:val="auto"/>
          <w:sz w:val="32"/>
          <w:szCs w:val="32"/>
          <w:highlight w:val="none"/>
          <w:lang w:val="en-US" w:eastAsia="zh-CN"/>
        </w:rPr>
        <w:t>5</w:t>
      </w:r>
      <w:r>
        <w:rPr>
          <w:rFonts w:hint="eastAsia"/>
          <w:color w:val="auto"/>
          <w:sz w:val="32"/>
          <w:szCs w:val="32"/>
          <w:highlight w:val="none"/>
        </w:rPr>
        <w:t>年行动计划》</w:t>
      </w:r>
      <w:r>
        <w:rPr>
          <w:rFonts w:hint="eastAsia"/>
          <w:color w:val="auto"/>
          <w:sz w:val="32"/>
          <w:szCs w:val="32"/>
          <w:highlight w:val="none"/>
          <w:lang w:val="en-US" w:eastAsia="zh-CN"/>
        </w:rPr>
        <w:t>相关</w:t>
      </w:r>
      <w:r>
        <w:rPr>
          <w:color w:val="auto"/>
          <w:sz w:val="32"/>
          <w:szCs w:val="32"/>
          <w:highlight w:val="none"/>
        </w:rPr>
        <w:t>要求，进一步巩固提升密云区生态环境质量，现制定《北京市密云区深入打好污染防治攻坚战202</w:t>
      </w:r>
      <w:r>
        <w:rPr>
          <w:rFonts w:hint="eastAsia"/>
          <w:color w:val="auto"/>
          <w:sz w:val="32"/>
          <w:szCs w:val="32"/>
          <w:highlight w:val="none"/>
          <w:lang w:val="en-US" w:eastAsia="zh-CN"/>
        </w:rPr>
        <w:t>5</w:t>
      </w:r>
      <w:r>
        <w:rPr>
          <w:color w:val="auto"/>
          <w:sz w:val="32"/>
          <w:szCs w:val="32"/>
          <w:highlight w:val="none"/>
        </w:rPr>
        <w:t>年系列行动计划》。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一、指导思想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color w:val="auto"/>
          <w:sz w:val="32"/>
          <w:szCs w:val="32"/>
          <w:highlight w:val="none"/>
        </w:rPr>
      </w:pPr>
      <w:r>
        <w:rPr>
          <w:color w:val="auto"/>
          <w:sz w:val="32"/>
          <w:szCs w:val="32"/>
          <w:highlight w:val="none"/>
        </w:rPr>
        <w:t>以习近平新时代中国特色社会主义思想为指导，</w:t>
      </w:r>
      <w:r>
        <w:rPr>
          <w:rFonts w:hint="eastAsia"/>
          <w:color w:val="auto"/>
          <w:sz w:val="32"/>
          <w:szCs w:val="32"/>
          <w:highlight w:val="none"/>
          <w:lang w:val="en-US" w:eastAsia="zh-CN"/>
        </w:rPr>
        <w:t>全面贯彻党的二十大及二十届二中、三中全会精神</w:t>
      </w:r>
      <w:r>
        <w:rPr>
          <w:color w:val="auto"/>
          <w:sz w:val="32"/>
          <w:szCs w:val="32"/>
          <w:highlight w:val="none"/>
        </w:rPr>
        <w:t>，深入贯彻习近平生态文明思想和习近平总书记对北京重要讲话精神，以习近平总书记关于保护好密云水库指示精神和重要回信精神为统领，全面落实“保水、护山、守规、兴城”总体要求，把握新发展阶段、贯彻新发展理念、融入新发展格局，推动绿色高质量发展，坚持生态优先、保水富民、绿色发展、特色一流，有序推进环境治理体系和环境治理能力现代化，为建设美丽北京、谱写现代化建设密云篇章而努力奋斗。</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二、工作目标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按照巩固成效、科学可达的原则，确定202</w:t>
      </w:r>
      <w:r>
        <w:rPr>
          <w:rFonts w:hint="eastAsia"/>
          <w:color w:val="auto"/>
          <w:sz w:val="32"/>
          <w:szCs w:val="32"/>
          <w:highlight w:val="none"/>
          <w:lang w:val="en-US" w:eastAsia="zh-CN"/>
        </w:rPr>
        <w:t>5</w:t>
      </w:r>
      <w:r>
        <w:rPr>
          <w:color w:val="auto"/>
          <w:sz w:val="32"/>
          <w:szCs w:val="32"/>
          <w:highlight w:val="none"/>
        </w:rPr>
        <w:t xml:space="preserve">年主要目标为: </w:t>
      </w:r>
      <w:r>
        <w:rPr>
          <w:rFonts w:hint="eastAsia"/>
          <w:color w:val="auto"/>
          <w:sz w:val="32"/>
          <w:szCs w:val="32"/>
          <w:highlight w:val="none"/>
          <w:lang w:val="en-US" w:eastAsia="zh-CN"/>
        </w:rPr>
        <w:t>全区及各镇街（地区）、中关村密云园尽最大努力巩固空气质量改善成效，区级细颗粒物浓度控制在27微克每立方米，优良天数比率达到80%以上，重污染天数控制在3天以内。全年降尘量控制在4.5吨/平方公里·月左右（扣除沙尘影响）；</w:t>
      </w:r>
      <w:r>
        <w:rPr>
          <w:rFonts w:hint="eastAsia" w:ascii="仿宋_GB2312" w:hAnsi="仿宋_GB2312" w:eastAsia="仿宋_GB2312" w:cs="仿宋_GB2312"/>
          <w:color w:val="auto"/>
          <w:sz w:val="32"/>
          <w:szCs w:val="32"/>
          <w:highlight w:val="none"/>
        </w:rPr>
        <w:t>地表水国考断面</w:t>
      </w:r>
      <w:r>
        <w:rPr>
          <w:rFonts w:hint="eastAsia" w:ascii="仿宋_GB2312" w:hAnsi="仿宋_GB2312" w:eastAsia="仿宋_GB2312" w:cs="仿宋_GB2312"/>
          <w:color w:val="auto"/>
          <w:sz w:val="32"/>
          <w:szCs w:val="32"/>
          <w:highlight w:val="none"/>
          <w:lang w:eastAsia="zh-CN"/>
        </w:rPr>
        <w:t>达标率</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%,消除劣Ⅴ类水体断</w:t>
      </w:r>
      <w:r>
        <w:rPr>
          <w:rFonts w:hint="eastAsia" w:cs="仿宋_GB2312"/>
          <w:color w:val="auto"/>
          <w:sz w:val="32"/>
          <w:szCs w:val="32"/>
          <w:highlight w:val="none"/>
          <w:lang w:val="en-US" w:eastAsia="zh-CN"/>
        </w:rPr>
        <w:t>面</w:t>
      </w:r>
      <w:r>
        <w:rPr>
          <w:color w:val="auto"/>
          <w:sz w:val="32"/>
          <w:szCs w:val="32"/>
          <w:highlight w:val="none"/>
        </w:rPr>
        <w:t>；</w:t>
      </w:r>
      <w:r>
        <w:rPr>
          <w:rFonts w:hint="eastAsia"/>
          <w:color w:val="auto"/>
          <w:sz w:val="32"/>
          <w:szCs w:val="32"/>
          <w:highlight w:val="none"/>
          <w:lang w:val="en-US" w:eastAsia="en-US"/>
        </w:rPr>
        <w:t>建设用地和农用地土壤环境风险得到有效管控，土壤环境质量保持良好</w:t>
      </w:r>
      <w:r>
        <w:rPr>
          <w:rFonts w:hint="eastAsia"/>
          <w:color w:val="auto"/>
          <w:sz w:val="32"/>
          <w:szCs w:val="32"/>
          <w:highlight w:val="none"/>
          <w:lang w:val="en-US" w:eastAsia="zh-CN"/>
        </w:rPr>
        <w:t>；全区碳排放强度累计下降、碳排放总量控制目标达到市级要求</w:t>
      </w:r>
      <w:r>
        <w:rPr>
          <w:color w:val="auto"/>
          <w:sz w:val="32"/>
          <w:szCs w:val="32"/>
          <w:highlight w:val="none"/>
        </w:rPr>
        <w:t>；生态环境质量指数（EI）力争稳</w:t>
      </w:r>
      <w:r>
        <w:rPr>
          <w:rFonts w:hint="eastAsia"/>
          <w:color w:val="auto"/>
          <w:sz w:val="32"/>
          <w:szCs w:val="32"/>
          <w:highlight w:val="none"/>
          <w:lang w:val="en-US" w:eastAsia="zh-CN"/>
        </w:rPr>
        <w:t>中</w:t>
      </w:r>
      <w:r>
        <w:rPr>
          <w:color w:val="auto"/>
          <w:sz w:val="32"/>
          <w:szCs w:val="32"/>
          <w:highlight w:val="none"/>
        </w:rPr>
        <w:t>向好。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三、主要措施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eastAsia="仿宋_GB2312"/>
          <w:color w:val="auto"/>
          <w:sz w:val="32"/>
          <w:szCs w:val="32"/>
          <w:highlight w:val="none"/>
          <w:lang w:val="en-US" w:eastAsia="zh-CN"/>
        </w:rPr>
      </w:pPr>
      <w:r>
        <w:rPr>
          <w:rFonts w:hint="eastAsia"/>
          <w:color w:val="auto"/>
          <w:sz w:val="32"/>
          <w:szCs w:val="32"/>
          <w:highlight w:val="none"/>
          <w:lang w:val="en-US" w:eastAsia="zh-CN"/>
        </w:rPr>
        <w:t>行动计划</w:t>
      </w:r>
      <w:r>
        <w:rPr>
          <w:color w:val="auto"/>
          <w:sz w:val="32"/>
          <w:szCs w:val="32"/>
          <w:highlight w:val="none"/>
        </w:rPr>
        <w:t>包括五部分</w:t>
      </w:r>
      <w:r>
        <w:rPr>
          <w:rFonts w:hint="eastAsia"/>
          <w:color w:val="auto"/>
          <w:sz w:val="32"/>
          <w:szCs w:val="32"/>
          <w:highlight w:val="none"/>
          <w:lang w:val="en-US" w:eastAsia="zh-CN"/>
        </w:rPr>
        <w:t>100</w:t>
      </w:r>
      <w:r>
        <w:rPr>
          <w:color w:val="auto"/>
          <w:sz w:val="32"/>
          <w:szCs w:val="32"/>
          <w:highlight w:val="none"/>
        </w:rPr>
        <w:t>项重点任务</w:t>
      </w:r>
      <w:r>
        <w:rPr>
          <w:rFonts w:hint="eastAsia"/>
          <w:color w:val="auto"/>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color w:val="auto"/>
          <w:sz w:val="32"/>
          <w:szCs w:val="32"/>
          <w:highlight w:val="none"/>
        </w:rPr>
      </w:pPr>
      <w:r>
        <w:rPr>
          <w:rFonts w:hint="eastAsia" w:eastAsia="楷体_GB2312"/>
          <w:color w:val="auto"/>
          <w:sz w:val="32"/>
          <w:szCs w:val="32"/>
          <w:highlight w:val="none"/>
          <w:lang w:eastAsia="zh-CN"/>
        </w:rPr>
        <w:t>（</w:t>
      </w:r>
      <w:r>
        <w:rPr>
          <w:rFonts w:hint="eastAsia" w:eastAsia="楷体_GB2312"/>
          <w:color w:val="auto"/>
          <w:sz w:val="32"/>
          <w:szCs w:val="32"/>
          <w:highlight w:val="none"/>
          <w:lang w:val="en-US" w:eastAsia="zh-CN"/>
        </w:rPr>
        <w:t>一</w:t>
      </w:r>
      <w:r>
        <w:rPr>
          <w:rFonts w:hint="eastAsia" w:eastAsia="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蓝天保卫战202</w:t>
      </w:r>
      <w:r>
        <w:rPr>
          <w:rFonts w:hint="eastAsia" w:ascii="楷体_GB2312" w:hAnsi="楷体_GB2312" w:eastAsia="楷体_GB2312" w:cs="楷体_GB2312"/>
          <w:color w:val="auto"/>
          <w:sz w:val="32"/>
          <w:szCs w:val="32"/>
          <w:highlight w:val="none"/>
          <w:lang w:val="en-US" w:eastAsia="zh-CN"/>
        </w:rPr>
        <w:t>5</w:t>
      </w:r>
      <w:r>
        <w:rPr>
          <w:rFonts w:hint="eastAsia" w:ascii="楷体_GB2312" w:hAnsi="楷体_GB2312" w:eastAsia="楷体_GB2312" w:cs="楷体_GB2312"/>
          <w:color w:val="auto"/>
          <w:sz w:val="32"/>
          <w:szCs w:val="32"/>
          <w:highlight w:val="none"/>
        </w:rPr>
        <w:t>年行动计划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蓝天保卫战共30项重点任务。一是以车（械）含绿量提升为重点，推动结构减排。大力推动新能源车推广应用，加快重点行业车新能源化，推进非道路移动机械清洁化，严格在用车（械）管理。二是以企业含绿量提升为主线，推动工程减排。推动企业“含绿量”提升，推广使用低VOCs含量产品，深化重点行业治理，推动重点产业园区绿色升级。三是以城市精细治理为抓手，推动管理减排。严格落实扬尘管控责任，强化施工扬尘、道路扬尘、裸地扬尘管控，以及面源污染管控。四是开展“含绿量”提升区级示范，推动创新引领。实施印刷行业治理设施智慧化监控试点，组织实施交通噪声、商业固定设备噪声、公共场所文体娱乐活动噪声治理。五是加强大气环境治理保障支撑。加强区域联防联控，强化监测能力建设，强化督导和监管执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pacing w:val="0"/>
          <w:w w:val="100"/>
          <w:sz w:val="32"/>
          <w:szCs w:val="32"/>
          <w:highlight w:val="none"/>
          <w:lang w:val="en-US" w:eastAsia="zh-CN"/>
        </w:rPr>
        <w:t>碧水保卫战</w:t>
      </w:r>
      <w:r>
        <w:rPr>
          <w:rFonts w:hint="eastAsia" w:ascii="楷体_GB2312" w:hAnsi="楷体_GB2312" w:eastAsia="楷体_GB2312" w:cs="楷体_GB2312"/>
          <w:color w:val="auto"/>
          <w:spacing w:val="0"/>
          <w:w w:val="100"/>
          <w:sz w:val="32"/>
          <w:szCs w:val="32"/>
          <w:highlight w:val="none"/>
        </w:rPr>
        <w:t>202</w:t>
      </w:r>
      <w:r>
        <w:rPr>
          <w:rFonts w:hint="eastAsia" w:ascii="楷体_GB2312" w:hAnsi="楷体_GB2312" w:eastAsia="楷体_GB2312" w:cs="楷体_GB2312"/>
          <w:color w:val="auto"/>
          <w:spacing w:val="0"/>
          <w:w w:val="100"/>
          <w:sz w:val="32"/>
          <w:szCs w:val="32"/>
          <w:highlight w:val="none"/>
          <w:lang w:val="en-US" w:eastAsia="zh-CN"/>
        </w:rPr>
        <w:t>5</w:t>
      </w:r>
      <w:r>
        <w:rPr>
          <w:rFonts w:hint="eastAsia" w:ascii="楷体_GB2312" w:hAnsi="楷体_GB2312" w:eastAsia="楷体_GB2312" w:cs="楷体_GB2312"/>
          <w:color w:val="auto"/>
          <w:spacing w:val="0"/>
          <w:w w:val="100"/>
          <w:sz w:val="32"/>
          <w:szCs w:val="32"/>
          <w:highlight w:val="none"/>
        </w:rPr>
        <w:t>年</w:t>
      </w:r>
      <w:r>
        <w:rPr>
          <w:rFonts w:hint="eastAsia" w:ascii="楷体_GB2312" w:hAnsi="楷体_GB2312" w:eastAsia="楷体_GB2312" w:cs="楷体_GB2312"/>
          <w:color w:val="auto"/>
          <w:spacing w:val="0"/>
          <w:w w:val="100"/>
          <w:sz w:val="32"/>
          <w:szCs w:val="32"/>
          <w:highlight w:val="none"/>
          <w:lang w:val="en-US" w:eastAsia="zh-CN"/>
        </w:rPr>
        <w:t>行动计划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color w:val="auto"/>
          <w:sz w:val="32"/>
          <w:szCs w:val="32"/>
          <w:highlight w:val="none"/>
          <w:lang w:val="en-US" w:eastAsia="zh-CN"/>
        </w:rPr>
        <w:t>碧水保卫战</w:t>
      </w:r>
      <w:r>
        <w:rPr>
          <w:color w:val="auto"/>
          <w:sz w:val="32"/>
          <w:szCs w:val="32"/>
          <w:highlight w:val="none"/>
        </w:rPr>
        <w:t>共</w:t>
      </w:r>
      <w:r>
        <w:rPr>
          <w:rFonts w:hint="eastAsia"/>
          <w:color w:val="auto"/>
          <w:sz w:val="32"/>
          <w:szCs w:val="32"/>
          <w:highlight w:val="none"/>
          <w:lang w:val="en-US" w:eastAsia="zh-CN"/>
        </w:rPr>
        <w:t>22</w:t>
      </w:r>
      <w:r>
        <w:rPr>
          <w:color w:val="auto"/>
          <w:sz w:val="32"/>
          <w:szCs w:val="32"/>
          <w:highlight w:val="none"/>
        </w:rPr>
        <w:t>项重点任务，</w:t>
      </w:r>
      <w:r>
        <w:rPr>
          <w:rFonts w:hint="eastAsia" w:ascii="仿宋_GB2312" w:hAnsi="仿宋_GB2312" w:eastAsia="仿宋_GB2312" w:cs="仿宋_GB2312"/>
          <w:color w:val="auto"/>
          <w:sz w:val="32"/>
          <w:szCs w:val="32"/>
          <w:highlight w:val="none"/>
          <w:lang w:eastAsia="zh-CN"/>
        </w:rPr>
        <w:t>持续加强密云水库保护，</w:t>
      </w:r>
      <w:r>
        <w:rPr>
          <w:rFonts w:hint="eastAsia" w:ascii="仿宋_GB2312" w:hAnsi="仿宋_GB2312" w:eastAsia="仿宋_GB2312" w:cs="仿宋_GB2312"/>
          <w:b w:val="0"/>
          <w:bCs/>
          <w:color w:val="auto"/>
          <w:sz w:val="32"/>
          <w:szCs w:val="32"/>
          <w:highlight w:val="none"/>
          <w:shd w:val="clear" w:color="auto" w:fill="auto"/>
          <w:lang w:val="en-US" w:eastAsia="zh-CN"/>
        </w:rPr>
        <w:t>全面推进水污染防治工作。</w:t>
      </w:r>
      <w:r>
        <w:rPr>
          <w:rFonts w:hint="eastAsia" w:cs="仿宋_GB2312"/>
          <w:b w:val="0"/>
          <w:bCs/>
          <w:color w:val="auto"/>
          <w:sz w:val="32"/>
          <w:szCs w:val="32"/>
          <w:highlight w:val="none"/>
          <w:shd w:val="clear" w:color="auto" w:fill="auto"/>
          <w:lang w:val="en-US" w:eastAsia="zh-CN"/>
        </w:rPr>
        <w:t>一</w:t>
      </w:r>
      <w:r>
        <w:rPr>
          <w:rFonts w:hint="eastAsia" w:ascii="仿宋_GB2312" w:hAnsi="仿宋_GB2312" w:eastAsia="仿宋_GB2312" w:cs="仿宋_GB2312"/>
          <w:b w:val="0"/>
          <w:bCs/>
          <w:color w:val="auto"/>
          <w:sz w:val="32"/>
          <w:szCs w:val="32"/>
          <w:highlight w:val="none"/>
          <w:shd w:val="clear" w:color="auto" w:fill="auto"/>
          <w:lang w:val="en-US" w:eastAsia="zh-CN"/>
        </w:rPr>
        <w:t>是加强水资源保护。强化区域协同治理，推进生态保护和绿色高质量发展；开展全区饮用水水源地环境状况调查评估，组织水源地专项执法和日常监管，完成乡镇级水源保护区补充划定；定期开展环境质量、监督性和突发环境事件应急监测；推进地下水超采，</w:t>
      </w:r>
      <w:r>
        <w:rPr>
          <w:rFonts w:hint="eastAsia" w:ascii="仿宋_GB2312" w:hAnsi="仿宋_GB2312" w:eastAsia="仿宋_GB2312" w:cs="仿宋_GB2312"/>
          <w:color w:val="auto"/>
          <w:sz w:val="32"/>
          <w:szCs w:val="32"/>
          <w:highlight w:val="none"/>
          <w:u w:val="none" w:color="auto"/>
        </w:rPr>
        <w:t>健全供水管网漏损管控体系</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lang w:eastAsia="zh-CN"/>
        </w:rPr>
        <w:t>持续推进节水型社会建设</w:t>
      </w:r>
      <w:r>
        <w:rPr>
          <w:rFonts w:hint="eastAsia" w:ascii="仿宋_GB2312" w:hAnsi="仿宋_GB2312" w:eastAsia="仿宋_GB2312" w:cs="仿宋_GB2312"/>
          <w:b w:val="0"/>
          <w:bCs/>
          <w:color w:val="auto"/>
          <w:sz w:val="32"/>
          <w:szCs w:val="32"/>
          <w:highlight w:val="none"/>
          <w:shd w:val="clear" w:color="auto" w:fill="auto"/>
          <w:lang w:val="en-US" w:eastAsia="zh-CN"/>
        </w:rPr>
        <w:t>。</w:t>
      </w:r>
      <w:r>
        <w:rPr>
          <w:rFonts w:hint="eastAsia" w:cs="仿宋_GB2312"/>
          <w:b w:val="0"/>
          <w:bCs/>
          <w:color w:val="auto"/>
          <w:sz w:val="32"/>
          <w:szCs w:val="32"/>
          <w:highlight w:val="none"/>
          <w:shd w:val="clear" w:color="auto" w:fill="auto"/>
          <w:lang w:val="en-US" w:eastAsia="zh-CN"/>
        </w:rPr>
        <w:t>二</w:t>
      </w:r>
      <w:r>
        <w:rPr>
          <w:rFonts w:hint="eastAsia" w:ascii="仿宋_GB2312" w:hAnsi="仿宋_GB2312" w:eastAsia="仿宋_GB2312" w:cs="仿宋_GB2312"/>
          <w:b w:val="0"/>
          <w:bCs/>
          <w:color w:val="auto"/>
          <w:sz w:val="32"/>
          <w:szCs w:val="32"/>
          <w:highlight w:val="none"/>
          <w:shd w:val="clear" w:color="auto" w:fill="auto"/>
          <w:lang w:val="en-US" w:eastAsia="zh-CN"/>
        </w:rPr>
        <w:t>是加强水环境治理。实施全面打赢城乡水环境治理歼灭战三年行动方案，</w:t>
      </w:r>
      <w:r>
        <w:rPr>
          <w:rFonts w:hint="eastAsia" w:ascii="仿宋_GB2312" w:hAnsi="仿宋_GB2312" w:eastAsia="仿宋_GB2312" w:cs="仿宋_GB2312"/>
          <w:b w:val="0"/>
          <w:bCs/>
          <w:color w:val="auto"/>
          <w:sz w:val="32"/>
          <w:szCs w:val="32"/>
          <w:highlight w:val="none"/>
          <w:shd w:val="clear" w:color="auto" w:fill="auto"/>
          <w:lang w:val="en-US" w:eastAsia="zh-Hans"/>
        </w:rPr>
        <w:t>强化再生水配置利用能力</w:t>
      </w:r>
      <w:r>
        <w:rPr>
          <w:rFonts w:hint="eastAsia" w:ascii="仿宋_GB2312" w:hAnsi="仿宋_GB2312" w:eastAsia="仿宋_GB2312" w:cs="仿宋_GB2312"/>
          <w:b w:val="0"/>
          <w:bCs/>
          <w:color w:val="auto"/>
          <w:sz w:val="32"/>
          <w:szCs w:val="32"/>
          <w:highlight w:val="none"/>
          <w:shd w:val="clear" w:color="auto" w:fill="auto"/>
          <w:lang w:val="en-US" w:eastAsia="zh-CN"/>
        </w:rPr>
        <w:t>，</w:t>
      </w:r>
      <w:r>
        <w:rPr>
          <w:rFonts w:hint="eastAsia" w:ascii="仿宋_GB2312" w:hAnsi="仿宋_GB2312" w:eastAsia="仿宋_GB2312" w:cs="仿宋_GB2312"/>
          <w:i w:val="0"/>
          <w:color w:val="auto"/>
          <w:kern w:val="0"/>
          <w:sz w:val="32"/>
          <w:szCs w:val="32"/>
          <w:highlight w:val="none"/>
          <w:u w:val="none"/>
          <w:lang w:val="en-US" w:eastAsia="zh-CN" w:bidi="ar"/>
        </w:rPr>
        <w:t>加大工业污染防治力度，</w:t>
      </w:r>
      <w:r>
        <w:rPr>
          <w:rFonts w:hint="eastAsia" w:ascii="仿宋_GB2312" w:hAnsi="仿宋_GB2312" w:eastAsia="仿宋_GB2312" w:cs="仿宋_GB2312"/>
          <w:b w:val="0"/>
          <w:bCs/>
          <w:color w:val="auto"/>
          <w:sz w:val="32"/>
          <w:szCs w:val="32"/>
          <w:highlight w:val="none"/>
          <w:shd w:val="clear" w:color="auto" w:fill="auto"/>
          <w:lang w:val="en-US" w:eastAsia="zh-CN"/>
        </w:rPr>
        <w:t>监管入河排污口，</w:t>
      </w:r>
      <w:r>
        <w:rPr>
          <w:rFonts w:hint="eastAsia" w:ascii="仿宋_GB2312" w:hAnsi="仿宋_GB2312" w:eastAsia="仿宋_GB2312" w:cs="仿宋_GB2312"/>
          <w:i w:val="0"/>
          <w:color w:val="auto"/>
          <w:kern w:val="0"/>
          <w:sz w:val="32"/>
          <w:szCs w:val="32"/>
          <w:highlight w:val="none"/>
          <w:u w:val="none"/>
          <w:lang w:val="en-US" w:eastAsia="zh-CN"/>
        </w:rPr>
        <w:t>开展排污许可证单位执行报告提交率审核，</w:t>
      </w:r>
      <w:r>
        <w:rPr>
          <w:rFonts w:hint="eastAsia" w:ascii="仿宋_GB2312" w:hAnsi="仿宋_GB2312" w:eastAsia="仿宋_GB2312" w:cs="仿宋_GB2312"/>
          <w:b w:val="0"/>
          <w:bCs/>
          <w:color w:val="auto"/>
          <w:sz w:val="32"/>
          <w:szCs w:val="32"/>
          <w:highlight w:val="none"/>
          <w:shd w:val="clear" w:color="auto" w:fill="auto"/>
          <w:lang w:val="en-US" w:eastAsia="zh-CN"/>
        </w:rPr>
        <w:t>落实市级水生态区域补偿暂行办法</w:t>
      </w:r>
      <w:r>
        <w:rPr>
          <w:rFonts w:hint="eastAsia" w:ascii="仿宋_GB2312" w:hAnsi="仿宋_GB2312" w:eastAsia="仿宋_GB2312" w:cs="仿宋_GB2312"/>
          <w:i w:val="0"/>
          <w:color w:val="auto"/>
          <w:kern w:val="0"/>
          <w:sz w:val="32"/>
          <w:szCs w:val="32"/>
          <w:highlight w:val="none"/>
          <w:u w:val="none"/>
          <w:lang w:val="en-US" w:eastAsia="zh-CN" w:bidi="ar"/>
        </w:rPr>
        <w:t>，持续完善水生态环境领域“三监联动”，巩固多部门联合执法机制，加大环境执法力度</w:t>
      </w:r>
      <w:r>
        <w:rPr>
          <w:rFonts w:hint="eastAsia" w:ascii="仿宋_GB2312" w:hAnsi="仿宋_GB2312" w:eastAsia="仿宋_GB2312" w:cs="仿宋_GB2312"/>
          <w:b w:val="0"/>
          <w:bCs/>
          <w:color w:val="auto"/>
          <w:sz w:val="32"/>
          <w:szCs w:val="32"/>
          <w:highlight w:val="none"/>
          <w:shd w:val="clear" w:color="auto" w:fill="auto"/>
          <w:lang w:val="en-US" w:eastAsia="zh-CN"/>
        </w:rPr>
        <w:t>。</w:t>
      </w:r>
      <w:r>
        <w:rPr>
          <w:rFonts w:hint="eastAsia" w:cs="仿宋_GB2312"/>
          <w:b w:val="0"/>
          <w:bCs/>
          <w:color w:val="auto"/>
          <w:sz w:val="32"/>
          <w:szCs w:val="32"/>
          <w:highlight w:val="none"/>
          <w:shd w:val="clear" w:color="auto" w:fill="auto"/>
          <w:lang w:val="en-US" w:eastAsia="zh-CN"/>
        </w:rPr>
        <w:t>三</w:t>
      </w:r>
      <w:r>
        <w:rPr>
          <w:rFonts w:hint="eastAsia" w:ascii="仿宋_GB2312" w:hAnsi="仿宋_GB2312" w:eastAsia="仿宋_GB2312" w:cs="仿宋_GB2312"/>
          <w:b w:val="0"/>
          <w:bCs/>
          <w:color w:val="auto"/>
          <w:sz w:val="32"/>
          <w:szCs w:val="32"/>
          <w:highlight w:val="none"/>
          <w:shd w:val="clear" w:color="auto" w:fill="auto"/>
          <w:lang w:val="en-US" w:eastAsia="zh-CN"/>
        </w:rPr>
        <w:t>是加强水生态修复。推进美丽河湖保护与建设，继续实施潮白河流域生态补水，推进水土保护和清洁小流域建设，</w:t>
      </w:r>
      <w:r>
        <w:rPr>
          <w:rFonts w:hint="eastAsia" w:ascii="仿宋_GB2312" w:hAnsi="仿宋_GB2312" w:eastAsia="仿宋_GB2312" w:cs="仿宋_GB2312"/>
          <w:i w:val="0"/>
          <w:color w:val="auto"/>
          <w:sz w:val="32"/>
          <w:szCs w:val="32"/>
          <w:highlight w:val="none"/>
          <w:u w:val="none"/>
          <w:lang w:eastAsia="zh-CN"/>
        </w:rPr>
        <w:t>加强生态环境监测</w:t>
      </w:r>
      <w:r>
        <w:rPr>
          <w:rFonts w:hint="eastAsia" w:ascii="仿宋_GB2312" w:hAnsi="仿宋_GB2312" w:eastAsia="仿宋_GB2312" w:cs="仿宋_GB2312"/>
          <w:b w:val="0"/>
          <w:bCs/>
          <w:color w:val="auto"/>
          <w:sz w:val="32"/>
          <w:szCs w:val="32"/>
          <w:highlight w:val="none"/>
          <w:shd w:val="clear" w:color="auto" w:fill="auto"/>
          <w:lang w:val="en-US" w:eastAsia="zh-CN"/>
        </w:rPr>
        <w:t>。</w:t>
      </w:r>
      <w:r>
        <w:rPr>
          <w:rFonts w:hint="eastAsia" w:cs="仿宋_GB2312"/>
          <w:b w:val="0"/>
          <w:bCs/>
          <w:color w:val="auto"/>
          <w:sz w:val="32"/>
          <w:szCs w:val="32"/>
          <w:highlight w:val="none"/>
          <w:shd w:val="clear" w:color="auto" w:fill="auto"/>
          <w:lang w:val="en-US" w:eastAsia="zh-CN"/>
        </w:rPr>
        <w:t>四</w:t>
      </w:r>
      <w:r>
        <w:rPr>
          <w:rFonts w:hint="eastAsia" w:ascii="仿宋_GB2312" w:hAnsi="仿宋_GB2312" w:eastAsia="仿宋_GB2312" w:cs="仿宋_GB2312"/>
          <w:b w:val="0"/>
          <w:bCs/>
          <w:color w:val="auto"/>
          <w:sz w:val="32"/>
          <w:szCs w:val="32"/>
          <w:highlight w:val="none"/>
          <w:shd w:val="clear" w:color="auto" w:fill="auto"/>
          <w:lang w:val="en-US" w:eastAsia="zh-CN"/>
        </w:rPr>
        <w:t>是加强汛期污染防治。</w:t>
      </w:r>
      <w:r>
        <w:rPr>
          <w:rFonts w:hint="eastAsia" w:ascii="仿宋_GB2312" w:hAnsi="仿宋_GB2312" w:eastAsia="仿宋_GB2312" w:cs="仿宋_GB2312"/>
          <w:i w:val="0"/>
          <w:color w:val="auto"/>
          <w:kern w:val="0"/>
          <w:sz w:val="32"/>
          <w:szCs w:val="32"/>
          <w:highlight w:val="none"/>
          <w:u w:val="none"/>
          <w:lang w:val="en-US" w:eastAsia="zh-CN" w:bidi="ar"/>
        </w:rPr>
        <w:t>强化汛期分析研判与应急处置，开展雨污混接错接巡查整治，持续开展“清管行动”，开展雨后入河排口排污检查，严厉打击污水直排、借雨偷排行为。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）净土保卫战202</w:t>
      </w:r>
      <w:r>
        <w:rPr>
          <w:rFonts w:hint="eastAsia" w:ascii="楷体_GB2312" w:hAnsi="楷体_GB2312" w:eastAsia="楷体_GB2312" w:cs="楷体_GB2312"/>
          <w:color w:val="auto"/>
          <w:sz w:val="32"/>
          <w:szCs w:val="32"/>
          <w:highlight w:val="none"/>
          <w:lang w:val="en-US" w:eastAsia="zh-CN"/>
        </w:rPr>
        <w:t>5</w:t>
      </w:r>
      <w:r>
        <w:rPr>
          <w:rFonts w:hint="eastAsia" w:ascii="楷体_GB2312" w:hAnsi="楷体_GB2312" w:eastAsia="楷体_GB2312" w:cs="楷体_GB2312"/>
          <w:color w:val="auto"/>
          <w:sz w:val="32"/>
          <w:szCs w:val="32"/>
          <w:highlight w:val="none"/>
        </w:rPr>
        <w:t>年行动计划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color w:val="auto"/>
          <w:sz w:val="32"/>
          <w:szCs w:val="32"/>
          <w:highlight w:val="none"/>
        </w:rPr>
        <w:t>土壤污染防治</w:t>
      </w:r>
      <w:r>
        <w:rPr>
          <w:rFonts w:hint="eastAsia" w:ascii="仿宋_GB2312" w:hAnsi="仿宋_GB2312" w:eastAsia="仿宋_GB2312" w:cs="仿宋_GB2312"/>
          <w:b w:val="0"/>
          <w:bCs w:val="0"/>
          <w:color w:val="000000"/>
          <w:kern w:val="2"/>
          <w:sz w:val="32"/>
          <w:szCs w:val="32"/>
          <w:lang w:val="en-US" w:eastAsia="zh-CN" w:bidi="ar-SA"/>
        </w:rPr>
        <w:t>共15项重点任务。</w:t>
      </w:r>
      <w:r>
        <w:rPr>
          <w:rFonts w:hint="eastAsia" w:cs="仿宋_GB2312"/>
          <w:b w:val="0"/>
          <w:bCs w:val="0"/>
          <w:color w:val="000000"/>
          <w:kern w:val="2"/>
          <w:sz w:val="32"/>
          <w:szCs w:val="32"/>
          <w:lang w:val="en-US" w:eastAsia="zh-CN" w:bidi="ar-SA"/>
        </w:rPr>
        <w:t>一</w:t>
      </w:r>
      <w:r>
        <w:rPr>
          <w:rFonts w:hint="eastAsia" w:ascii="仿宋_GB2312" w:hAnsi="仿宋_GB2312" w:eastAsia="仿宋_GB2312" w:cs="仿宋_GB2312"/>
          <w:b w:val="0"/>
          <w:bCs w:val="0"/>
          <w:color w:val="000000"/>
          <w:kern w:val="2"/>
          <w:sz w:val="32"/>
          <w:szCs w:val="32"/>
          <w:lang w:val="en-US" w:eastAsia="zh-CN" w:bidi="ar-SA"/>
        </w:rPr>
        <w:t>是有效保障建设用地安全利用。全面管控优先监管地块</w:t>
      </w:r>
      <w:r>
        <w:rPr>
          <w:rFonts w:hint="eastAsia" w:hAnsi="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加强工业企业土壤污染源头防控，强化重点单位环境管理，预防工业园区土壤环境污染</w:t>
      </w:r>
      <w:r>
        <w:rPr>
          <w:rFonts w:hint="eastAsia" w:hAnsi="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完善建设用地再开发利用监管机制。</w:t>
      </w:r>
      <w:r>
        <w:rPr>
          <w:rFonts w:hint="eastAsia" w:cs="仿宋_GB2312"/>
          <w:b w:val="0"/>
          <w:bCs w:val="0"/>
          <w:color w:val="000000"/>
          <w:kern w:val="2"/>
          <w:sz w:val="32"/>
          <w:szCs w:val="32"/>
          <w:lang w:val="en-US" w:eastAsia="zh-CN" w:bidi="ar-SA"/>
        </w:rPr>
        <w:t>二</w:t>
      </w:r>
      <w:r>
        <w:rPr>
          <w:rFonts w:hint="eastAsia" w:ascii="仿宋_GB2312" w:hAnsi="仿宋_GB2312" w:eastAsia="仿宋_GB2312" w:cs="仿宋_GB2312"/>
          <w:b w:val="0"/>
          <w:bCs w:val="0"/>
          <w:color w:val="000000"/>
          <w:kern w:val="2"/>
          <w:sz w:val="32"/>
          <w:szCs w:val="32"/>
          <w:lang w:val="en-US" w:eastAsia="zh-CN" w:bidi="ar-SA"/>
        </w:rPr>
        <w:t>是有效保障农用地安全利用。深入推进农用地分类管理，更新农用地类别，开展土壤和农产品协同监测，完成重金属污染溯源，防控涉重金属重点行业污染。加强面源污染治理，扎实推进农药化肥减量化，深化农膜和农药包装废弃物回收处置。深入推进农村环境整治，强化农村黑臭水体治理。</w:t>
      </w:r>
      <w:r>
        <w:rPr>
          <w:rFonts w:hint="eastAsia" w:cs="仿宋_GB2312"/>
          <w:b w:val="0"/>
          <w:bCs w:val="0"/>
          <w:color w:val="000000"/>
          <w:kern w:val="2"/>
          <w:sz w:val="32"/>
          <w:szCs w:val="32"/>
          <w:lang w:val="en-US" w:eastAsia="zh-CN" w:bidi="ar-SA"/>
        </w:rPr>
        <w:t>三</w:t>
      </w:r>
      <w:r>
        <w:rPr>
          <w:rFonts w:hint="eastAsia" w:ascii="仿宋_GB2312" w:hAnsi="仿宋_GB2312" w:eastAsia="仿宋_GB2312" w:cs="仿宋_GB2312"/>
          <w:b w:val="0"/>
          <w:bCs w:val="0"/>
          <w:color w:val="000000"/>
          <w:kern w:val="2"/>
          <w:sz w:val="32"/>
          <w:szCs w:val="32"/>
          <w:lang w:val="en-US" w:eastAsia="zh-CN" w:bidi="ar-SA"/>
        </w:rPr>
        <w:t>是持续完善未利用地保护管理，完善未利用地闭合管控，加强尾矿库安全管理。</w:t>
      </w:r>
      <w:r>
        <w:rPr>
          <w:rFonts w:hint="eastAsia" w:cs="仿宋_GB2312"/>
          <w:b w:val="0"/>
          <w:bCs w:val="0"/>
          <w:color w:val="000000"/>
          <w:kern w:val="2"/>
          <w:sz w:val="32"/>
          <w:szCs w:val="32"/>
          <w:lang w:val="en-US" w:eastAsia="zh-CN" w:bidi="ar-SA"/>
        </w:rPr>
        <w:t>四</w:t>
      </w:r>
      <w:r>
        <w:rPr>
          <w:rFonts w:hint="eastAsia" w:ascii="仿宋_GB2312" w:hAnsi="仿宋_GB2312" w:eastAsia="仿宋_GB2312" w:cs="仿宋_GB2312"/>
          <w:b w:val="0"/>
          <w:bCs w:val="0"/>
          <w:color w:val="000000"/>
          <w:kern w:val="2"/>
          <w:sz w:val="32"/>
          <w:szCs w:val="32"/>
          <w:lang w:val="en-US" w:eastAsia="zh-CN" w:bidi="ar-SA"/>
        </w:rPr>
        <w:t>是加强固体废物管理。提升危险废物收运处置能力，推动“无废城市”建设，加强新污染物治理。</w:t>
      </w:r>
      <w:r>
        <w:rPr>
          <w:rFonts w:hint="eastAsia" w:cs="仿宋_GB2312"/>
          <w:b w:val="0"/>
          <w:bCs w:val="0"/>
          <w:color w:val="000000"/>
          <w:kern w:val="2"/>
          <w:sz w:val="32"/>
          <w:szCs w:val="32"/>
          <w:lang w:val="en-US" w:eastAsia="zh-CN" w:bidi="ar-SA"/>
        </w:rPr>
        <w:t>五</w:t>
      </w:r>
      <w:r>
        <w:rPr>
          <w:rFonts w:hint="eastAsia" w:ascii="仿宋_GB2312" w:hAnsi="仿宋_GB2312" w:eastAsia="仿宋_GB2312" w:cs="仿宋_GB2312"/>
          <w:b w:val="0"/>
          <w:bCs w:val="0"/>
          <w:color w:val="000000"/>
          <w:kern w:val="2"/>
          <w:sz w:val="32"/>
          <w:szCs w:val="32"/>
          <w:lang w:val="en-US" w:eastAsia="zh-CN" w:bidi="ar-SA"/>
        </w:rPr>
        <w:t>是</w:t>
      </w:r>
      <w:r>
        <w:rPr>
          <w:rFonts w:hint="eastAsia" w:ascii="仿宋_GB2312" w:hAnsi="仿宋_GB2312" w:eastAsia="仿宋_GB2312" w:cs="仿宋_GB2312"/>
          <w:b w:val="0"/>
          <w:bCs w:val="0"/>
          <w:color w:val="000000"/>
          <w:kern w:val="2"/>
          <w:sz w:val="32"/>
          <w:szCs w:val="32"/>
          <w:lang w:val="en-US" w:eastAsia="en-US" w:bidi="ar-SA"/>
        </w:rPr>
        <w:t>完善土壤污染防治体系</w:t>
      </w:r>
      <w:r>
        <w:rPr>
          <w:rFonts w:hint="eastAsia" w:ascii="仿宋_GB2312" w:hAnsi="仿宋_GB2312" w:eastAsia="仿宋_GB2312" w:cs="仿宋_GB2312"/>
          <w:b w:val="0"/>
          <w:bCs w:val="0"/>
          <w:color w:val="000000"/>
          <w:kern w:val="2"/>
          <w:sz w:val="32"/>
          <w:szCs w:val="32"/>
          <w:lang w:val="en-US" w:eastAsia="zh-CN" w:bidi="ar-SA"/>
        </w:rPr>
        <w:t>。共享土壤污染防治信息，按季度开展部门评价。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rPr>
        <w:t>）应对气候变化202</w:t>
      </w:r>
      <w:r>
        <w:rPr>
          <w:rFonts w:hint="eastAsia" w:ascii="楷体_GB2312" w:hAnsi="楷体_GB2312" w:eastAsia="楷体_GB2312" w:cs="楷体_GB2312"/>
          <w:color w:val="auto"/>
          <w:sz w:val="32"/>
          <w:szCs w:val="32"/>
          <w:highlight w:val="none"/>
          <w:lang w:val="en-US" w:eastAsia="zh-CN"/>
        </w:rPr>
        <w:t>5</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b w:val="0"/>
          <w:bCs/>
          <w:color w:val="auto"/>
          <w:sz w:val="32"/>
          <w:szCs w:val="32"/>
          <w:highlight w:val="none"/>
          <w:shd w:val="clear" w:color="auto" w:fill="auto"/>
          <w:lang w:val="en-US" w:eastAsia="zh-CN"/>
        </w:rPr>
      </w:pPr>
      <w:r>
        <w:rPr>
          <w:rFonts w:hint="eastAsia"/>
          <w:color w:val="auto"/>
          <w:sz w:val="32"/>
          <w:szCs w:val="32"/>
          <w:highlight w:val="none"/>
        </w:rPr>
        <w:t>应对气候变化共</w:t>
      </w:r>
      <w:r>
        <w:rPr>
          <w:rFonts w:hint="eastAsia"/>
          <w:color w:val="auto"/>
          <w:sz w:val="32"/>
          <w:szCs w:val="32"/>
          <w:highlight w:val="none"/>
          <w:lang w:val="en-US" w:eastAsia="zh-CN"/>
        </w:rPr>
        <w:t>18</w:t>
      </w:r>
      <w:r>
        <w:rPr>
          <w:rFonts w:hint="eastAsia"/>
          <w:color w:val="auto"/>
          <w:sz w:val="32"/>
          <w:szCs w:val="32"/>
          <w:highlight w:val="none"/>
        </w:rPr>
        <w:t>项重点任务，</w:t>
      </w:r>
      <w:r>
        <w:rPr>
          <w:rFonts w:hint="eastAsia"/>
          <w:color w:val="auto"/>
          <w:sz w:val="32"/>
          <w:szCs w:val="32"/>
          <w:highlight w:val="none"/>
          <w:lang w:eastAsia="zh-CN"/>
        </w:rPr>
        <w:t>主要围绕温室气体排放控制、气候适应性建设、综合保障和能力建设等方面展开。</w:t>
      </w:r>
      <w:r>
        <w:rPr>
          <w:rFonts w:hint="eastAsia" w:ascii="仿宋_GB2312" w:eastAsia="仿宋_GB2312"/>
          <w:b w:val="0"/>
          <w:bCs/>
          <w:color w:val="auto"/>
          <w:sz w:val="32"/>
          <w:szCs w:val="32"/>
          <w:highlight w:val="none"/>
          <w:shd w:val="clear" w:color="auto" w:fill="auto"/>
          <w:lang w:val="en-US" w:eastAsia="zh-CN"/>
        </w:rPr>
        <w:t>一是完善应对气候变化综合管理制度。</w:t>
      </w:r>
      <w:r>
        <w:rPr>
          <w:rFonts w:hint="eastAsia"/>
          <w:b w:val="0"/>
          <w:bCs/>
          <w:color w:val="auto"/>
          <w:sz w:val="32"/>
          <w:szCs w:val="32"/>
          <w:highlight w:val="none"/>
          <w:shd w:val="clear" w:color="auto" w:fill="auto"/>
          <w:lang w:val="en-US" w:eastAsia="zh-CN"/>
        </w:rPr>
        <w:t>深化落实《北京市密云区碳达峰实施方案》</w:t>
      </w:r>
      <w:r>
        <w:rPr>
          <w:rFonts w:hint="eastAsia" w:ascii="仿宋_GB2312" w:eastAsia="仿宋_GB2312"/>
          <w:b w:val="0"/>
          <w:bCs/>
          <w:color w:val="auto"/>
          <w:sz w:val="32"/>
          <w:szCs w:val="32"/>
          <w:highlight w:val="none"/>
          <w:shd w:val="clear" w:color="auto" w:fill="auto"/>
          <w:lang w:val="en-US" w:eastAsia="zh-CN"/>
        </w:rPr>
        <w:t>，推进国家气候投融资试点建设</w:t>
      </w:r>
      <w:r>
        <w:rPr>
          <w:rFonts w:hint="eastAsia"/>
          <w:b w:val="0"/>
          <w:bCs/>
          <w:color w:val="auto"/>
          <w:sz w:val="32"/>
          <w:szCs w:val="32"/>
          <w:highlight w:val="none"/>
          <w:shd w:val="clear" w:color="auto" w:fill="auto"/>
          <w:lang w:val="en-US" w:eastAsia="zh-CN"/>
        </w:rPr>
        <w:t>,在各类建设项目环境影响评价中开展碳排放核算评价，推动各行业、各领域协同减排</w:t>
      </w:r>
      <w:r>
        <w:rPr>
          <w:rFonts w:hint="eastAsia" w:ascii="仿宋_GB2312" w:eastAsia="仿宋_GB2312"/>
          <w:b w:val="0"/>
          <w:bCs/>
          <w:color w:val="auto"/>
          <w:sz w:val="32"/>
          <w:szCs w:val="32"/>
          <w:highlight w:val="none"/>
          <w:shd w:val="clear" w:color="auto" w:fill="auto"/>
          <w:lang w:val="en-US" w:eastAsia="zh-CN"/>
        </w:rPr>
        <w:t>。二是推动重点领域实施减碳行动。大力开展能源节约和能效提升，</w:t>
      </w:r>
      <w:r>
        <w:rPr>
          <w:rFonts w:hint="eastAsia"/>
          <w:b w:val="0"/>
          <w:bCs/>
          <w:color w:val="auto"/>
          <w:sz w:val="32"/>
          <w:szCs w:val="32"/>
          <w:highlight w:val="none"/>
          <w:shd w:val="clear" w:color="auto" w:fill="auto"/>
          <w:lang w:val="en-US" w:eastAsia="zh-CN"/>
        </w:rPr>
        <w:t>加大可再生能源规模化应用，推动循环经济发展，提升资源综合利用水平；实施绿色建筑标准，推广超低能耗建筑；落实北京市供热系统低碳绿色转型方案；</w:t>
      </w:r>
      <w:r>
        <w:rPr>
          <w:rFonts w:hint="eastAsia" w:ascii="仿宋_GB2312" w:eastAsia="仿宋_GB2312"/>
          <w:b w:val="0"/>
          <w:bCs/>
          <w:color w:val="auto"/>
          <w:sz w:val="32"/>
          <w:szCs w:val="32"/>
          <w:highlight w:val="none"/>
          <w:shd w:val="clear" w:color="auto" w:fill="auto"/>
          <w:lang w:val="en-US" w:eastAsia="zh-CN"/>
        </w:rPr>
        <w:t>推进运输结构调整，</w:t>
      </w:r>
      <w:r>
        <w:rPr>
          <w:rFonts w:hint="eastAsia"/>
          <w:b w:val="0"/>
          <w:bCs/>
          <w:color w:val="auto"/>
          <w:sz w:val="32"/>
          <w:szCs w:val="32"/>
          <w:highlight w:val="none"/>
          <w:shd w:val="clear" w:color="auto" w:fill="auto"/>
          <w:lang w:val="en-US" w:eastAsia="zh-CN"/>
        </w:rPr>
        <w:t>加强城市绿色交通体系建设；</w:t>
      </w:r>
      <w:r>
        <w:rPr>
          <w:rFonts w:hint="eastAsia" w:ascii="仿宋_GB2312" w:eastAsia="仿宋_GB2312"/>
          <w:b w:val="0"/>
          <w:bCs/>
          <w:color w:val="auto"/>
          <w:sz w:val="32"/>
          <w:szCs w:val="32"/>
          <w:highlight w:val="none"/>
          <w:shd w:val="clear" w:color="auto" w:fill="auto"/>
          <w:lang w:val="en-US" w:eastAsia="zh-CN"/>
        </w:rPr>
        <w:t>控制农业和其他温室气体排放。三是加强气候适应</w:t>
      </w:r>
      <w:r>
        <w:rPr>
          <w:rFonts w:hint="eastAsia"/>
          <w:b w:val="0"/>
          <w:bCs/>
          <w:color w:val="auto"/>
          <w:sz w:val="32"/>
          <w:szCs w:val="32"/>
          <w:highlight w:val="none"/>
          <w:shd w:val="clear" w:color="auto" w:fill="auto"/>
          <w:lang w:val="en-US" w:eastAsia="zh-CN"/>
        </w:rPr>
        <w:t>性</w:t>
      </w:r>
      <w:r>
        <w:rPr>
          <w:rFonts w:hint="eastAsia" w:ascii="仿宋_GB2312" w:eastAsia="仿宋_GB2312"/>
          <w:b w:val="0"/>
          <w:bCs/>
          <w:color w:val="auto"/>
          <w:sz w:val="32"/>
          <w:szCs w:val="32"/>
          <w:highlight w:val="none"/>
          <w:shd w:val="clear" w:color="auto" w:fill="auto"/>
          <w:lang w:val="en-US" w:eastAsia="zh-CN"/>
        </w:rPr>
        <w:t>建设。</w:t>
      </w:r>
      <w:r>
        <w:rPr>
          <w:rFonts w:hint="eastAsia"/>
          <w:b w:val="0"/>
          <w:bCs/>
          <w:color w:val="auto"/>
          <w:sz w:val="32"/>
          <w:szCs w:val="32"/>
          <w:highlight w:val="none"/>
          <w:shd w:val="clear" w:color="auto" w:fill="auto"/>
          <w:lang w:val="en-US" w:eastAsia="zh-CN"/>
        </w:rPr>
        <w:t>开展“海绵校园”“海绵公园”“海绵道路”等海绵城市建设工程；提升生态系统碳汇能力，构建生态廊道和城市建设相互交融的空间格局；健全覆盖全区的气象监测和自然灾害预警系统，提升监测预警能力</w:t>
      </w:r>
      <w:r>
        <w:rPr>
          <w:rFonts w:hint="eastAsia" w:ascii="仿宋_GB2312" w:eastAsia="仿宋_GB2312"/>
          <w:b w:val="0"/>
          <w:bCs/>
          <w:color w:val="auto"/>
          <w:sz w:val="32"/>
          <w:szCs w:val="32"/>
          <w:highlight w:val="none"/>
          <w:shd w:val="clear" w:color="auto" w:fill="auto"/>
          <w:lang w:val="en-US" w:eastAsia="zh-CN"/>
        </w:rPr>
        <w:t>。四是强化应对气候变化能力建设。</w:t>
      </w:r>
      <w:r>
        <w:rPr>
          <w:rFonts w:hint="eastAsia"/>
          <w:b w:val="0"/>
          <w:bCs/>
          <w:color w:val="auto"/>
          <w:sz w:val="32"/>
          <w:szCs w:val="32"/>
          <w:highlight w:val="none"/>
          <w:shd w:val="clear" w:color="auto" w:fill="auto"/>
          <w:lang w:val="en-US" w:eastAsia="zh-CN"/>
        </w:rPr>
        <w:t>开展区级温室气体清单编制，强化气候变化相关数据统计分析，推动绿色金融政策支持，加大应对气候变化宣传力度，加强相关人才培养和干部培训，营造良好政策环境。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color w:val="auto"/>
          <w:sz w:val="32"/>
          <w:szCs w:val="32"/>
          <w:highlight w:val="yellow"/>
        </w:rPr>
      </w:pPr>
      <w:r>
        <w:rPr>
          <w:rFonts w:hint="eastAsia" w:ascii="楷体_GB2312" w:hAnsi="楷体_GB2312" w:eastAsia="楷体_GB2312" w:cs="楷体_GB2312"/>
          <w:color w:val="auto"/>
          <w:sz w:val="32"/>
          <w:szCs w:val="32"/>
          <w:highlight w:val="none"/>
        </w:rPr>
        <w:t>（五）生态保护202</w:t>
      </w:r>
      <w:r>
        <w:rPr>
          <w:rFonts w:hint="eastAsia" w:ascii="楷体_GB2312" w:hAnsi="楷体_GB2312" w:eastAsia="楷体_GB2312" w:cs="楷体_GB2312"/>
          <w:color w:val="auto"/>
          <w:sz w:val="32"/>
          <w:szCs w:val="32"/>
          <w:highlight w:val="none"/>
          <w:lang w:val="en-US" w:eastAsia="zh-CN"/>
        </w:rPr>
        <w:t>5</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生态保护共15项重点任务，以提升生态系统多样性、稳定性、持续性为目标，全面加强生态保护。一是强化生物多样性保护。建立生物多样性保护协调工作机制；开展生物多样性观测；强化外来入侵物种防控；保护重点生物遗传资源；加强执法检查。二是维护生态空间格局稳定性。加强重要生态空间监督管理，做好人类活动问题线索核实处理；加强资源开发利用活动监督；统筹推进实施生态保护修复；加强生态监测。三是促进生态保护可持续发展。推进区域生态协同治理；开展生态环境质量评价；开展GEP-R核算结果应用；巩固“国家生态文明建设示范区”和“两山”实践创新基地创建成果；加强国家重点生态功能区县域生态环境质量监测与评价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color w:val="auto"/>
          <w:sz w:val="32"/>
          <w:szCs w:val="32"/>
          <w:highlight w:val="none"/>
        </w:rPr>
      </w:pPr>
    </w:p>
    <w:p>
      <w:pPr>
        <w:spacing w:line="560" w:lineRule="exact"/>
        <w:ind w:firstLine="640" w:firstLineChars="200"/>
        <w:rPr>
          <w:rFonts w:hint="eastAsia" w:eastAsia="仿宋_GB2312"/>
          <w:color w:val="auto"/>
          <w:w w:val="90"/>
          <w:sz w:val="32"/>
          <w:szCs w:val="32"/>
          <w:highlight w:val="none"/>
          <w:lang w:eastAsia="zh-CN"/>
        </w:rPr>
      </w:pPr>
      <w:r>
        <w:rPr>
          <w:color w:val="auto"/>
          <w:sz w:val="32"/>
          <w:szCs w:val="32"/>
          <w:highlight w:val="none"/>
        </w:rPr>
        <w:t>附件</w:t>
      </w:r>
      <w:r>
        <w:rPr>
          <w:rFonts w:hint="eastAsia"/>
          <w:color w:val="auto"/>
          <w:w w:val="90"/>
          <w:sz w:val="32"/>
          <w:szCs w:val="32"/>
          <w:highlight w:val="none"/>
          <w:lang w:eastAsia="zh-CN"/>
        </w:rPr>
        <w:t>：</w:t>
      </w:r>
      <w:r>
        <w:rPr>
          <w:rFonts w:hint="eastAsia"/>
          <w:color w:val="auto"/>
          <w:spacing w:val="0"/>
          <w:w w:val="100"/>
          <w:sz w:val="32"/>
          <w:szCs w:val="32"/>
          <w:highlight w:val="none"/>
          <w:lang w:val="en-US" w:eastAsia="zh-CN"/>
        </w:rPr>
        <w:t>1.</w:t>
      </w:r>
      <w:r>
        <w:rPr>
          <w:color w:val="auto"/>
          <w:spacing w:val="0"/>
          <w:w w:val="100"/>
          <w:sz w:val="32"/>
          <w:szCs w:val="32"/>
          <w:highlight w:val="none"/>
        </w:rPr>
        <w:t>北京市密云区</w:t>
      </w:r>
      <w:r>
        <w:rPr>
          <w:rFonts w:hint="eastAsia"/>
          <w:color w:val="auto"/>
          <w:spacing w:val="0"/>
          <w:w w:val="100"/>
          <w:sz w:val="32"/>
          <w:szCs w:val="32"/>
          <w:highlight w:val="none"/>
          <w:lang w:val="en-US" w:eastAsia="zh-CN"/>
        </w:rPr>
        <w:t>蓝天保卫战</w:t>
      </w:r>
      <w:r>
        <w:rPr>
          <w:color w:val="auto"/>
          <w:spacing w:val="0"/>
          <w:w w:val="100"/>
          <w:sz w:val="32"/>
          <w:szCs w:val="32"/>
          <w:highlight w:val="none"/>
        </w:rPr>
        <w:t>202</w:t>
      </w:r>
      <w:r>
        <w:rPr>
          <w:rFonts w:hint="eastAsia"/>
          <w:color w:val="auto"/>
          <w:spacing w:val="0"/>
          <w:w w:val="100"/>
          <w:sz w:val="32"/>
          <w:szCs w:val="32"/>
          <w:highlight w:val="none"/>
          <w:lang w:val="en-US" w:eastAsia="zh-CN"/>
        </w:rPr>
        <w:t>5</w:t>
      </w:r>
      <w:r>
        <w:rPr>
          <w:color w:val="auto"/>
          <w:spacing w:val="0"/>
          <w:w w:val="100"/>
          <w:sz w:val="32"/>
          <w:szCs w:val="32"/>
          <w:highlight w:val="none"/>
        </w:rPr>
        <w:t>年</w:t>
      </w:r>
      <w:r>
        <w:rPr>
          <w:rFonts w:hint="eastAsia"/>
          <w:color w:val="auto"/>
          <w:spacing w:val="0"/>
          <w:w w:val="100"/>
          <w:sz w:val="32"/>
          <w:szCs w:val="32"/>
          <w:highlight w:val="none"/>
          <w:lang w:val="en-US" w:eastAsia="zh-CN"/>
        </w:rPr>
        <w:t>行动计划</w:t>
      </w:r>
    </w:p>
    <w:p>
      <w:pPr>
        <w:spacing w:line="560" w:lineRule="exact"/>
        <w:ind w:firstLine="1600" w:firstLineChars="500"/>
        <w:rPr>
          <w:color w:val="auto"/>
          <w:spacing w:val="0"/>
          <w:w w:val="100"/>
          <w:sz w:val="32"/>
          <w:szCs w:val="32"/>
          <w:highlight w:val="none"/>
        </w:rPr>
      </w:pPr>
      <w:r>
        <w:rPr>
          <w:rFonts w:hint="eastAsia"/>
          <w:color w:val="auto"/>
          <w:spacing w:val="0"/>
          <w:w w:val="100"/>
          <w:sz w:val="32"/>
          <w:szCs w:val="32"/>
          <w:highlight w:val="none"/>
          <w:lang w:val="en-US" w:eastAsia="zh-CN"/>
        </w:rPr>
        <w:t>2.</w:t>
      </w:r>
      <w:r>
        <w:rPr>
          <w:color w:val="auto"/>
          <w:spacing w:val="0"/>
          <w:w w:val="100"/>
          <w:sz w:val="32"/>
          <w:szCs w:val="32"/>
          <w:highlight w:val="none"/>
        </w:rPr>
        <w:t>北京市密云区</w:t>
      </w:r>
      <w:r>
        <w:rPr>
          <w:rFonts w:hint="eastAsia"/>
          <w:color w:val="auto"/>
          <w:spacing w:val="0"/>
          <w:w w:val="100"/>
          <w:sz w:val="32"/>
          <w:szCs w:val="32"/>
          <w:highlight w:val="none"/>
          <w:lang w:val="en-US" w:eastAsia="zh-CN"/>
        </w:rPr>
        <w:t>碧水保卫战</w:t>
      </w:r>
      <w:r>
        <w:rPr>
          <w:color w:val="auto"/>
          <w:spacing w:val="0"/>
          <w:w w:val="100"/>
          <w:sz w:val="32"/>
          <w:szCs w:val="32"/>
          <w:highlight w:val="none"/>
        </w:rPr>
        <w:t>202</w:t>
      </w:r>
      <w:r>
        <w:rPr>
          <w:rFonts w:hint="eastAsia"/>
          <w:color w:val="auto"/>
          <w:spacing w:val="0"/>
          <w:w w:val="100"/>
          <w:sz w:val="32"/>
          <w:szCs w:val="32"/>
          <w:highlight w:val="none"/>
          <w:lang w:val="en-US" w:eastAsia="zh-CN"/>
        </w:rPr>
        <w:t>5</w:t>
      </w:r>
      <w:r>
        <w:rPr>
          <w:color w:val="auto"/>
          <w:spacing w:val="0"/>
          <w:w w:val="100"/>
          <w:sz w:val="32"/>
          <w:szCs w:val="32"/>
          <w:highlight w:val="none"/>
        </w:rPr>
        <w:t>年</w:t>
      </w:r>
      <w:r>
        <w:rPr>
          <w:rFonts w:hint="eastAsia"/>
          <w:color w:val="auto"/>
          <w:spacing w:val="0"/>
          <w:w w:val="100"/>
          <w:sz w:val="32"/>
          <w:szCs w:val="32"/>
          <w:highlight w:val="none"/>
          <w:lang w:val="en-US" w:eastAsia="zh-CN"/>
        </w:rPr>
        <w:t>行动计划</w:t>
      </w:r>
    </w:p>
    <w:p>
      <w:pPr>
        <w:spacing w:line="560" w:lineRule="exact"/>
        <w:ind w:firstLine="1600" w:firstLineChars="500"/>
        <w:rPr>
          <w:color w:val="auto"/>
          <w:spacing w:val="0"/>
          <w:w w:val="90"/>
          <w:sz w:val="32"/>
          <w:szCs w:val="32"/>
          <w:highlight w:val="none"/>
        </w:rPr>
      </w:pPr>
      <w:r>
        <w:rPr>
          <w:rFonts w:hint="eastAsia"/>
          <w:color w:val="auto"/>
          <w:spacing w:val="0"/>
          <w:w w:val="100"/>
          <w:sz w:val="32"/>
          <w:szCs w:val="32"/>
          <w:highlight w:val="none"/>
          <w:lang w:val="en-US" w:eastAsia="zh-CN"/>
        </w:rPr>
        <w:t>3.</w:t>
      </w:r>
      <w:r>
        <w:rPr>
          <w:color w:val="auto"/>
          <w:spacing w:val="0"/>
          <w:w w:val="100"/>
          <w:sz w:val="32"/>
          <w:szCs w:val="32"/>
          <w:highlight w:val="none"/>
        </w:rPr>
        <w:t>北京市密云区</w:t>
      </w:r>
      <w:r>
        <w:rPr>
          <w:rFonts w:hint="eastAsia"/>
          <w:color w:val="auto"/>
          <w:spacing w:val="0"/>
          <w:w w:val="100"/>
          <w:sz w:val="32"/>
          <w:szCs w:val="32"/>
          <w:highlight w:val="none"/>
          <w:lang w:val="en-US" w:eastAsia="zh-CN"/>
        </w:rPr>
        <w:t>净土保卫战</w:t>
      </w:r>
      <w:r>
        <w:rPr>
          <w:color w:val="auto"/>
          <w:spacing w:val="0"/>
          <w:w w:val="100"/>
          <w:sz w:val="32"/>
          <w:szCs w:val="32"/>
          <w:highlight w:val="none"/>
        </w:rPr>
        <w:t>202</w:t>
      </w:r>
      <w:r>
        <w:rPr>
          <w:rFonts w:hint="eastAsia"/>
          <w:color w:val="auto"/>
          <w:spacing w:val="0"/>
          <w:w w:val="100"/>
          <w:sz w:val="32"/>
          <w:szCs w:val="32"/>
          <w:highlight w:val="none"/>
          <w:lang w:val="en-US" w:eastAsia="zh-CN"/>
        </w:rPr>
        <w:t>5</w:t>
      </w:r>
      <w:r>
        <w:rPr>
          <w:color w:val="auto"/>
          <w:spacing w:val="0"/>
          <w:w w:val="100"/>
          <w:sz w:val="32"/>
          <w:szCs w:val="32"/>
          <w:highlight w:val="none"/>
        </w:rPr>
        <w:t>年</w:t>
      </w:r>
      <w:r>
        <w:rPr>
          <w:rFonts w:hint="eastAsia"/>
          <w:color w:val="auto"/>
          <w:spacing w:val="0"/>
          <w:w w:val="100"/>
          <w:sz w:val="32"/>
          <w:szCs w:val="32"/>
          <w:highlight w:val="none"/>
          <w:lang w:val="en-US" w:eastAsia="zh-CN"/>
        </w:rPr>
        <w:t>行动计划</w:t>
      </w:r>
    </w:p>
    <w:p>
      <w:pPr>
        <w:spacing w:line="560" w:lineRule="exact"/>
        <w:ind w:firstLine="1600" w:firstLineChars="500"/>
        <w:rPr>
          <w:color w:val="auto"/>
          <w:spacing w:val="0"/>
          <w:w w:val="90"/>
          <w:sz w:val="32"/>
          <w:szCs w:val="32"/>
          <w:highlight w:val="none"/>
        </w:rPr>
      </w:pPr>
      <w:r>
        <w:rPr>
          <w:rFonts w:hint="eastAsia"/>
          <w:color w:val="auto"/>
          <w:spacing w:val="0"/>
          <w:w w:val="100"/>
          <w:sz w:val="32"/>
          <w:szCs w:val="32"/>
          <w:highlight w:val="none"/>
          <w:lang w:val="en-US" w:eastAsia="zh-CN"/>
        </w:rPr>
        <w:t>4.</w:t>
      </w:r>
      <w:r>
        <w:rPr>
          <w:color w:val="auto"/>
          <w:spacing w:val="0"/>
          <w:w w:val="100"/>
          <w:sz w:val="32"/>
          <w:szCs w:val="32"/>
          <w:highlight w:val="none"/>
        </w:rPr>
        <w:t>北京市密云区应对气候变化202</w:t>
      </w:r>
      <w:r>
        <w:rPr>
          <w:rFonts w:hint="eastAsia"/>
          <w:color w:val="auto"/>
          <w:spacing w:val="0"/>
          <w:w w:val="100"/>
          <w:sz w:val="32"/>
          <w:szCs w:val="32"/>
          <w:highlight w:val="none"/>
          <w:lang w:val="en-US" w:eastAsia="zh-CN"/>
        </w:rPr>
        <w:t>5</w:t>
      </w:r>
      <w:r>
        <w:rPr>
          <w:color w:val="auto"/>
          <w:spacing w:val="0"/>
          <w:w w:val="100"/>
          <w:sz w:val="32"/>
          <w:szCs w:val="32"/>
          <w:highlight w:val="none"/>
        </w:rPr>
        <w:t>年</w:t>
      </w:r>
      <w:r>
        <w:rPr>
          <w:rFonts w:hint="eastAsia"/>
          <w:color w:val="auto"/>
          <w:spacing w:val="0"/>
          <w:w w:val="100"/>
          <w:sz w:val="32"/>
          <w:szCs w:val="32"/>
          <w:highlight w:val="none"/>
          <w:lang w:val="en-US" w:eastAsia="zh-CN"/>
        </w:rPr>
        <w:t>行动计划</w:t>
      </w:r>
    </w:p>
    <w:p>
      <w:pPr>
        <w:spacing w:line="560" w:lineRule="exact"/>
        <w:ind w:firstLine="1600" w:firstLineChars="500"/>
        <w:rPr>
          <w:rFonts w:hint="eastAsia"/>
          <w:color w:val="auto"/>
          <w:spacing w:val="0"/>
          <w:w w:val="100"/>
          <w:sz w:val="32"/>
          <w:szCs w:val="32"/>
          <w:highlight w:val="none"/>
          <w:lang w:val="en-US" w:eastAsia="zh-CN"/>
        </w:rPr>
      </w:pPr>
      <w:r>
        <w:rPr>
          <w:rFonts w:hint="eastAsia"/>
          <w:color w:val="auto"/>
          <w:spacing w:val="0"/>
          <w:w w:val="100"/>
          <w:sz w:val="32"/>
          <w:szCs w:val="32"/>
          <w:highlight w:val="none"/>
          <w:lang w:val="en-US" w:eastAsia="zh-CN"/>
        </w:rPr>
        <w:t>5.北京市密云区生态保护2025年行动计划</w:t>
      </w:r>
    </w:p>
    <w:p>
      <w:pPr>
        <w:spacing w:line="560" w:lineRule="exact"/>
        <w:ind w:firstLine="640" w:firstLineChars="200"/>
        <w:rPr>
          <w:rFonts w:hint="eastAsia"/>
          <w:color w:val="auto"/>
          <w:spacing w:val="0"/>
          <w:w w:val="100"/>
          <w:sz w:val="32"/>
          <w:szCs w:val="32"/>
          <w:highlight w:val="none"/>
          <w:lang w:val="en-US" w:eastAsia="zh-CN"/>
        </w:rPr>
      </w:pPr>
      <w:r>
        <w:rPr>
          <w:rFonts w:hint="eastAsia"/>
          <w:color w:val="auto"/>
          <w:spacing w:val="0"/>
          <w:w w:val="100"/>
          <w:sz w:val="32"/>
          <w:szCs w:val="32"/>
          <w:highlight w:val="none"/>
          <w:lang w:val="en-US" w:eastAsia="zh-CN"/>
        </w:rPr>
        <w:t xml:space="preserve">      6.</w:t>
      </w:r>
      <w:r>
        <w:rPr>
          <w:rFonts w:hint="eastAsia"/>
          <w:color w:val="auto"/>
          <w:spacing w:val="-17"/>
          <w:w w:val="100"/>
          <w:sz w:val="32"/>
          <w:szCs w:val="32"/>
          <w:highlight w:val="none"/>
          <w:lang w:val="en-US" w:eastAsia="zh-CN"/>
        </w:rPr>
        <w:t>2025年密云区生态环境保护有关指标和重点任务计划</w:t>
      </w:r>
    </w:p>
    <w:p>
      <w:pPr>
        <w:spacing w:line="560" w:lineRule="exact"/>
        <w:ind w:firstLine="640" w:firstLineChars="200"/>
        <w:rPr>
          <w:rFonts w:hint="eastAsia"/>
          <w:color w:val="auto"/>
          <w:spacing w:val="0"/>
          <w:w w:val="100"/>
          <w:sz w:val="32"/>
          <w:szCs w:val="32"/>
          <w:highlight w:val="none"/>
          <w:lang w:val="en-US" w:eastAsia="zh-CN"/>
        </w:rPr>
      </w:pPr>
    </w:p>
    <w:p>
      <w:pPr>
        <w:spacing w:line="560" w:lineRule="exact"/>
        <w:ind w:firstLine="640" w:firstLineChars="200"/>
        <w:rPr>
          <w:rFonts w:hint="eastAsia"/>
          <w:color w:val="auto"/>
          <w:spacing w:val="0"/>
          <w:w w:val="100"/>
          <w:sz w:val="32"/>
          <w:szCs w:val="32"/>
          <w:highlight w:val="none"/>
          <w:lang w:val="en-US" w:eastAsia="zh-CN"/>
        </w:rPr>
        <w:sectPr>
          <w:footerReference r:id="rId3" w:type="default"/>
          <w:pgSz w:w="11906" w:h="16838"/>
          <w:pgMar w:top="1984" w:right="1474" w:bottom="2098" w:left="1588" w:header="851" w:footer="992" w:gutter="0"/>
          <w:pgNumType w:fmt="numberInDash"/>
          <w:cols w:space="0" w:num="1"/>
          <w:rtlGutter w:val="0"/>
          <w:docGrid w:type="lines" w:linePitch="312" w:charSpace="0"/>
        </w:sectPr>
      </w:pPr>
    </w:p>
    <w:p>
      <w:pPr>
        <w:keepNext w:val="0"/>
        <w:keepLines w:val="0"/>
        <w:pageBreakBefore w:val="0"/>
        <w:widowControl w:val="0"/>
        <w:tabs>
          <w:tab w:val="left" w:pos="12760"/>
        </w:tabs>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北京市密云区</w:t>
      </w:r>
      <w:r>
        <w:rPr>
          <w:rFonts w:hint="eastAsia" w:ascii="方正小标宋简体" w:hAnsi="方正小标宋简体" w:eastAsia="方正小标宋简体" w:cs="方正小标宋简体"/>
          <w:color w:val="auto"/>
          <w:sz w:val="44"/>
          <w:szCs w:val="44"/>
          <w:highlight w:val="none"/>
          <w:lang w:val="en-US" w:eastAsia="zh-CN"/>
        </w:rPr>
        <w:t>蓝天保卫战</w:t>
      </w: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rPr>
        <w:t>年</w:t>
      </w:r>
      <w:r>
        <w:rPr>
          <w:rFonts w:hint="eastAsia" w:ascii="方正小标宋简体" w:hAnsi="方正小标宋简体" w:eastAsia="方正小标宋简体" w:cs="方正小标宋简体"/>
          <w:color w:val="auto"/>
          <w:sz w:val="44"/>
          <w:szCs w:val="44"/>
          <w:highlight w:val="none"/>
          <w:lang w:val="en-US" w:eastAsia="zh-CN"/>
        </w:rPr>
        <w:t>行动计划</w:t>
      </w:r>
    </w:p>
    <w:tbl>
      <w:tblPr>
        <w:tblStyle w:val="11"/>
        <w:tblW w:w="14940" w:type="dxa"/>
        <w:tblInd w:w="-10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45"/>
        <w:gridCol w:w="5884"/>
        <w:gridCol w:w="1229"/>
        <w:gridCol w:w="2043"/>
        <w:gridCol w:w="2371"/>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blHeader/>
        </w:trPr>
        <w:tc>
          <w:tcPr>
            <w:tcW w:w="46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8" w:right="109"/>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序号</w:t>
            </w:r>
          </w:p>
        </w:tc>
        <w:tc>
          <w:tcPr>
            <w:tcW w:w="945"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right="107"/>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重点任务</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2184" w:right="2175"/>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工作措施</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295" w:right="283"/>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完成时限</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66" w:right="58"/>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牵头部门</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3" w:right="4"/>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主责单位</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63" w:right="122" w:rightChars="0"/>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协办单位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940" w:type="dxa"/>
            <w:gridSpan w:val="7"/>
          </w:tcPr>
          <w:p>
            <w:pPr>
              <w:pStyle w:val="15"/>
              <w:keepNext w:val="0"/>
              <w:keepLines w:val="0"/>
              <w:pageBreakBefore w:val="0"/>
              <w:widowControl w:val="0"/>
              <w:kinsoku/>
              <w:wordWrap/>
              <w:overflowPunct/>
              <w:topLinePunct w:val="0"/>
              <w:bidi w:val="0"/>
              <w:adjustRightInd/>
              <w:spacing w:line="320" w:lineRule="exact"/>
              <w:ind w:left="5016" w:right="5007"/>
              <w:jc w:val="center"/>
              <w:textAlignment w:val="auto"/>
              <w:rPr>
                <w:rFonts w:hint="eastAsia" w:ascii="黑体" w:eastAsia="黑体"/>
                <w:i w:val="0"/>
                <w:iCs w:val="0"/>
                <w:color w:val="auto"/>
                <w:sz w:val="28"/>
                <w:highlight w:val="none"/>
              </w:rPr>
            </w:pPr>
            <w:r>
              <w:rPr>
                <w:rFonts w:hint="eastAsia" w:ascii="黑体" w:eastAsia="黑体"/>
                <w:i w:val="0"/>
                <w:iCs w:val="0"/>
                <w:color w:val="auto"/>
                <w:sz w:val="28"/>
                <w:highlight w:val="none"/>
              </w:rPr>
              <w:t>一、主要目标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4"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i w:val="0"/>
                <w:iCs w:val="0"/>
                <w:color w:val="auto"/>
                <w:sz w:val="28"/>
                <w:highlight w:val="none"/>
              </w:rPr>
            </w:pPr>
            <w:r>
              <w:rPr>
                <w:i w:val="0"/>
                <w:iCs w:val="0"/>
                <w:color w:val="auto"/>
                <w:w w:val="100"/>
                <w:sz w:val="28"/>
                <w:highlight w:val="none"/>
              </w:rPr>
              <w:t>1</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i w:val="0"/>
                <w:iCs w:val="0"/>
                <w:color w:val="auto"/>
                <w:sz w:val="28"/>
                <w:highlight w:val="none"/>
              </w:rPr>
            </w:pPr>
            <w:r>
              <w:rPr>
                <w:i w:val="0"/>
                <w:iCs w:val="0"/>
                <w:color w:val="auto"/>
                <w:sz w:val="28"/>
                <w:highlight w:val="none"/>
              </w:rPr>
              <w:t>空气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i w:val="0"/>
                <w:iCs w:val="0"/>
                <w:color w:val="auto"/>
                <w:spacing w:val="-1"/>
                <w:sz w:val="28"/>
                <w:highlight w:val="none"/>
              </w:rPr>
            </w:pPr>
            <w:r>
              <w:rPr>
                <w:i w:val="0"/>
                <w:iCs w:val="0"/>
                <w:color w:val="auto"/>
                <w:spacing w:val="-1"/>
                <w:sz w:val="28"/>
                <w:highlight w:val="none"/>
              </w:rPr>
              <w:t>质量</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i w:val="0"/>
                <w:iCs w:val="0"/>
                <w:color w:val="auto"/>
                <w:sz w:val="28"/>
                <w:highlight w:val="none"/>
              </w:rPr>
            </w:pPr>
            <w:r>
              <w:rPr>
                <w:i w:val="0"/>
                <w:iCs w:val="0"/>
                <w:color w:val="auto"/>
                <w:sz w:val="28"/>
                <w:highlight w:val="none"/>
              </w:rPr>
              <w:t>目标</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right="0"/>
              <w:jc w:val="both"/>
              <w:textAlignment w:val="auto"/>
              <w:outlineLvl w:val="9"/>
              <w:rPr>
                <w:rFonts w:hint="default"/>
                <w:i w:val="0"/>
                <w:iCs w:val="0"/>
                <w:color w:val="auto"/>
                <w:sz w:val="28"/>
                <w:highlight w:val="none"/>
                <w:lang w:val="en-US" w:eastAsia="zh-CN"/>
              </w:rPr>
            </w:pPr>
            <w:r>
              <w:rPr>
                <w:i w:val="0"/>
                <w:iCs w:val="0"/>
                <w:color w:val="auto"/>
                <w:sz w:val="28"/>
                <w:highlight w:val="none"/>
              </w:rPr>
              <w:t>全区尽最大努力巩固空气质量改善成效</w:t>
            </w:r>
            <w:r>
              <w:rPr>
                <w:rFonts w:hint="eastAsia"/>
                <w:i w:val="0"/>
                <w:iCs w:val="0"/>
                <w:color w:val="auto"/>
                <w:sz w:val="28"/>
                <w:highlight w:val="none"/>
                <w:lang w:eastAsia="zh-CN"/>
              </w:rPr>
              <w:t>，细颗粒物浓度</w:t>
            </w:r>
            <w:r>
              <w:rPr>
                <w:i w:val="0"/>
                <w:iCs w:val="0"/>
                <w:color w:val="auto"/>
                <w:sz w:val="28"/>
                <w:highlight w:val="none"/>
              </w:rPr>
              <w:t>控制在</w:t>
            </w:r>
            <w:r>
              <w:rPr>
                <w:rFonts w:hint="eastAsia"/>
                <w:i w:val="0"/>
                <w:iCs w:val="0"/>
                <w:color w:val="auto"/>
                <w:sz w:val="28"/>
                <w:highlight w:val="none"/>
                <w:lang w:val="en-US" w:eastAsia="zh-CN"/>
              </w:rPr>
              <w:t>27</w:t>
            </w:r>
            <w:r>
              <w:rPr>
                <w:i w:val="0"/>
                <w:iCs w:val="0"/>
                <w:color w:val="auto"/>
                <w:sz w:val="28"/>
                <w:highlight w:val="none"/>
              </w:rPr>
              <w:t>微克每立方米</w:t>
            </w:r>
            <w:r>
              <w:rPr>
                <w:rFonts w:hint="eastAsia"/>
                <w:i w:val="0"/>
                <w:iCs w:val="0"/>
                <w:color w:val="auto"/>
                <w:sz w:val="28"/>
                <w:highlight w:val="none"/>
                <w:lang w:eastAsia="zh-CN"/>
              </w:rPr>
              <w:t>。</w:t>
            </w:r>
            <w:r>
              <w:rPr>
                <w:i w:val="0"/>
                <w:iCs w:val="0"/>
                <w:color w:val="auto"/>
                <w:sz w:val="28"/>
                <w:highlight w:val="none"/>
              </w:rPr>
              <w:t>优良</w:t>
            </w:r>
            <w:r>
              <w:rPr>
                <w:rFonts w:hint="eastAsia"/>
                <w:i w:val="0"/>
                <w:iCs w:val="0"/>
                <w:color w:val="auto"/>
                <w:sz w:val="28"/>
                <w:highlight w:val="none"/>
                <w:lang w:val="en-US" w:eastAsia="zh-CN"/>
              </w:rPr>
              <w:t>天</w:t>
            </w:r>
            <w:r>
              <w:rPr>
                <w:i w:val="0"/>
                <w:iCs w:val="0"/>
                <w:color w:val="auto"/>
                <w:sz w:val="28"/>
                <w:highlight w:val="none"/>
              </w:rPr>
              <w:t>比率达到</w:t>
            </w:r>
            <w:r>
              <w:rPr>
                <w:rFonts w:hint="eastAsia"/>
                <w:i w:val="0"/>
                <w:iCs w:val="0"/>
                <w:color w:val="auto"/>
                <w:sz w:val="28"/>
                <w:highlight w:val="none"/>
                <w:lang w:val="en-US" w:eastAsia="zh-CN"/>
              </w:rPr>
              <w:t>80</w:t>
            </w:r>
            <w:r>
              <w:rPr>
                <w:i w:val="0"/>
                <w:iCs w:val="0"/>
                <w:color w:val="auto"/>
                <w:sz w:val="28"/>
                <w:highlight w:val="none"/>
              </w:rPr>
              <w:t>%以上，</w:t>
            </w:r>
            <w:r>
              <w:rPr>
                <w:rFonts w:hint="eastAsia" w:ascii="仿宋_GB2312" w:hAnsi="仿宋_GB2312" w:eastAsia="仿宋_GB2312" w:cs="仿宋_GB2312"/>
                <w:color w:val="auto"/>
                <w:sz w:val="28"/>
                <w:szCs w:val="28"/>
                <w:highlight w:val="none"/>
              </w:rPr>
              <w:t>重污染天数比率</w:t>
            </w:r>
            <w:r>
              <w:rPr>
                <w:rFonts w:hint="eastAsia" w:cs="仿宋_GB2312"/>
                <w:color w:val="auto"/>
                <w:sz w:val="28"/>
                <w:szCs w:val="28"/>
                <w:highlight w:val="none"/>
                <w:lang w:val="en-US" w:eastAsia="zh-CN"/>
              </w:rPr>
              <w:t>控制在3天</w:t>
            </w:r>
            <w:r>
              <w:rPr>
                <w:rFonts w:hint="eastAsia"/>
                <w:i w:val="0"/>
                <w:iCs w:val="0"/>
                <w:color w:val="auto"/>
                <w:sz w:val="28"/>
                <w:highlight w:val="none"/>
                <w:lang w:val="en-US" w:eastAsia="zh-CN"/>
              </w:rPr>
              <w:t>以内。</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i w:val="0"/>
                <w:iCs w:val="0"/>
                <w:color w:val="auto"/>
                <w:sz w:val="28"/>
                <w:highlight w:val="none"/>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rFonts w:hint="eastAsia"/>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i w:val="0"/>
                <w:iCs w:val="0"/>
                <w:color w:val="auto"/>
                <w:spacing w:val="-3"/>
                <w:sz w:val="28"/>
                <w:highlight w:val="none"/>
              </w:rPr>
              <w:t>区农业农村局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i w:val="0"/>
                <w:iCs w:val="0"/>
                <w:color w:val="auto"/>
                <w:spacing w:val="-3"/>
                <w:sz w:val="28"/>
                <w:highlight w:val="none"/>
              </w:rPr>
              <w:t>区城管执法局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i w:val="0"/>
                <w:iCs w:val="0"/>
                <w:color w:val="auto"/>
                <w:sz w:val="28"/>
                <w:highlight w:val="none"/>
              </w:rPr>
              <w:t>等部门</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i w:val="0"/>
                <w:iCs w:val="0"/>
                <w:color w:val="auto"/>
                <w:sz w:val="28"/>
                <w:highlight w:val="none"/>
              </w:rPr>
            </w:pPr>
            <w:r>
              <w:rPr>
                <w:i w:val="0"/>
                <w:iCs w:val="0"/>
                <w:color w:val="auto"/>
                <w:sz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eastAsia="仿宋_GB2312"/>
                <w:i w:val="0"/>
                <w:iCs w:val="0"/>
                <w:color w:val="auto"/>
                <w:sz w:val="28"/>
                <w:highlight w:val="none"/>
                <w:lang w:val="en-US" w:eastAsia="zh-CN"/>
              </w:rPr>
            </w:pPr>
            <w:r>
              <w:rPr>
                <w:i w:val="0"/>
                <w:iCs w:val="0"/>
                <w:color w:val="auto"/>
                <w:spacing w:val="-11"/>
                <w:sz w:val="28"/>
                <w:highlight w:val="none"/>
              </w:rPr>
              <w:t>中关村密云园</w:t>
            </w:r>
            <w:r>
              <w:rPr>
                <w:rFonts w:hint="eastAsia"/>
                <w:i w:val="0"/>
                <w:iCs w:val="0"/>
                <w:color w:val="auto"/>
                <w:spacing w:val="-11"/>
                <w:sz w:val="28"/>
                <w:highlight w:val="none"/>
                <w:lang w:val="en-US" w:eastAsia="zh-CN"/>
              </w:rPr>
              <w:t>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4"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leftChars="0" w:right="0" w:rightChars="0"/>
              <w:jc w:val="center"/>
              <w:textAlignment w:val="auto"/>
              <w:outlineLvl w:val="9"/>
              <w:rPr>
                <w:i w:val="0"/>
                <w:iCs w:val="0"/>
                <w:color w:val="auto"/>
                <w:w w:val="100"/>
                <w:sz w:val="28"/>
                <w:highlight w:val="none"/>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leftChars="0" w:right="107" w:rightChars="0"/>
              <w:jc w:val="both"/>
              <w:textAlignment w:val="auto"/>
              <w:outlineLvl w:val="9"/>
              <w:rPr>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i w:val="0"/>
                <w:iCs w:val="0"/>
                <w:color w:val="auto"/>
                <w:sz w:val="28"/>
                <w:highlight w:val="none"/>
              </w:rPr>
            </w:pPr>
            <w:r>
              <w:rPr>
                <w:i w:val="0"/>
                <w:iCs w:val="0"/>
                <w:color w:val="auto"/>
                <w:spacing w:val="0"/>
                <w:sz w:val="28"/>
                <w:highlight w:val="none"/>
              </w:rPr>
              <w:t>各镇街（地区）</w:t>
            </w:r>
            <w:r>
              <w:rPr>
                <w:rFonts w:hint="eastAsia"/>
                <w:i w:val="0"/>
                <w:iCs w:val="0"/>
                <w:color w:val="auto"/>
                <w:spacing w:val="0"/>
                <w:sz w:val="28"/>
                <w:highlight w:val="none"/>
                <w:lang w:eastAsia="zh-CN"/>
              </w:rPr>
              <w:t>、</w:t>
            </w:r>
            <w:r>
              <w:rPr>
                <w:i w:val="0"/>
                <w:iCs w:val="0"/>
                <w:color w:val="auto"/>
                <w:spacing w:val="0"/>
                <w:sz w:val="28"/>
                <w:highlight w:val="none"/>
              </w:rPr>
              <w:t>中关村密云园</w:t>
            </w:r>
            <w:r>
              <w:rPr>
                <w:rFonts w:hint="eastAsia"/>
                <w:i w:val="0"/>
                <w:iCs w:val="0"/>
                <w:color w:val="auto"/>
                <w:spacing w:val="0"/>
                <w:sz w:val="28"/>
                <w:highlight w:val="none"/>
                <w:lang w:val="en-US" w:eastAsia="zh-CN"/>
              </w:rPr>
              <w:t>尽</w:t>
            </w:r>
            <w:r>
              <w:rPr>
                <w:i w:val="0"/>
                <w:iCs w:val="0"/>
                <w:color w:val="auto"/>
                <w:spacing w:val="0"/>
                <w:sz w:val="28"/>
                <w:highlight w:val="none"/>
              </w:rPr>
              <w:t>最大努力巩固空气质量改善成效，细颗粒物浓度同比改善或持平。</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i w:val="0"/>
                <w:iCs w:val="0"/>
                <w:color w:val="auto"/>
                <w:sz w:val="28"/>
                <w:highlight w:val="none"/>
              </w:rPr>
            </w:pPr>
            <w:r>
              <w:rPr>
                <w:i w:val="0"/>
                <w:iCs w:val="0"/>
                <w:color w:val="auto"/>
                <w:sz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i w:val="0"/>
                <w:iCs w:val="0"/>
                <w:color w:val="auto"/>
                <w:sz w:val="28"/>
                <w:highlight w:val="none"/>
              </w:rPr>
              <w:t>中关村密云园</w:t>
            </w:r>
            <w:r>
              <w:rPr>
                <w:rFonts w:hint="eastAsia"/>
                <w:i w:val="0"/>
                <w:iCs w:val="0"/>
                <w:color w:val="auto"/>
                <w:sz w:val="28"/>
                <w:highlight w:val="none"/>
                <w:lang w:val="en-US" w:eastAsia="zh-CN"/>
              </w:rPr>
              <w:t>管委会</w:t>
            </w:r>
            <w:bookmarkStart w:id="1" w:name="_GoBack"/>
            <w:bookmarkEnd w:id="1"/>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6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leftChars="0" w:right="0" w:rightChars="0"/>
              <w:jc w:val="center"/>
              <w:textAlignment w:val="auto"/>
              <w:outlineLvl w:val="9"/>
              <w:rPr>
                <w:i w:val="0"/>
                <w:iCs w:val="0"/>
                <w:color w:val="auto"/>
                <w:w w:val="100"/>
                <w:sz w:val="28"/>
                <w:highlight w:val="none"/>
              </w:rPr>
            </w:pPr>
            <w:r>
              <w:rPr>
                <w:i w:val="0"/>
                <w:iCs w:val="0"/>
                <w:color w:val="auto"/>
                <w:w w:val="100"/>
                <w:sz w:val="28"/>
                <w:highlight w:val="none"/>
              </w:rPr>
              <w:t>2</w:t>
            </w:r>
          </w:p>
        </w:tc>
        <w:tc>
          <w:tcPr>
            <w:tcW w:w="945"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总量</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减排</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目标</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right="0"/>
              <w:jc w:val="both"/>
              <w:textAlignment w:val="auto"/>
              <w:outlineLvl w:val="9"/>
              <w:rPr>
                <w:i w:val="0"/>
                <w:iCs w:val="0"/>
                <w:color w:val="auto"/>
                <w:sz w:val="28"/>
                <w:highlight w:val="none"/>
              </w:rPr>
            </w:pPr>
            <w:r>
              <w:rPr>
                <w:rFonts w:hint="eastAsia"/>
                <w:i w:val="0"/>
                <w:iCs w:val="0"/>
                <w:color w:val="auto"/>
                <w:spacing w:val="0"/>
                <w:sz w:val="28"/>
                <w:highlight w:val="none"/>
              </w:rPr>
              <w:t>完成“十四五”挥发性有机物（VOCs）、氮氧化物（NOx）减排目标任务。新增涉气建设项目严格执行VOCs、NOx等主要污染物排放总量控制，实施“减二增一”削减量替代审批制度。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i w:val="0"/>
                <w:iCs w:val="0"/>
                <w:color w:val="auto"/>
                <w:spacing w:val="-2"/>
                <w:sz w:val="28"/>
                <w:highlight w:val="none"/>
              </w:rPr>
            </w:pPr>
            <w:r>
              <w:rPr>
                <w:rFonts w:hint="eastAsia"/>
                <w:i w:val="0"/>
                <w:iCs w:val="0"/>
                <w:color w:val="auto"/>
                <w:spacing w:val="-2"/>
                <w:sz w:val="28"/>
                <w:highlight w:val="none"/>
                <w:lang w:val="en-US" w:eastAsia="zh-CN"/>
              </w:rPr>
              <w:t>区经济和信息化局</w:t>
            </w:r>
            <w:r>
              <w:rPr>
                <w:i w:val="0"/>
                <w:iCs w:val="0"/>
                <w:color w:val="auto"/>
                <w:spacing w:val="-2"/>
                <w:sz w:val="28"/>
                <w:highlight w:val="none"/>
              </w:rPr>
              <w:t xml:space="preserve">  </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区交通局  </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i w:val="0"/>
                <w:iCs w:val="0"/>
                <w:color w:val="auto"/>
                <w:spacing w:val="-2"/>
                <w:sz w:val="28"/>
                <w:highlight w:val="none"/>
              </w:rPr>
            </w:pPr>
            <w:r>
              <w:rPr>
                <w:rFonts w:hint="eastAsia"/>
                <w:i w:val="0"/>
                <w:iCs w:val="0"/>
                <w:color w:val="auto"/>
                <w:spacing w:val="-2"/>
                <w:sz w:val="28"/>
                <w:highlight w:val="none"/>
                <w:lang w:val="en-US" w:eastAsia="zh-CN"/>
              </w:rPr>
              <w:t>区发展改革委</w:t>
            </w:r>
            <w:r>
              <w:rPr>
                <w:i w:val="0"/>
                <w:iCs w:val="0"/>
                <w:color w:val="auto"/>
                <w:spacing w:val="-2"/>
                <w:sz w:val="28"/>
                <w:highlight w:val="none"/>
              </w:rPr>
              <w:t xml:space="preserve">  </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i w:val="0"/>
                <w:iCs w:val="0"/>
                <w:color w:val="auto"/>
                <w:spacing w:val="-17"/>
                <w:sz w:val="28"/>
                <w:highlight w:val="none"/>
                <w:lang w:val="en-US" w:eastAsia="zh-CN"/>
              </w:rPr>
            </w:pPr>
            <w:r>
              <w:rPr>
                <w:rFonts w:hint="eastAsia"/>
                <w:i w:val="0"/>
                <w:iCs w:val="0"/>
                <w:color w:val="auto"/>
                <w:spacing w:val="-17"/>
                <w:sz w:val="28"/>
                <w:highlight w:val="none"/>
                <w:lang w:val="en-US" w:eastAsia="zh-CN"/>
              </w:rPr>
              <w:t>市规划自然资源委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i w:val="0"/>
                <w:iCs w:val="0"/>
                <w:color w:val="auto"/>
                <w:sz w:val="28"/>
                <w:highlight w:val="none"/>
              </w:rPr>
            </w:pPr>
            <w:r>
              <w:rPr>
                <w:rFonts w:hint="eastAsia"/>
                <w:i w:val="0"/>
                <w:iCs w:val="0"/>
                <w:color w:val="auto"/>
                <w:spacing w:val="-17"/>
                <w:sz w:val="28"/>
                <w:highlight w:val="none"/>
                <w:lang w:val="en-US" w:eastAsia="zh-CN"/>
              </w:rPr>
              <w:t>密云分局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i w:val="0"/>
                <w:iCs w:val="0"/>
                <w:color w:val="auto"/>
                <w:spacing w:val="-11"/>
                <w:sz w:val="28"/>
                <w:highlight w:val="none"/>
              </w:rPr>
            </w:pPr>
            <w:r>
              <w:rPr>
                <w:i w:val="0"/>
                <w:iCs w:val="0"/>
                <w:color w:val="auto"/>
                <w:spacing w:val="-11"/>
                <w:sz w:val="28"/>
                <w:highlight w:val="none"/>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4940" w:type="dxa"/>
            <w:gridSpan w:val="7"/>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ascii="黑体" w:eastAsia="黑体"/>
                <w:i w:val="0"/>
                <w:iCs w:val="0"/>
                <w:color w:val="auto"/>
                <w:sz w:val="28"/>
                <w:highlight w:val="none"/>
              </w:rPr>
              <w:t>二、以车（械）含绿量提升为重点，推动结构减排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atLeast"/>
        </w:trPr>
        <w:tc>
          <w:tcPr>
            <w:tcW w:w="46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leftChars="0" w:right="0" w:rightChars="0"/>
              <w:jc w:val="center"/>
              <w:textAlignment w:val="auto"/>
              <w:outlineLvl w:val="9"/>
              <w:rPr>
                <w:rFonts w:hint="eastAsia" w:ascii="仿宋_GB2312" w:hAnsi="仿宋_GB2312" w:eastAsia="仿宋_GB2312" w:cs="仿宋_GB2312"/>
                <w:i w:val="0"/>
                <w:iCs w:val="0"/>
                <w:color w:val="auto"/>
                <w:w w:val="100"/>
                <w:sz w:val="28"/>
                <w:highlight w:val="none"/>
              </w:rPr>
            </w:pPr>
            <w:r>
              <w:rPr>
                <w:rFonts w:hint="eastAsia" w:ascii="仿宋_GB2312" w:hAnsi="仿宋_GB2312" w:eastAsia="仿宋_GB2312" w:cs="仿宋_GB2312"/>
                <w:i w:val="0"/>
                <w:iCs w:val="0"/>
                <w:color w:val="auto"/>
                <w:w w:val="100"/>
                <w:sz w:val="28"/>
                <w:highlight w:val="none"/>
                <w:lang w:val="en-US" w:eastAsia="zh-CN"/>
              </w:rPr>
              <w:t>3</w:t>
            </w:r>
          </w:p>
        </w:tc>
        <w:tc>
          <w:tcPr>
            <w:tcW w:w="945"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大力推动新能源车推广应用</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eastAsia="zh-CN"/>
              </w:rPr>
            </w:pPr>
            <w:r>
              <w:rPr>
                <w:rFonts w:hint="eastAsia"/>
                <w:i w:val="0"/>
                <w:iCs w:val="0"/>
                <w:color w:val="auto"/>
                <w:spacing w:val="0"/>
                <w:sz w:val="28"/>
                <w:highlight w:val="none"/>
                <w:lang w:val="en-US" w:eastAsia="zh-CN"/>
              </w:rPr>
              <w:t>按照“十四五”规划目标和相关实施方案，发挥“两新”政策激励作用，加大新能源车推广力度，落实新能源车年度推进计划，并组织实施，明确分行业推广目标任务，力争2025年新增新能源车上牌比例达到市级任务目标。</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区发展改革委</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区商务局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区国资委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20"/>
                <w:w w:val="95"/>
                <w:sz w:val="28"/>
                <w:highlight w:val="none"/>
                <w:lang w:val="en-US" w:eastAsia="zh-CN"/>
              </w:rPr>
              <w:t>区公安分局交通支队</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hanging="3"/>
              <w:jc w:val="center"/>
              <w:textAlignment w:val="auto"/>
              <w:outlineLvl w:val="9"/>
              <w:rPr>
                <w:rFonts w:hint="eastAsia" w:ascii="仿宋_GB2312" w:hAnsi="仿宋_GB2312" w:eastAsia="仿宋_GB2312" w:cs="仿宋_GB2312"/>
                <w:i w:val="0"/>
                <w:iCs w:val="0"/>
                <w:color w:val="auto"/>
                <w:spacing w:val="-1"/>
                <w:sz w:val="28"/>
                <w:highlight w:val="none"/>
              </w:rPr>
            </w:pP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hanging="3"/>
              <w:jc w:val="center"/>
              <w:textAlignment w:val="auto"/>
              <w:outlineLvl w:val="9"/>
              <w:rPr>
                <w:rFonts w:hint="eastAsia" w:ascii="仿宋_GB2312" w:hAnsi="仿宋_GB2312" w:eastAsia="仿宋_GB2312" w:cs="仿宋_GB2312"/>
                <w:i w:val="0"/>
                <w:iCs w:val="0"/>
                <w:color w:val="auto"/>
                <w:spacing w:val="-1"/>
                <w:sz w:val="28"/>
                <w:highlight w:val="none"/>
              </w:rPr>
            </w:pP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hanging="3"/>
              <w:jc w:val="center"/>
              <w:textAlignment w:val="auto"/>
              <w:outlineLvl w:val="9"/>
              <w:rPr>
                <w:rFonts w:hint="eastAsia" w:ascii="仿宋_GB2312" w:hAnsi="仿宋_GB2312" w:eastAsia="仿宋_GB2312" w:cs="仿宋_GB2312"/>
                <w:i w:val="0"/>
                <w:iCs w:val="0"/>
                <w:color w:val="auto"/>
                <w:spacing w:val="-1"/>
                <w:sz w:val="28"/>
                <w:highlight w:val="none"/>
              </w:rPr>
            </w:pPr>
            <w:r>
              <w:rPr>
                <w:rFonts w:hint="eastAsia" w:ascii="仿宋_GB2312" w:hAnsi="仿宋_GB2312" w:eastAsia="仿宋_GB2312" w:cs="仿宋_GB2312"/>
                <w:i w:val="0"/>
                <w:iCs w:val="0"/>
                <w:color w:val="auto"/>
                <w:spacing w:val="-1"/>
                <w:sz w:val="28"/>
                <w:highlight w:val="none"/>
              </w:rPr>
              <w:t>区财政局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right="0"/>
              <w:jc w:val="both"/>
              <w:textAlignment w:val="auto"/>
              <w:outlineLvl w:val="9"/>
              <w:rPr>
                <w:rFonts w:hint="eastAsia" w:ascii="仿宋_GB2312" w:hAnsi="仿宋_GB2312" w:eastAsia="仿宋_GB2312" w:cs="仿宋_GB2312"/>
                <w:i w:val="0"/>
                <w:iCs w:val="0"/>
                <w:color w:val="auto"/>
                <w:sz w:val="28"/>
                <w:highlight w:val="none"/>
              </w:rPr>
            </w:pP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outlineLvl w:val="9"/>
              <w:rPr>
                <w:rFonts w:hint="eastAsia" w:ascii="仿宋_GB2312" w:hAnsi="仿宋_GB2312" w:eastAsia="仿宋_GB2312" w:cs="仿宋_GB2312"/>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6" w:hRule="atLeast"/>
        </w:trPr>
        <w:tc>
          <w:tcPr>
            <w:tcW w:w="46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4</w:t>
            </w:r>
          </w:p>
        </w:tc>
        <w:tc>
          <w:tcPr>
            <w:tcW w:w="945"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9" w:leftChars="0" w:right="108"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加快重点行业车新能源化</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严格落实《北京市加快国四排放标准营运柴油货车淘汰促进更新轻型新能源货车方案(2024-2025年)》，加大力度淘汰国四重型营运柴油货车，推进货车新能源化。</w:t>
            </w:r>
          </w:p>
        </w:tc>
        <w:tc>
          <w:tcPr>
            <w:tcW w:w="1229"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8" w:leftChars="0" w:right="0" w:rightChars="0" w:hanging="8"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区交通局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34"/>
                <w:w w:val="95"/>
                <w:sz w:val="28"/>
                <w:highlight w:val="none"/>
                <w:lang w:val="en-US" w:eastAsia="zh-CN"/>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4</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color w:val="auto"/>
                <w:sz w:val="28"/>
                <w:szCs w:val="28"/>
                <w:highlight w:val="none"/>
              </w:rPr>
              <w:t>加快重点行业车新能源化</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i w:val="0"/>
                <w:iCs w:val="0"/>
                <w:color w:val="auto"/>
                <w:sz w:val="28"/>
                <w:highlight w:val="none"/>
                <w:lang w:val="en-US" w:eastAsia="zh-CN"/>
              </w:rPr>
              <w:t>注册登记货车和大中型客车中新能源车上牌比例达到29%以上。</w:t>
            </w:r>
          </w:p>
        </w:tc>
        <w:tc>
          <w:tcPr>
            <w:tcW w:w="1229"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color w:val="auto"/>
                <w:highlight w:val="none"/>
              </w:rPr>
            </w:pP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7"/>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区商务局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区国资委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区公安分局交通支队</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rPr>
            </w:pPr>
            <w:r>
              <w:rPr>
                <w:rFonts w:hint="eastAsia" w:ascii="仿宋_GB2312" w:hAnsi="仿宋_GB2312" w:eastAsia="仿宋_GB2312" w:cs="仿宋_GB2312"/>
                <w:i w:val="0"/>
                <w:iCs w:val="0"/>
                <w:color w:val="auto"/>
                <w:spacing w:val="-11"/>
                <w:sz w:val="28"/>
                <w:highlight w:val="none"/>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严格落实《关于本市五环路内新能源物流配送车辆优先通行的通告》，向新能源载货汽车提供通行便利。</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区公安分局交通支队</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新增和更新的轻型商超配送车辆80%为纯电动或氢燃料电池汽车。落实进入北京核心区的轻型商超配送车辆为新能源车的要求。</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区商务局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新增和更新的快递轻型配送车辆80%为纯电动或氢燃料电池汽车。</w:t>
            </w:r>
            <w:r>
              <w:rPr>
                <w:rFonts w:hint="eastAsia" w:ascii="仿宋_GB2312" w:hAnsi="仿宋_GB2312" w:eastAsia="仿宋_GB2312" w:cs="仿宋_GB2312"/>
                <w:i w:val="0"/>
                <w:iCs w:val="0"/>
                <w:color w:val="auto"/>
                <w:sz w:val="28"/>
                <w:highlight w:val="none"/>
                <w:lang w:val="en-US" w:eastAsia="zh-CN"/>
              </w:rPr>
              <w:t>落实</w:t>
            </w:r>
            <w:r>
              <w:rPr>
                <w:rFonts w:hint="eastAsia" w:ascii="仿宋_GB2312" w:hAnsi="仿宋_GB2312" w:eastAsia="仿宋_GB2312" w:cs="仿宋_GB2312"/>
                <w:i w:val="0"/>
                <w:iCs w:val="0"/>
                <w:color w:val="auto"/>
                <w:sz w:val="28"/>
                <w:highlight w:val="none"/>
              </w:rPr>
              <w:t>进入</w:t>
            </w:r>
            <w:r>
              <w:rPr>
                <w:rFonts w:hint="eastAsia" w:ascii="仿宋_GB2312" w:hAnsi="仿宋_GB2312" w:eastAsia="仿宋_GB2312" w:cs="仿宋_GB2312"/>
                <w:i w:val="0"/>
                <w:iCs w:val="0"/>
                <w:color w:val="auto"/>
                <w:sz w:val="28"/>
                <w:highlight w:val="none"/>
                <w:lang w:val="en-US" w:eastAsia="zh-CN"/>
              </w:rPr>
              <w:t>北京</w:t>
            </w:r>
            <w:r>
              <w:rPr>
                <w:rFonts w:hint="eastAsia" w:ascii="仿宋_GB2312" w:hAnsi="仿宋_GB2312" w:eastAsia="仿宋_GB2312" w:cs="仿宋_GB2312"/>
                <w:i w:val="0"/>
                <w:iCs w:val="0"/>
                <w:color w:val="auto"/>
                <w:sz w:val="28"/>
                <w:highlight w:val="none"/>
              </w:rPr>
              <w:t>核心区的快递车辆</w:t>
            </w:r>
            <w:r>
              <w:rPr>
                <w:rFonts w:hint="eastAsia" w:ascii="仿宋_GB2312" w:hAnsi="仿宋_GB2312" w:eastAsia="仿宋_GB2312" w:cs="仿宋_GB2312"/>
                <w:i w:val="0"/>
                <w:iCs w:val="0"/>
                <w:color w:val="auto"/>
                <w:sz w:val="28"/>
                <w:highlight w:val="none"/>
                <w:lang w:val="en-US" w:eastAsia="zh-CN"/>
              </w:rPr>
              <w:t>为新能源车的要求</w:t>
            </w:r>
            <w:r>
              <w:rPr>
                <w:rFonts w:hint="eastAsia" w:ascii="仿宋_GB2312" w:hAnsi="仿宋_GB2312" w:eastAsia="仿宋_GB2312" w:cs="仿宋_GB2312"/>
                <w:i w:val="0"/>
                <w:iCs w:val="0"/>
                <w:color w:val="auto"/>
                <w:sz w:val="28"/>
                <w:highlight w:val="none"/>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中国邮政密云分公司</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rPr>
              <w:t>新增和更新的轻型邮政车（机要通信车辆和郊区邮路盘驳邮政车辆除外）为纯电动或氢燃料电池汽车。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中国邮政密云分公司</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pacing w:line="320" w:lineRule="exact"/>
              <w:ind w:left="11" w:leftChars="0" w:right="0" w:rightChars="0"/>
              <w:jc w:val="center"/>
              <w:textAlignment w:val="auto"/>
              <w:outlineLvl w:val="9"/>
              <w:rPr>
                <w:rFonts w:hint="eastAsia" w:ascii="仿宋_GB2312" w:hAnsi="仿宋_GB2312" w:eastAsia="仿宋_GB2312" w:cs="仿宋_GB2312"/>
                <w:i w:val="0"/>
                <w:iCs w:val="0"/>
                <w:color w:val="auto"/>
                <w:w w:val="100"/>
                <w:sz w:val="28"/>
                <w:highlight w:val="none"/>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区属国有企业基本淘汰国四及以下柴油车（应急抢险、扫雪铲冰车除外）。</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区国资委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4</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加快重点行业车新能源化</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0"/>
                <w:sz w:val="28"/>
                <w:highlight w:val="none"/>
                <w:lang w:val="en-US" w:eastAsia="zh-CN"/>
              </w:rPr>
            </w:pPr>
            <w:r>
              <w:rPr>
                <w:rFonts w:hint="eastAsia" w:ascii="仿宋_GB2312" w:hAnsi="仿宋_GB2312" w:eastAsia="仿宋_GB2312" w:cs="仿宋_GB2312"/>
                <w:i w:val="0"/>
                <w:iCs w:val="0"/>
                <w:color w:val="auto"/>
                <w:spacing w:val="0"/>
                <w:sz w:val="28"/>
                <w:highlight w:val="none"/>
                <w:lang w:val="en-US" w:eastAsia="zh-CN"/>
              </w:rPr>
              <w:t>新增和更新的轻型环卫车</w:t>
            </w:r>
            <w:r>
              <w:rPr>
                <w:rFonts w:hint="eastAsia" w:ascii="仿宋_GB2312" w:hAnsi="仿宋_GB2312" w:eastAsia="仿宋_GB2312" w:cs="仿宋_GB2312"/>
                <w:i w:val="0"/>
                <w:iCs w:val="0"/>
                <w:color w:val="auto"/>
                <w:sz w:val="28"/>
                <w:highlight w:val="none"/>
                <w:lang w:val="en-US" w:eastAsia="zh-CN"/>
              </w:rPr>
              <w:t>（应急抢险、扫雪铲冰车除外）</w:t>
            </w:r>
            <w:r>
              <w:rPr>
                <w:rFonts w:hint="eastAsia" w:ascii="仿宋_GB2312" w:hAnsi="仿宋_GB2312" w:eastAsia="仿宋_GB2312" w:cs="仿宋_GB2312"/>
                <w:i w:val="0"/>
                <w:iCs w:val="0"/>
                <w:color w:val="auto"/>
                <w:spacing w:val="0"/>
                <w:sz w:val="28"/>
                <w:highlight w:val="none"/>
                <w:lang w:val="en-US" w:eastAsia="zh-CN"/>
              </w:rPr>
              <w:t>为纯电动或氢燃料电池汽车，年底前轻型环卫车基本实现新能源化。</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0"/>
                <w:sz w:val="28"/>
                <w:highlight w:val="none"/>
              </w:rPr>
            </w:pPr>
            <w:r>
              <w:rPr>
                <w:rFonts w:hint="eastAsia" w:ascii="仿宋_GB2312" w:hAnsi="仿宋_GB2312" w:eastAsia="仿宋_GB2312" w:cs="仿宋_GB2312"/>
                <w:i w:val="0"/>
                <w:iCs w:val="0"/>
                <w:color w:val="auto"/>
                <w:spacing w:val="0"/>
                <w:sz w:val="28"/>
                <w:highlight w:val="none"/>
                <w:lang w:val="en-US" w:eastAsia="zh-CN"/>
              </w:rPr>
              <w:t>严格落实《环卫设施设备更新工作方案》要求，鼓励对使用8年以上的环卫车更新为纯电动或氢燃料电池汽车。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sz w:val="28"/>
                <w:highlight w:val="none"/>
                <w:lang w:val="en-US" w:eastAsia="zh-CN"/>
              </w:rPr>
            </w:pPr>
            <w:r>
              <w:rPr>
                <w:rFonts w:hint="eastAsia" w:ascii="仿宋_GB2312" w:hAnsi="仿宋_GB2312" w:eastAsia="仿宋_GB2312" w:cs="仿宋_GB2312"/>
                <w:i w:val="0"/>
                <w:iCs w:val="0"/>
                <w:color w:val="auto"/>
                <w:spacing w:val="0"/>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sz w:val="28"/>
                <w:highlight w:val="none"/>
                <w:lang w:val="en-US" w:eastAsia="zh-CN"/>
              </w:rPr>
            </w:pPr>
            <w:r>
              <w:rPr>
                <w:rFonts w:hint="eastAsia" w:ascii="仿宋_GB2312" w:hAnsi="仿宋_GB2312" w:eastAsia="仿宋_GB2312" w:cs="仿宋_GB2312"/>
                <w:i w:val="0"/>
                <w:iCs w:val="0"/>
                <w:color w:val="auto"/>
                <w:spacing w:val="0"/>
                <w:sz w:val="28"/>
                <w:highlight w:val="none"/>
                <w:lang w:val="en-US" w:eastAsia="zh-CN"/>
              </w:rPr>
              <w:t>区城市管理委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sz w:val="28"/>
                <w:highlight w:val="none"/>
                <w:lang w:val="en-US" w:eastAsia="zh-CN"/>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color w:val="auto"/>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0"/>
                <w:sz w:val="28"/>
                <w:highlight w:val="none"/>
                <w:lang w:eastAsia="zh-CN"/>
              </w:rPr>
            </w:pPr>
            <w:r>
              <w:rPr>
                <w:rFonts w:hint="eastAsia" w:ascii="仿宋_GB2312" w:hAnsi="仿宋_GB2312" w:eastAsia="仿宋_GB2312" w:cs="仿宋_GB2312"/>
                <w:i w:val="0"/>
                <w:iCs w:val="0"/>
                <w:color w:val="auto"/>
                <w:spacing w:val="0"/>
                <w:sz w:val="28"/>
                <w:highlight w:val="none"/>
              </w:rPr>
              <w:t>新增和更新的公交车为新能源车</w:t>
            </w:r>
            <w:r>
              <w:rPr>
                <w:rFonts w:hint="eastAsia" w:ascii="仿宋_GB2312" w:hAnsi="仿宋_GB2312" w:eastAsia="仿宋_GB2312" w:cs="仿宋_GB2312"/>
                <w:i w:val="0"/>
                <w:iCs w:val="0"/>
                <w:color w:val="auto"/>
                <w:spacing w:val="0"/>
                <w:sz w:val="28"/>
                <w:highlight w:val="none"/>
                <w:lang w:eastAsia="zh-CN"/>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0"/>
                <w:sz w:val="28"/>
                <w:highlight w:val="none"/>
              </w:rPr>
            </w:pPr>
            <w:r>
              <w:rPr>
                <w:rFonts w:hint="eastAsia" w:ascii="仿宋_GB2312" w:hAnsi="仿宋_GB2312" w:eastAsia="仿宋_GB2312" w:cs="仿宋_GB2312"/>
                <w:i w:val="0"/>
                <w:iCs w:val="0"/>
                <w:color w:val="auto"/>
                <w:spacing w:val="0"/>
                <w:sz w:val="28"/>
                <w:highlight w:val="none"/>
              </w:rPr>
              <w:t>新增和更新的巡游出租车（个体车辆和社会保障车辆除外）为纯电动或氢燃料电池汽车。</w:t>
            </w:r>
            <w:r>
              <w:rPr>
                <w:rFonts w:hint="eastAsia" w:ascii="仿宋_GB2312" w:hAnsi="仿宋_GB2312" w:eastAsia="仿宋_GB2312" w:cs="仿宋_GB2312"/>
                <w:i w:val="0"/>
                <w:iCs w:val="0"/>
                <w:color w:val="auto"/>
                <w:spacing w:val="0"/>
                <w:sz w:val="28"/>
                <w:highlight w:val="none"/>
                <w:lang w:val="en-US" w:eastAsia="zh-CN"/>
              </w:rPr>
              <w:t>按照市级部门要求，鼓励</w:t>
            </w:r>
            <w:r>
              <w:rPr>
                <w:rFonts w:hint="eastAsia" w:ascii="仿宋_GB2312" w:hAnsi="仿宋_GB2312" w:eastAsia="仿宋_GB2312" w:cs="仿宋_GB2312"/>
                <w:i w:val="0"/>
                <w:iCs w:val="0"/>
                <w:color w:val="auto"/>
                <w:sz w:val="28"/>
                <w:highlight w:val="none"/>
              </w:rPr>
              <w:t>新增和更新的网约车为</w:t>
            </w:r>
            <w:r>
              <w:rPr>
                <w:rFonts w:hint="eastAsia" w:ascii="仿宋_GB2312" w:hAnsi="仿宋_GB2312" w:eastAsia="仿宋_GB2312" w:cs="仿宋_GB2312"/>
                <w:i w:val="0"/>
                <w:iCs w:val="0"/>
                <w:color w:val="auto"/>
                <w:sz w:val="28"/>
                <w:highlight w:val="none"/>
                <w:lang w:val="en-US" w:eastAsia="zh-CN"/>
              </w:rPr>
              <w:t>新能源车</w:t>
            </w:r>
            <w:r>
              <w:rPr>
                <w:rFonts w:hint="eastAsia" w:ascii="仿宋_GB2312" w:hAnsi="仿宋_GB2312" w:eastAsia="仿宋_GB2312" w:cs="仿宋_GB2312"/>
                <w:i w:val="0"/>
                <w:iCs w:val="0"/>
                <w:color w:val="auto"/>
                <w:sz w:val="28"/>
                <w:highlight w:val="none"/>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sz w:val="28"/>
                <w:highlight w:val="none"/>
                <w:lang w:val="en-US" w:eastAsia="zh-CN"/>
              </w:rPr>
            </w:pPr>
            <w:r>
              <w:rPr>
                <w:rFonts w:hint="eastAsia" w:ascii="仿宋_GB2312" w:hAnsi="仿宋_GB2312" w:eastAsia="仿宋_GB2312" w:cs="仿宋_GB2312"/>
                <w:i w:val="0"/>
                <w:iCs w:val="0"/>
                <w:color w:val="auto"/>
                <w:spacing w:val="0"/>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sz w:val="28"/>
                <w:highlight w:val="none"/>
                <w:lang w:val="en-US" w:eastAsia="zh-CN"/>
              </w:rPr>
            </w:pPr>
            <w:r>
              <w:rPr>
                <w:rFonts w:hint="eastAsia" w:ascii="仿宋_GB2312" w:hAnsi="仿宋_GB2312" w:eastAsia="仿宋_GB2312" w:cs="仿宋_GB2312"/>
                <w:i w:val="0"/>
                <w:iCs w:val="0"/>
                <w:color w:val="auto"/>
                <w:spacing w:val="0"/>
                <w:sz w:val="28"/>
                <w:highlight w:val="none"/>
                <w:lang w:val="en-US" w:eastAsia="zh-CN"/>
              </w:rPr>
              <w:t>区交通局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sz w:val="28"/>
                <w:highlight w:val="none"/>
                <w:lang w:eastAsia="zh-CN"/>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color w:val="auto"/>
                <w:highlight w:val="none"/>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color w:val="auto"/>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0"/>
                <w:sz w:val="28"/>
                <w:highlight w:val="none"/>
                <w:lang w:val="en-US" w:eastAsia="zh-CN"/>
              </w:rPr>
            </w:pPr>
            <w:r>
              <w:rPr>
                <w:rFonts w:hint="eastAsia" w:ascii="仿宋_GB2312" w:hAnsi="仿宋_GB2312" w:eastAsia="仿宋_GB2312" w:cs="仿宋_GB2312"/>
                <w:i w:val="0"/>
                <w:iCs w:val="0"/>
                <w:color w:val="auto"/>
                <w:spacing w:val="0"/>
                <w:sz w:val="28"/>
                <w:highlight w:val="none"/>
                <w:lang w:val="en-US" w:eastAsia="zh-CN"/>
              </w:rPr>
              <w:t>鼓励新增的包车客运车辆和更新的市内包车客运车辆为纯电动或氢燃料电池汽车。</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0"/>
                <w:sz w:val="28"/>
                <w:highlight w:val="none"/>
                <w:lang w:val="en-US" w:eastAsia="zh-CN"/>
              </w:rPr>
            </w:pPr>
            <w:r>
              <w:rPr>
                <w:rFonts w:hint="eastAsia" w:ascii="仿宋_GB2312" w:hAnsi="仿宋_GB2312" w:eastAsia="仿宋_GB2312" w:cs="仿宋_GB2312"/>
                <w:i w:val="0"/>
                <w:iCs w:val="0"/>
                <w:color w:val="auto"/>
                <w:spacing w:val="0"/>
                <w:sz w:val="28"/>
                <w:highlight w:val="none"/>
                <w:lang w:val="en-US" w:eastAsia="zh-CN"/>
              </w:rPr>
              <w:t>鼓励驾校C2培训车和考试用车为纯电动或氢燃料电池汽车。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sz w:val="28"/>
                <w:highlight w:val="none"/>
                <w:lang w:val="en-US" w:eastAsia="zh-CN"/>
              </w:rPr>
            </w:pPr>
            <w:r>
              <w:rPr>
                <w:rFonts w:hint="eastAsia" w:ascii="仿宋_GB2312" w:hAnsi="仿宋_GB2312" w:eastAsia="仿宋_GB2312" w:cs="仿宋_GB2312"/>
                <w:i w:val="0"/>
                <w:iCs w:val="0"/>
                <w:color w:val="auto"/>
                <w:spacing w:val="0"/>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sz w:val="28"/>
                <w:highlight w:val="none"/>
                <w:lang w:val="en-US" w:eastAsia="zh-CN"/>
              </w:rPr>
            </w:pPr>
            <w:r>
              <w:rPr>
                <w:rFonts w:hint="eastAsia" w:ascii="仿宋_GB2312" w:hAnsi="仿宋_GB2312" w:eastAsia="仿宋_GB2312" w:cs="仿宋_GB2312"/>
                <w:i w:val="0"/>
                <w:iCs w:val="0"/>
                <w:color w:val="auto"/>
                <w:spacing w:val="0"/>
                <w:sz w:val="28"/>
                <w:highlight w:val="none"/>
                <w:lang w:val="en-US" w:eastAsia="zh-CN"/>
              </w:rPr>
              <w:t>区交通局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0"/>
                <w:sz w:val="28"/>
                <w:highlight w:val="none"/>
                <w:lang w:val="en-US" w:eastAsia="zh-CN"/>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jc w:val="both"/>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鼓励</w:t>
            </w:r>
            <w:r>
              <w:rPr>
                <w:rFonts w:hint="eastAsia" w:ascii="仿宋_GB2312" w:hAnsi="仿宋_GB2312" w:eastAsia="仿宋_GB2312" w:cs="仿宋_GB2312"/>
                <w:i w:val="0"/>
                <w:iCs w:val="0"/>
                <w:color w:val="auto"/>
                <w:sz w:val="28"/>
                <w:highlight w:val="none"/>
              </w:rPr>
              <w:t>新增和更新的</w:t>
            </w:r>
            <w:r>
              <w:rPr>
                <w:rFonts w:hint="eastAsia" w:ascii="仿宋_GB2312" w:hAnsi="仿宋_GB2312" w:eastAsia="仿宋_GB2312" w:cs="仿宋_GB2312"/>
                <w:i w:val="0"/>
                <w:iCs w:val="0"/>
                <w:color w:val="auto"/>
                <w:sz w:val="28"/>
                <w:highlight w:val="none"/>
                <w:lang w:val="en-US" w:eastAsia="zh-CN"/>
              </w:rPr>
              <w:t>区</w:t>
            </w:r>
            <w:r>
              <w:rPr>
                <w:rFonts w:hint="eastAsia" w:ascii="仿宋_GB2312" w:hAnsi="仿宋_GB2312" w:eastAsia="仿宋_GB2312" w:cs="仿宋_GB2312"/>
                <w:i w:val="0"/>
                <w:iCs w:val="0"/>
                <w:color w:val="auto"/>
                <w:sz w:val="28"/>
                <w:highlight w:val="none"/>
              </w:rPr>
              <w:t>内旅游客运班线车辆为纯电动或氢燃料电池汽车。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区文化和旅游局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val="en-US" w:eastAsia="zh-CN"/>
              </w:rPr>
              <w:t>区交通局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8"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color w:val="auto"/>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i w:val="0"/>
                <w:iCs w:val="0"/>
                <w:color w:val="auto"/>
                <w:spacing w:val="0"/>
                <w:sz w:val="28"/>
                <w:highlight w:val="none"/>
                <w:lang w:val="en-US" w:eastAsia="en-US"/>
              </w:rPr>
            </w:pPr>
            <w:r>
              <w:rPr>
                <w:rFonts w:hint="eastAsia"/>
                <w:i w:val="0"/>
                <w:iCs w:val="0"/>
                <w:color w:val="auto"/>
                <w:spacing w:val="0"/>
                <w:sz w:val="28"/>
                <w:highlight w:val="none"/>
                <w:lang w:val="en-US" w:eastAsia="en-US"/>
              </w:rPr>
              <w:t>新开工工地优先使用纯电动、氢燃料电池或国六B排放标准的建筑垃圾车辆，基本不使用国四及以下排放标准的车辆。</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i w:val="0"/>
                <w:iCs w:val="0"/>
                <w:color w:val="auto"/>
                <w:spacing w:val="0"/>
                <w:sz w:val="28"/>
                <w:highlight w:val="none"/>
                <w:lang w:val="en-US" w:eastAsia="zh-CN"/>
              </w:rPr>
              <w:t>针对在重要会议和活动期间，未按要求减排的企业和个人，采取计分、约谈等手段，督促企业和个人淘汰更新老旧渣土车。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color w:val="auto"/>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rPr>
            </w:pPr>
            <w:r>
              <w:rPr>
                <w:rFonts w:hint="eastAsia" w:ascii="仿宋_GB2312" w:hAnsi="仿宋_GB2312" w:eastAsia="仿宋_GB2312" w:cs="仿宋_GB2312"/>
                <w:i w:val="0"/>
                <w:iCs w:val="0"/>
                <w:color w:val="auto"/>
                <w:spacing w:val="-3"/>
                <w:sz w:val="28"/>
                <w:szCs w:val="22"/>
                <w:highlight w:val="none"/>
                <w:lang w:val="en-US" w:eastAsia="zh-CN" w:bidi="ar-SA"/>
              </w:rPr>
              <w:t>新增和更新的公务用车（特种专业技术用车和部分不宜配备电动车的公务用车除外）为纯电动或氢燃料电池汽车。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区机关事务管理服务中心</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z w:val="28"/>
                <w:szCs w:val="22"/>
                <w:highlight w:val="none"/>
                <w:lang w:val="en-US" w:eastAsia="zh-CN" w:bidi="ar-SA"/>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5</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rPr>
            </w:pPr>
            <w:r>
              <w:rPr>
                <w:rFonts w:hint="eastAsia" w:ascii="仿宋_GB2312" w:hAnsi="仿宋_GB2312" w:eastAsia="仿宋_GB2312" w:cs="仿宋_GB2312"/>
                <w:i w:val="0"/>
                <w:iCs w:val="0"/>
                <w:color w:val="auto"/>
                <w:sz w:val="28"/>
                <w:highlight w:val="none"/>
              </w:rPr>
              <w:t>推进非道路移动机械清洁化</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rPr>
            </w:pPr>
            <w:r>
              <w:rPr>
                <w:rFonts w:hint="eastAsia" w:ascii="仿宋_GB2312" w:hAnsi="仿宋_GB2312" w:eastAsia="仿宋_GB2312" w:cs="仿宋_GB2312"/>
                <w:i w:val="0"/>
                <w:iCs w:val="0"/>
                <w:color w:val="auto"/>
                <w:spacing w:val="-2"/>
                <w:sz w:val="28"/>
                <w:highlight w:val="none"/>
                <w:lang w:val="en-US" w:eastAsia="zh-CN"/>
              </w:rPr>
              <w:t>严格落实新</w:t>
            </w:r>
            <w:r>
              <w:rPr>
                <w:rFonts w:hint="eastAsia" w:ascii="仿宋_GB2312" w:hAnsi="仿宋_GB2312" w:eastAsia="仿宋_GB2312" w:cs="仿宋_GB2312"/>
                <w:i w:val="0"/>
                <w:iCs w:val="0"/>
                <w:color w:val="auto"/>
                <w:spacing w:val="-2"/>
                <w:sz w:val="28"/>
                <w:highlight w:val="none"/>
              </w:rPr>
              <w:t>修订</w:t>
            </w:r>
            <w:r>
              <w:rPr>
                <w:rFonts w:hint="eastAsia" w:ascii="仿宋_GB2312" w:hAnsi="仿宋_GB2312" w:eastAsia="仿宋_GB2312" w:cs="仿宋_GB2312"/>
                <w:i w:val="0"/>
                <w:iCs w:val="0"/>
                <w:color w:val="auto"/>
                <w:spacing w:val="-2"/>
                <w:sz w:val="28"/>
                <w:highlight w:val="none"/>
                <w:lang w:val="en-US" w:eastAsia="zh-CN"/>
              </w:rPr>
              <w:t>的</w:t>
            </w:r>
            <w:r>
              <w:rPr>
                <w:rFonts w:hint="eastAsia" w:ascii="仿宋_GB2312" w:hAnsi="仿宋_GB2312" w:eastAsia="仿宋_GB2312" w:cs="仿宋_GB2312"/>
                <w:i w:val="0"/>
                <w:iCs w:val="0"/>
                <w:color w:val="auto"/>
                <w:spacing w:val="-2"/>
                <w:sz w:val="28"/>
                <w:highlight w:val="none"/>
              </w:rPr>
              <w:t>禁止使用高排放非道路移动机械区域政策。</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17"/>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区农业农村局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区园林绿化中心</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11"/>
                <w:sz w:val="28"/>
                <w:highlight w:val="none"/>
              </w:rPr>
              <w:t>中关村密云园</w:t>
            </w:r>
            <w:r>
              <w:rPr>
                <w:rFonts w:hint="eastAsia" w:ascii="仿宋_GB2312" w:hAnsi="仿宋_GB2312" w:eastAsia="仿宋_GB2312" w:cs="仿宋_GB2312"/>
                <w:i w:val="0"/>
                <w:iCs w:val="0"/>
                <w:color w:val="auto"/>
                <w:spacing w:val="-11"/>
                <w:sz w:val="28"/>
                <w:highlight w:val="none"/>
                <w:lang w:val="en-US" w:eastAsia="zh-CN"/>
              </w:rPr>
              <w:t>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配合市级部门，研究将机械新能源化要求纳入《预拌混凝土绿色生产管理规程》《北京市沥青混合料搅拌站绿色生产技术指南》《汽车维修业污染防治技术规范》。</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区城市管理委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配合市级部门，梳理形成新能源机械产品清单，及时向各相关部门提供，畅通新能源机械产品供给端与使用端对接交流渠道。将企业更新购置新能源机械纳入绿色低碳发展资金奖励的范畴。</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区经济和信息化局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配合市级部门，支持生产企业回收老旧机械，或采用以旧换新等方式，加快老旧机械淘汰更新。</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长期实施</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区经济和信息化局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5</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rPr>
            </w:pPr>
            <w:r>
              <w:rPr>
                <w:rFonts w:hint="eastAsia" w:ascii="仿宋_GB2312" w:hAnsi="仿宋_GB2312" w:eastAsia="仿宋_GB2312" w:cs="仿宋_GB2312"/>
                <w:i w:val="0"/>
                <w:iCs w:val="0"/>
                <w:color w:val="auto"/>
                <w:sz w:val="28"/>
                <w:highlight w:val="none"/>
              </w:rPr>
              <w:t>推进非道路移动机械清洁化</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配合市级部门，落实支持新能源机械购置信贷的相关政策和宣传推广相关信贷产品，助力提高新能源机械购置贷款发放比例和对燃油机械置换为新能源机械给予更高优惠比例。</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区发展改革委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2"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住房城乡建设、城市管理、园林绿化、水务、交通、农业农村、经济和信息化等部门、</w:t>
            </w:r>
            <w:r>
              <w:rPr>
                <w:rFonts w:hint="eastAsia" w:ascii="仿宋_GB2312" w:hAnsi="仿宋_GB2312" w:eastAsia="仿宋_GB2312" w:cs="仿宋_GB2312"/>
                <w:i w:val="0"/>
                <w:iCs w:val="0"/>
                <w:color w:val="auto"/>
                <w:spacing w:val="-3"/>
                <w:sz w:val="28"/>
                <w:highlight w:val="none"/>
                <w:lang w:val="en-US" w:eastAsia="zh-CN"/>
              </w:rPr>
              <w:t>各镇街（地区）</w:t>
            </w:r>
            <w:r>
              <w:rPr>
                <w:rFonts w:hint="eastAsia" w:ascii="仿宋_GB2312" w:hAnsi="仿宋_GB2312" w:eastAsia="仿宋_GB2312" w:cs="仿宋_GB2312"/>
                <w:i w:val="0"/>
                <w:iCs w:val="0"/>
                <w:color w:val="auto"/>
                <w:spacing w:val="-2"/>
                <w:sz w:val="28"/>
                <w:highlight w:val="none"/>
                <w:lang w:val="en-US" w:eastAsia="zh-CN"/>
              </w:rPr>
              <w:t>加快推动本行业、本辖区国二及以下（含编码登记为X阶段）排放标准的非道路移动机械淘汰。大力推动挖掘机、装载机、叉车、升降平台等四类重点机械新能源化，2025年新登记挖掘机、装载机、叉车、升降平台的新能源化率达到50%以上。</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区农业农村局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区园林绿化中心</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val="en-US" w:eastAsia="zh-CN"/>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住房城乡建设部门按照修订的建设工程施工现场扬尘治理工地管理办法，将挖掘机、装载机、叉车、升降平台等机械新能源化要求纳入工地管理内容，交通、水务、园林绿化、城市管理等施工行业主管部门积极参照实施。</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区住房城乡建设委</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区农业农村局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5</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rPr>
            </w:pPr>
            <w:r>
              <w:rPr>
                <w:rFonts w:hint="eastAsia" w:ascii="仿宋_GB2312" w:hAnsi="仿宋_GB2312" w:eastAsia="仿宋_GB2312" w:cs="仿宋_GB2312"/>
                <w:i w:val="0"/>
                <w:iCs w:val="0"/>
                <w:color w:val="auto"/>
                <w:sz w:val="28"/>
                <w:highlight w:val="none"/>
              </w:rPr>
              <w:t>推进非道路移动机械清洁化</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强化密闭空间施工机械新能源化的要求，地下封闭区域工程、基坑气膜施工工地优先使用新能源机械。落实建设工程绿色技术规范或指导意见，工地内升降平台、叉车全面实现新能源化，2吨及以下装载机、6吨及以下挖掘机新能源化比率逐年提高。</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区农业农村局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中关村密云园管委会</w:t>
            </w:r>
          </w:p>
        </w:tc>
        <w:tc>
          <w:tcPr>
            <w:tcW w:w="200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按照市级部门统一要求，住房城乡建设部门依法将使用未经信息编码登记或者不符合排放标准的非道路移动机械的建设单位或者施工单位，记入信用信息记录，并开展行业督导。</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住房城乡建设、城市管理、园林绿化、水务、交通等部门组织施工单位对进出工程施工现场的非道路移动机械在“京环保”小程序上进行进出场登记。</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p>
        </w:tc>
        <w:tc>
          <w:tcPr>
            <w:tcW w:w="200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46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6</w:t>
            </w:r>
          </w:p>
        </w:tc>
        <w:tc>
          <w:tcPr>
            <w:tcW w:w="945"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rPr>
            </w:pPr>
            <w:r>
              <w:rPr>
                <w:rFonts w:hint="eastAsia" w:ascii="仿宋_GB2312" w:hAnsi="仿宋_GB2312" w:eastAsia="仿宋_GB2312" w:cs="仿宋_GB2312"/>
                <w:i w:val="0"/>
                <w:iCs w:val="0"/>
                <w:color w:val="auto"/>
                <w:spacing w:val="-2"/>
                <w:sz w:val="28"/>
                <w:highlight w:val="none"/>
              </w:rPr>
              <w:t>优化车（械）能源补给</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组织实施《“十四五”时期北京市新能源汽车充换电设施发展规划》和《北京市氢燃料电池汽车车用加氢站发展规划（2021-2025年）》等，加快推进充电基础设施和加氢基础设施建设。推动电动汽车充电设施网络和服务体系建设，鼓励将停车位及充电设施电气化改造与老旧小区改造同步实施，鼓励单位内部和居民区充电设施对外开放。年底前实现平原地区公共充电设施平均服务半径小于3公里，平原地区换电站平均服务半径小于5公里。</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区城市管理委</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pacing w:val="-17"/>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市规划自然资源委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密云分局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区住房城乡建设委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3"/>
                <w:sz w:val="28"/>
                <w:highlight w:val="none"/>
                <w:lang w:val="en-US"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46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6</w:t>
            </w:r>
          </w:p>
        </w:tc>
        <w:tc>
          <w:tcPr>
            <w:tcW w:w="945"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rPr>
            </w:pPr>
            <w:r>
              <w:rPr>
                <w:rFonts w:hint="eastAsia" w:ascii="仿宋_GB2312" w:hAnsi="仿宋_GB2312" w:eastAsia="仿宋_GB2312" w:cs="仿宋_GB2312"/>
                <w:i w:val="0"/>
                <w:iCs w:val="0"/>
                <w:color w:val="auto"/>
                <w:spacing w:val="-2"/>
                <w:sz w:val="28"/>
                <w:highlight w:val="none"/>
              </w:rPr>
              <w:t>优化车（械）能源补给</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协调国网密云供电公司依规协助建设单位做好施工工地电动机械用电增容报装工作，满足电动机械使用场景电力供给；对于现有场站内（如消纳场、混凝土搅拌站等）新增电动机械的用电增容需求，电力部门予以研究保障。</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区城市管理委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7"/>
                <w:sz w:val="28"/>
                <w:highlight w:val="none"/>
                <w:lang w:val="en-US" w:eastAsia="zh-CN"/>
              </w:rPr>
              <w:t>国网密云供电公司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7</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rPr>
            </w:pPr>
            <w:r>
              <w:rPr>
                <w:rFonts w:hint="eastAsia" w:ascii="仿宋_GB2312" w:hAnsi="仿宋_GB2312" w:eastAsia="仿宋_GB2312" w:cs="仿宋_GB2312"/>
                <w:i w:val="0"/>
                <w:iCs w:val="0"/>
                <w:color w:val="auto"/>
                <w:spacing w:val="-2"/>
                <w:sz w:val="28"/>
                <w:highlight w:val="none"/>
              </w:rPr>
              <w:t>严格在用车（械）管理</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交通、公安交管、生态环境部门每年在进京路口和市内主要道路重型柴油车和重型燃气车人工检查完成市级任务目标，严格查处逾期未按照规定进行维修并复检合格前驾驶机动车上道路行驶的违法行为。</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区公安分局交通支队</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结合辖区机械登记台账，聚焦国二及以下标准机械进行执法检测，同时加大国三及以上标准机械的检查力度。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8</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rPr>
            </w:pPr>
            <w:r>
              <w:rPr>
                <w:rFonts w:hint="eastAsia" w:ascii="仿宋_GB2312" w:hAnsi="仿宋_GB2312" w:eastAsia="仿宋_GB2312" w:cs="仿宋_GB2312"/>
                <w:i w:val="0"/>
                <w:iCs w:val="0"/>
                <w:color w:val="auto"/>
                <w:spacing w:val="-2"/>
                <w:sz w:val="28"/>
                <w:highlight w:val="none"/>
              </w:rPr>
              <w:t>加强油气油品监管</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配合市级部门，对生产、销售环节的车用油品、氮氧化物还原剂、车用油品清净剂等产品质量开展监督抽查，加强实际使用环节柴油抽检。</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区市场监管局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坚决打击非标油，全面清理整顿无证无照或证照不全的自建油罐、流动加油车和黑加油站点。</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区公安分局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督促加油站和储油库在6-9月错峰装卸油，引导加油站出台鼓励夜间加油的措施。区生态环境局牵头加强储油库、油罐车、加油站油气排放执法检查。</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pacing w:val="-1"/>
                <w:sz w:val="28"/>
                <w:highlight w:val="none"/>
              </w:rPr>
            </w:pPr>
            <w:r>
              <w:rPr>
                <w:rFonts w:hint="eastAsia" w:ascii="仿宋_GB2312" w:hAnsi="仿宋_GB2312" w:eastAsia="仿宋_GB2312" w:cs="仿宋_GB2312"/>
                <w:i w:val="0"/>
                <w:iCs w:val="0"/>
                <w:color w:val="auto"/>
                <w:spacing w:val="-1"/>
                <w:sz w:val="28"/>
                <w:highlight w:val="none"/>
              </w:rPr>
              <w:t>区商务局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5"/>
                <w:sz w:val="28"/>
                <w:highlight w:val="none"/>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区城管委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9</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rPr>
            </w:pPr>
            <w:r>
              <w:rPr>
                <w:rFonts w:hint="eastAsia" w:ascii="仿宋_GB2312" w:hAnsi="仿宋_GB2312" w:eastAsia="仿宋_GB2312" w:cs="仿宋_GB2312"/>
                <w:i w:val="0"/>
                <w:iCs w:val="0"/>
                <w:color w:val="auto"/>
                <w:spacing w:val="-2"/>
                <w:sz w:val="28"/>
                <w:highlight w:val="none"/>
              </w:rPr>
              <w:t>持续优化调整运输结构</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配合市级部门，研究制定本市运输结构调整推进工作方案。</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区经济和信息化局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按照市级部门统一部署，支持铁路货运场站依法依规有序开展物流服务经营活动。</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区交通局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区发展改革委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pacing w:val="-17"/>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市规划自然资源委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密云分局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pacing w:val="-2"/>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混凝土搅拌站进一步提高砂石料、水泥、粉煤灰等进料和商砼等产品的铁路、纯电动、氢能源电池汽车运输比例。鼓励搅拌站经营者使用纯电动或氢能源搅拌罐车运输混凝土。</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rightChars="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2"/>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hanging="3" w:firstLineChars="0"/>
              <w:jc w:val="center"/>
              <w:textAlignment w:val="auto"/>
              <w:outlineLvl w:val="9"/>
              <w:rPr>
                <w:rFonts w:hint="eastAsia" w:ascii="仿宋_GB2312" w:hAnsi="仿宋_GB2312" w:eastAsia="仿宋_GB2312" w:cs="仿宋_GB2312"/>
                <w:i w:val="0"/>
                <w:iCs w:val="0"/>
                <w:color w:val="auto"/>
                <w:spacing w:val="-3"/>
                <w:sz w:val="28"/>
                <w:highlight w:val="none"/>
                <w:lang w:val="en-US" w:eastAsia="zh-CN"/>
              </w:rPr>
            </w:pPr>
            <w:r>
              <w:rPr>
                <w:rFonts w:hint="eastAsia" w:ascii="仿宋_GB2312" w:hAnsi="仿宋_GB2312" w:eastAsia="仿宋_GB2312" w:cs="仿宋_GB2312"/>
                <w:i w:val="0"/>
                <w:iCs w:val="0"/>
                <w:color w:val="auto"/>
                <w:spacing w:val="-3"/>
                <w:sz w:val="28"/>
                <w:highlight w:val="none"/>
                <w:lang w:val="en-US" w:eastAsia="zh-CN"/>
              </w:rPr>
              <w:t>区住房城乡建设委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940" w:type="dxa"/>
            <w:gridSpan w:val="7"/>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rFonts w:hint="eastAsia" w:ascii="黑体" w:eastAsia="黑体"/>
                <w:i w:val="0"/>
                <w:iCs w:val="0"/>
                <w:color w:val="auto"/>
                <w:sz w:val="28"/>
                <w:highlight w:val="none"/>
              </w:rPr>
              <w:t>三、以企业含绿量提升为主线，推动工程减排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10</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both"/>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推动企业“含绿量”提升</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jc w:val="left"/>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推进重点行业企业绿色升级，以企业“含绿量”提升发展“含金量”。结合实际开展绿色挖潜，力争2025年绿色企业比率平均不低于</w:t>
            </w:r>
            <w:r>
              <w:rPr>
                <w:rFonts w:hint="eastAsia" w:ascii="仿宋_GB2312" w:hAnsi="仿宋_GB2312" w:eastAsia="仿宋_GB2312" w:cs="仿宋_GB2312"/>
                <w:i w:val="0"/>
                <w:iCs w:val="0"/>
                <w:color w:val="auto"/>
                <w:sz w:val="28"/>
                <w:highlight w:val="none"/>
                <w:lang w:val="en-US" w:eastAsia="zh-CN"/>
              </w:rPr>
              <w:t>30</w:t>
            </w:r>
            <w:r>
              <w:rPr>
                <w:rFonts w:hint="eastAsia" w:ascii="仿宋_GB2312" w:hAnsi="仿宋_GB2312" w:eastAsia="仿宋_GB2312" w:cs="仿宋_GB2312"/>
                <w:i w:val="0"/>
                <w:iCs w:val="0"/>
                <w:color w:val="auto"/>
                <w:sz w:val="28"/>
                <w:highlight w:val="none"/>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区住房城乡建设委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jc w:val="left"/>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pacing w:val="-5"/>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开展清洁生产审核和技改升级，推进节能、降耗、减污、增效。深入实施强制性清洁生产审核下沉管理，按照全市统一部署全面承担强制性清洁生产审核单位名单制定和评估、技改、验收等工作。在完成VOCs年排放量1吨以上重点企业按周期实施清洁生产审核的基础上，结合区域特点和管理需求依法确定审核范围。</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highlight w:val="none"/>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发展改革委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20"/>
                <w:w w:val="95"/>
                <w:sz w:val="28"/>
                <w:highlight w:val="none"/>
                <w:lang w:val="en-US" w:eastAsia="zh-CN"/>
              </w:rPr>
            </w:pPr>
            <w:r>
              <w:rPr>
                <w:rFonts w:hint="eastAsia" w:ascii="仿宋_GB2312" w:hAnsi="仿宋_GB2312" w:eastAsia="仿宋_GB2312"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经济和信息化局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jc w:val="left"/>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组织企业开展环保技改升级，实施重点行业“一厂一策”精细化治理。开展锅炉使用单位环保绩效分级管理，组织锅炉使用单位进行环保绩效评级和提级改造，力争年底前B级及以上锅炉使用单位达到12家以上。</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20"/>
                <w:w w:val="95"/>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区经济和信息化局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jc w:val="left"/>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积极推进企业和项目绿色绩效评价。推进重点区加强汽车、电子、医药行业创绿先行先试。建立完善绿色企业和绿色项目库。</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20"/>
                <w:w w:val="95"/>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20"/>
                <w:w w:val="95"/>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区经济和信息化局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jc w:val="left"/>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全面推行绿色制造，鼓励汽车制造、生物医药、电子等重点行业企业开展绿色诊断服务。年底前累计创建国家级、北京市级绿色工厂2家，疏解退出一般制造业企业3家，提质升级3家。</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20"/>
                <w:w w:val="95"/>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区经济和信息化局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46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10</w:t>
            </w:r>
          </w:p>
        </w:tc>
        <w:tc>
          <w:tcPr>
            <w:tcW w:w="945"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jc w:val="left"/>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推动企业“含绿量”提升</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对标空气重污染应急环保绩效评级要求，督促重点行业企业实施治理改造、管理升级等，年底前，市级以上产业园区内规模以上企业环保绩效D级企业基本清零。推动园区外D级企业提质升级。提高A（绩效引领）、B级企业占比达到15%左右。</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20"/>
                <w:w w:val="95"/>
                <w:sz w:val="28"/>
                <w:highlight w:val="none"/>
                <w:lang w:val="en-US" w:eastAsia="zh-CN"/>
              </w:rPr>
            </w:pPr>
            <w:r>
              <w:rPr>
                <w:rFonts w:hint="eastAsia" w:ascii="仿宋_GB2312" w:hAnsi="仿宋_GB2312" w:eastAsia="仿宋_GB2312" w:cs="仿宋_GB2312"/>
                <w:i w:val="0"/>
                <w:iCs w:val="0"/>
                <w:color w:val="auto"/>
                <w:spacing w:val="-20"/>
                <w:w w:val="95"/>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20"/>
                <w:w w:val="95"/>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20"/>
                <w:w w:val="95"/>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区委宣传部</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20"/>
                <w:w w:val="95"/>
                <w:sz w:val="28"/>
                <w:highlight w:val="none"/>
                <w:lang w:val="en-US" w:eastAsia="zh-CN"/>
              </w:rPr>
            </w:pPr>
            <w:r>
              <w:rPr>
                <w:rFonts w:hint="eastAsia" w:ascii="仿宋_GB2312" w:hAnsi="仿宋_GB2312" w:eastAsia="仿宋_GB2312" w:cs="仿宋_GB2312"/>
                <w:i w:val="0"/>
                <w:iCs w:val="0"/>
                <w:color w:val="auto"/>
                <w:spacing w:val="-20"/>
                <w:w w:val="95"/>
                <w:sz w:val="28"/>
                <w:highlight w:val="none"/>
                <w:lang w:val="en-US" w:eastAsia="zh-CN"/>
              </w:rPr>
              <w:t>区空气重污染应急指挥部成员单位</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11</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推广使用低VOCs含量产品</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rPr>
              <w:t>工业企业涂装工序应使用符合国家和本市标准的低VOCs含量涂料，推广使用水基、本体型等低VOCs含量胶粘剂</w:t>
            </w:r>
            <w:r>
              <w:rPr>
                <w:rFonts w:hint="eastAsia" w:ascii="仿宋_GB2312" w:hAnsi="仿宋_GB2312" w:eastAsia="仿宋_GB2312" w:cs="仿宋_GB2312"/>
                <w:i w:val="0"/>
                <w:iCs w:val="0"/>
                <w:color w:val="auto"/>
                <w:sz w:val="28"/>
                <w:highlight w:val="none"/>
                <w:lang w:eastAsia="zh-CN"/>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right="0"/>
              <w:jc w:val="both"/>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rPr>
              <w:t>建筑施工、室外构筑物防护和道路交通标识等其他涂装作业推广使用水性、高固体分、无溶剂、粉末等涂料和水基、本体型等低VOCs含量胶粘剂</w:t>
            </w:r>
            <w:r>
              <w:rPr>
                <w:rFonts w:hint="eastAsia" w:ascii="仿宋_GB2312" w:hAnsi="仿宋_GB2312" w:eastAsia="仿宋_GB2312" w:cs="仿宋_GB2312"/>
                <w:i w:val="0"/>
                <w:iCs w:val="0"/>
                <w:color w:val="auto"/>
                <w:sz w:val="28"/>
                <w:highlight w:val="none"/>
                <w:lang w:eastAsia="zh-CN"/>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市交通委密云公路分局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leftChars="0" w:right="0" w:rightChars="0"/>
              <w:jc w:val="center"/>
              <w:textAlignment w:val="auto"/>
              <w:outlineLvl w:val="9"/>
              <w:rPr>
                <w:rFonts w:hint="eastAsia" w:ascii="仿宋_GB2312" w:hAnsi="仿宋_GB2312" w:eastAsia="仿宋_GB2312" w:cs="仿宋_GB2312"/>
                <w:i w:val="0"/>
                <w:iCs w:val="0"/>
                <w:color w:val="auto"/>
                <w:w w:val="100"/>
                <w:sz w:val="28"/>
                <w:highlight w:val="none"/>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leftChars="0" w:right="0" w:rightChars="0"/>
              <w:jc w:val="left"/>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right="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印刷行</w:t>
            </w:r>
            <w:r>
              <w:rPr>
                <w:rFonts w:hint="eastAsia" w:ascii="仿宋_GB2312" w:hAnsi="仿宋_GB2312" w:eastAsia="仿宋_GB2312" w:cs="仿宋_GB2312"/>
                <w:i w:val="0"/>
                <w:iCs w:val="0"/>
                <w:color w:val="auto"/>
                <w:sz w:val="28"/>
                <w:highlight w:val="none"/>
                <w:lang w:val="en-US" w:eastAsia="zh-CN"/>
              </w:rPr>
              <w:t>业</w:t>
            </w:r>
            <w:r>
              <w:rPr>
                <w:rFonts w:hint="eastAsia" w:ascii="仿宋_GB2312" w:hAnsi="仿宋_GB2312" w:eastAsia="仿宋_GB2312" w:cs="仿宋_GB2312"/>
                <w:i w:val="0"/>
                <w:iCs w:val="0"/>
                <w:color w:val="auto"/>
                <w:sz w:val="28"/>
                <w:highlight w:val="none"/>
              </w:rPr>
              <w:t>全面推进低VOCs产品使用和替代，确保含VOCs原辅材料的VOCs含量满足本市标准要求。</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区委宣传部</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区经济和信息化局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rPr>
              <w:t>政府采购项目在同等条件下应优先使用低VOCs含量产品</w:t>
            </w:r>
            <w:r>
              <w:rPr>
                <w:rFonts w:hint="eastAsia" w:ascii="仿宋_GB2312" w:hAnsi="仿宋_GB2312" w:eastAsia="仿宋_GB2312" w:cs="仿宋_GB2312"/>
                <w:i w:val="0"/>
                <w:iCs w:val="0"/>
                <w:color w:val="auto"/>
                <w:sz w:val="28"/>
                <w:highlight w:val="none"/>
                <w:lang w:eastAsia="zh-CN"/>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区财政局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各相关单位</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jc w:val="both"/>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严格控制生产和使用高VOCs含量涂料、油墨、胶粘剂、清洗剂等建设项目。</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区发展改革委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20"/>
                <w:w w:val="95"/>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区经济和信息化局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11</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8" w:leftChars="0" w:right="0" w:rightChars="0" w:hanging="8" w:firstLineChars="0"/>
              <w:jc w:val="center"/>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i w:val="0"/>
                <w:iCs w:val="0"/>
                <w:color w:val="auto"/>
                <w:sz w:val="28"/>
                <w:highlight w:val="none"/>
              </w:rPr>
              <w:t>推广使用低VOCs含量产品</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配合市级部门，对生产、销售环节涂料、胶粘剂、清洗剂等含VOCs产品开展抽检，加大对防水、地坪、防腐、防火等涂料，及密封胶等胶粘剂产品的抽检力度。VOCs含量查处结果向住房城乡建设、城市管理、交通、生态环境等部门通报，抽检不合格的产品及时向社会公示。</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区市场监管局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3"/>
              <w:keepNext w:val="0"/>
              <w:keepLines w:val="0"/>
              <w:pageBreakBefore w:val="0"/>
              <w:widowControl w:val="0"/>
              <w:kinsoku/>
              <w:wordWrap/>
              <w:overflowPunct/>
              <w:topLinePunct w:val="0"/>
              <w:autoSpaceDE w:val="0"/>
              <w:autoSpaceDN/>
              <w:bidi w:val="0"/>
              <w:adjustRightInd/>
              <w:snapToGrid/>
              <w:spacing w:line="320" w:lineRule="exact"/>
              <w:ind w:left="108" w:leftChars="0" w:right="0" w:rightChars="0"/>
              <w:textAlignment w:val="auto"/>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住房城乡建设、城市管理、交通等行业主管部门组织对建筑类涂料与胶粘剂台账、检测报告等材料开展定期检查，并按照不低于15%的比例对施工工地开展抽检，检查和抽检结果按季度通报区生态环境局，对发现的含VOCs原辅材料检测超标线索移交市场监管部门。</w:t>
            </w:r>
          </w:p>
        </w:tc>
        <w:tc>
          <w:tcPr>
            <w:tcW w:w="1229" w:type="dxa"/>
            <w:vAlign w:val="center"/>
          </w:tcPr>
          <w:p>
            <w:pPr>
              <w:keepNext w:val="0"/>
              <w:keepLines w:val="0"/>
              <w:pageBreakBefore w:val="0"/>
              <w:widowControl w:val="0"/>
              <w:kinsoku/>
              <w:wordWrap/>
              <w:overflowPunct/>
              <w:topLinePunct w:val="0"/>
              <w:autoSpaceDE w:val="0"/>
              <w:autoSpaceDN/>
              <w:bidi w:val="0"/>
              <w:adjustRightInd/>
              <w:snapToGrid/>
              <w:spacing w:line="320" w:lineRule="exact"/>
              <w:ind w:left="0" w:leftChars="0" w:right="0" w:rightChars="0"/>
              <w:jc w:val="center"/>
              <w:textAlignment w:val="auto"/>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区水务局</w:t>
            </w:r>
          </w:p>
        </w:tc>
        <w:tc>
          <w:tcPr>
            <w:tcW w:w="2004" w:type="dxa"/>
            <w:vAlign w:val="center"/>
          </w:tcPr>
          <w:p>
            <w:pPr>
              <w:pStyle w:val="3"/>
              <w:keepNext w:val="0"/>
              <w:keepLines w:val="0"/>
              <w:pageBreakBefore w:val="0"/>
              <w:widowControl w:val="0"/>
              <w:kinsoku/>
              <w:wordWrap/>
              <w:overflowPunct/>
              <w:topLinePunct w:val="0"/>
              <w:autoSpaceDE w:val="0"/>
              <w:autoSpaceDN/>
              <w:bidi w:val="0"/>
              <w:adjustRightInd/>
              <w:snapToGrid/>
              <w:spacing w:line="320" w:lineRule="exact"/>
              <w:ind w:left="0" w:leftChars="0" w:right="0" w:rightChars="0"/>
              <w:jc w:val="center"/>
              <w:textAlignment w:val="auto"/>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12</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深化重点行业治理</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围绕医药制造、工业涂装、印刷、汽车制造及电子等重点行业，对照相关行业排放标准及无组织排放控制要求，常态化组织开展排查整治，提升治理设施“三率”（VOCs废气收集率、治理设施同步运行率和去除率）。</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配合市级部门，</w:t>
            </w:r>
            <w:r>
              <w:rPr>
                <w:rFonts w:hint="eastAsia" w:ascii="仿宋_GB2312" w:hAnsi="仿宋_GB2312" w:eastAsia="仿宋_GB2312" w:cs="仿宋_GB2312"/>
                <w:i w:val="0"/>
                <w:iCs w:val="0"/>
                <w:color w:val="auto"/>
                <w:sz w:val="28"/>
                <w:highlight w:val="none"/>
              </w:rPr>
              <w:t>开展印刷行业低VOCs物料源头替代情形下末端治理设施适应性研究。</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组织实施本市《汽车维修业大气污染物排放标准》，加强汽修企业</w:t>
            </w:r>
            <w:r>
              <w:rPr>
                <w:rFonts w:hint="eastAsia" w:ascii="仿宋_GB2312" w:hAnsi="仿宋_GB2312" w:eastAsia="仿宋_GB2312" w:cs="仿宋_GB2312"/>
                <w:i w:val="0"/>
                <w:iCs w:val="0"/>
                <w:color w:val="auto"/>
                <w:sz w:val="28"/>
                <w:highlight w:val="none"/>
                <w:lang w:val="en-US" w:eastAsia="zh-CN"/>
              </w:rPr>
              <w:t>污染物排放</w:t>
            </w:r>
            <w:r>
              <w:rPr>
                <w:rFonts w:hint="eastAsia" w:ascii="仿宋_GB2312" w:hAnsi="仿宋_GB2312" w:eastAsia="仿宋_GB2312" w:cs="仿宋_GB2312"/>
                <w:i w:val="0"/>
                <w:iCs w:val="0"/>
                <w:color w:val="auto"/>
                <w:sz w:val="28"/>
                <w:highlight w:val="none"/>
              </w:rPr>
              <w:t>监管。</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12</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深化重点行业治理</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rPr>
              <w:t>加强汽修企业全环节监管</w:t>
            </w:r>
            <w:r>
              <w:rPr>
                <w:rFonts w:hint="eastAsia" w:ascii="仿宋_GB2312" w:hAnsi="仿宋_GB2312" w:eastAsia="仿宋_GB2312" w:cs="仿宋_GB2312"/>
                <w:i w:val="0"/>
                <w:iCs w:val="0"/>
                <w:color w:val="auto"/>
                <w:sz w:val="28"/>
                <w:highlight w:val="none"/>
                <w:lang w:eastAsia="zh-CN"/>
              </w:rPr>
              <w:t>，</w:t>
            </w:r>
            <w:r>
              <w:rPr>
                <w:rFonts w:hint="eastAsia" w:ascii="仿宋_GB2312" w:hAnsi="仿宋_GB2312" w:eastAsia="仿宋_GB2312" w:cs="仿宋_GB2312"/>
                <w:i w:val="0"/>
                <w:iCs w:val="0"/>
                <w:color w:val="auto"/>
                <w:sz w:val="28"/>
                <w:highlight w:val="none"/>
              </w:rPr>
              <w:t>加快推进汽修行业创绿升级，绿色企业比率力争达到</w:t>
            </w:r>
            <w:r>
              <w:rPr>
                <w:rFonts w:hint="eastAsia" w:ascii="仿宋_GB2312" w:hAnsi="仿宋_GB2312" w:eastAsia="仿宋_GB2312" w:cs="仿宋_GB2312"/>
                <w:i w:val="0"/>
                <w:iCs w:val="0"/>
                <w:color w:val="auto"/>
                <w:sz w:val="28"/>
                <w:highlight w:val="none"/>
                <w:lang w:val="en-US" w:eastAsia="zh-CN"/>
              </w:rPr>
              <w:t>3</w:t>
            </w:r>
            <w:r>
              <w:rPr>
                <w:rFonts w:hint="eastAsia" w:ascii="仿宋_GB2312" w:hAnsi="仿宋_GB2312" w:eastAsia="仿宋_GB2312" w:cs="仿宋_GB2312"/>
                <w:i w:val="0"/>
                <w:iCs w:val="0"/>
                <w:color w:val="auto"/>
                <w:sz w:val="28"/>
                <w:highlight w:val="none"/>
              </w:rPr>
              <w:t>0%</w:t>
            </w:r>
            <w:r>
              <w:rPr>
                <w:rFonts w:hint="eastAsia" w:ascii="仿宋_GB2312" w:hAnsi="仿宋_GB2312" w:eastAsia="仿宋_GB2312" w:cs="仿宋_GB2312"/>
                <w:i w:val="0"/>
                <w:iCs w:val="0"/>
                <w:color w:val="auto"/>
                <w:sz w:val="28"/>
                <w:highlight w:val="none"/>
                <w:lang w:val="en-US" w:eastAsia="zh-CN"/>
              </w:rPr>
              <w:t>左右</w:t>
            </w:r>
            <w:r>
              <w:rPr>
                <w:rFonts w:hint="eastAsia" w:ascii="仿宋_GB2312" w:hAnsi="仿宋_GB2312" w:eastAsia="仿宋_GB2312" w:cs="仿宋_GB2312"/>
                <w:i w:val="0"/>
                <w:iCs w:val="0"/>
                <w:color w:val="auto"/>
                <w:sz w:val="28"/>
                <w:highlight w:val="none"/>
                <w:lang w:eastAsia="zh-CN"/>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区交通局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配合市级部门，</w:t>
            </w:r>
            <w:r>
              <w:rPr>
                <w:rFonts w:hint="eastAsia" w:ascii="仿宋_GB2312" w:hAnsi="仿宋_GB2312" w:eastAsia="仿宋_GB2312" w:cs="仿宋_GB2312"/>
                <w:i w:val="0"/>
                <w:iCs w:val="0"/>
                <w:color w:val="auto"/>
                <w:sz w:val="28"/>
                <w:highlight w:val="none"/>
              </w:rPr>
              <w:t>推进《北京市沥青混合料搅拌站绿色生产技术指南》升级为地方标准</w:t>
            </w:r>
            <w:r>
              <w:rPr>
                <w:rFonts w:hint="eastAsia" w:ascii="仿宋_GB2312" w:hAnsi="仿宋_GB2312" w:eastAsia="仿宋_GB2312" w:cs="仿宋_GB2312"/>
                <w:i w:val="0"/>
                <w:iCs w:val="0"/>
                <w:color w:val="auto"/>
                <w:sz w:val="28"/>
                <w:highlight w:val="none"/>
                <w:lang w:eastAsia="zh-CN"/>
              </w:rPr>
              <w:t>。</w:t>
            </w:r>
            <w:r>
              <w:rPr>
                <w:rFonts w:hint="eastAsia" w:ascii="仿宋_GB2312" w:hAnsi="仿宋_GB2312" w:eastAsia="仿宋_GB2312" w:cs="仿宋_GB2312"/>
                <w:i w:val="0"/>
                <w:iCs w:val="0"/>
                <w:color w:val="auto"/>
                <w:sz w:val="28"/>
                <w:highlight w:val="none"/>
              </w:rPr>
              <w:t>结合新一轮绿色评级工作，组织开展一轮治理提升。在项目设计、审核、施工等环节推广使用温拌沥青，市属、区属公路和城市道路新建、养护项目</w:t>
            </w:r>
            <w:r>
              <w:rPr>
                <w:rFonts w:hint="eastAsia" w:ascii="仿宋_GB2312" w:hAnsi="仿宋_GB2312" w:eastAsia="仿宋_GB2312" w:cs="仿宋_GB2312"/>
                <w:i w:val="0"/>
                <w:iCs w:val="0"/>
                <w:color w:val="auto"/>
                <w:sz w:val="28"/>
                <w:highlight w:val="none"/>
                <w:lang w:val="en-US" w:eastAsia="zh-CN"/>
              </w:rPr>
              <w:t>基本</w:t>
            </w:r>
            <w:r>
              <w:rPr>
                <w:rFonts w:hint="eastAsia" w:ascii="仿宋_GB2312" w:hAnsi="仿宋_GB2312" w:eastAsia="仿宋_GB2312" w:cs="仿宋_GB2312"/>
                <w:i w:val="0"/>
                <w:iCs w:val="0"/>
                <w:color w:val="auto"/>
                <w:sz w:val="28"/>
                <w:highlight w:val="none"/>
              </w:rPr>
              <w:t>使用温拌沥青。推进沥青混凝土绿色运输，沥青混凝土密闭式新能源运输比例不低于</w:t>
            </w:r>
            <w:r>
              <w:rPr>
                <w:rFonts w:hint="eastAsia" w:ascii="仿宋_GB2312" w:hAnsi="仿宋_GB2312" w:eastAsia="仿宋_GB2312" w:cs="仿宋_GB2312"/>
                <w:i w:val="0"/>
                <w:iCs w:val="0"/>
                <w:color w:val="auto"/>
                <w:sz w:val="28"/>
                <w:highlight w:val="none"/>
                <w:lang w:val="en-US" w:eastAsia="zh-CN"/>
              </w:rPr>
              <w:t>25</w:t>
            </w:r>
            <w:r>
              <w:rPr>
                <w:rFonts w:hint="eastAsia" w:ascii="仿宋_GB2312" w:hAnsi="仿宋_GB2312" w:eastAsia="仿宋_GB2312" w:cs="仿宋_GB2312"/>
                <w:i w:val="0"/>
                <w:iCs w:val="0"/>
                <w:color w:val="auto"/>
                <w:sz w:val="28"/>
                <w:highlight w:val="none"/>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市交通委密云</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23"/>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区农业农村局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巩固2024年接诉即办“每月一题”餐饮油烟治理工作成效，继续推行重点点位包案机制，组织开展治理提升。生态环境、商务、市场监管等部门和街乡镇协同做好餐饮油烟源头防控。</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区商务局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区市场监管局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3"/>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46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13</w:t>
            </w:r>
          </w:p>
        </w:tc>
        <w:tc>
          <w:tcPr>
            <w:tcW w:w="945"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重点产业园区绿色升级</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加强重点产业园区VOCs精准溯源和精细化管控，重点开展无组织排放排查治理，推动VOCs高值点位得到有效整治。</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default"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中关村密云园</w:t>
            </w:r>
            <w:r>
              <w:rPr>
                <w:rFonts w:hint="eastAsia" w:cs="仿宋_GB2312"/>
                <w:i w:val="0"/>
                <w:iCs w:val="0"/>
                <w:color w:val="auto"/>
                <w:sz w:val="28"/>
                <w:highlight w:val="none"/>
                <w:lang w:val="en-US" w:eastAsia="zh-CN"/>
              </w:rPr>
              <w:t>管委会</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区经济和信息化局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trPr>
        <w:tc>
          <w:tcPr>
            <w:tcW w:w="46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14</w:t>
            </w:r>
          </w:p>
        </w:tc>
        <w:tc>
          <w:tcPr>
            <w:tcW w:w="945"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推进清洁燃料替代</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未实施煤改清洁能源替代地区实现清洁煤替代散煤全覆盖。已完成煤改清洁能源替代地区巩固基本“无煤化”成果。</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区农业农村局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区农业农村局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相关镇街</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val="en-US" w:eastAsia="zh-CN"/>
              </w:rPr>
              <w:t>区市场监管局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区财政局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color w:val="auto"/>
                <w:spacing w:val="-17"/>
                <w:sz w:val="28"/>
                <w:szCs w:val="28"/>
                <w:highlight w:val="none"/>
              </w:rPr>
              <w:t>国网密云供电公司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4940" w:type="dxa"/>
            <w:gridSpan w:val="7"/>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四、以城市精细治理为抓手，推动管理减排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15</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落实扬尘管控责任</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outlineLvl w:val="9"/>
              <w:rPr>
                <w:rFonts w:hint="eastAsia" w:ascii="仿宋_GB2312" w:hAnsi="仿宋_GB2312" w:eastAsia="仿宋_GB2312" w:cs="仿宋_GB2312"/>
                <w:i w:val="0"/>
                <w:iCs w:val="0"/>
                <w:color w:val="auto"/>
                <w:sz w:val="28"/>
                <w:highlight w:val="none"/>
              </w:rPr>
            </w:pP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3"/>
                <w:sz w:val="28"/>
                <w:highlight w:val="none"/>
              </w:rPr>
              <w:t xml:space="preserve">降尘量控制在 </w:t>
            </w:r>
            <w:r>
              <w:rPr>
                <w:rFonts w:hint="eastAsia" w:ascii="仿宋_GB2312" w:hAnsi="仿宋_GB2312" w:eastAsia="仿宋_GB2312" w:cs="仿宋_GB2312"/>
                <w:i w:val="0"/>
                <w:iCs w:val="0"/>
                <w:color w:val="auto"/>
                <w:sz w:val="28"/>
                <w:highlight w:val="none"/>
                <w:lang w:val="en-US" w:eastAsia="zh-CN"/>
              </w:rPr>
              <w:t>4.5</w:t>
            </w:r>
            <w:r>
              <w:rPr>
                <w:rFonts w:hint="eastAsia" w:ascii="仿宋_GB2312" w:hAnsi="仿宋_GB2312" w:eastAsia="仿宋_GB2312" w:cs="仿宋_GB2312"/>
                <w:i w:val="0"/>
                <w:iCs w:val="0"/>
                <w:color w:val="auto"/>
                <w:spacing w:val="-35"/>
                <w:sz w:val="28"/>
                <w:highlight w:val="none"/>
              </w:rPr>
              <w:t xml:space="preserve"> 吨</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平方公里</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月左右</w:t>
            </w:r>
            <w:r>
              <w:rPr>
                <w:rFonts w:hint="eastAsia" w:ascii="仿宋_GB2312" w:hAnsi="仿宋_GB2312" w:eastAsia="仿宋_GB2312" w:cs="仿宋_GB2312"/>
                <w:i w:val="0"/>
                <w:iCs w:val="0"/>
                <w:color w:val="auto"/>
                <w:sz w:val="28"/>
                <w:highlight w:val="none"/>
              </w:rPr>
              <w:t>（扣</w:t>
            </w:r>
            <w:r>
              <w:rPr>
                <w:rFonts w:hint="eastAsia" w:ascii="仿宋_GB2312" w:hAnsi="仿宋_GB2312" w:eastAsia="仿宋_GB2312" w:cs="仿宋_GB2312"/>
                <w:i w:val="0"/>
                <w:iCs w:val="0"/>
                <w:color w:val="auto"/>
                <w:spacing w:val="-3"/>
                <w:sz w:val="28"/>
                <w:highlight w:val="none"/>
              </w:rPr>
              <w:t>除沙尘影响</w:t>
            </w:r>
            <w:r>
              <w:rPr>
                <w:rFonts w:hint="eastAsia" w:ascii="仿宋_GB2312" w:hAnsi="仿宋_GB2312" w:eastAsia="仿宋_GB2312" w:cs="仿宋_GB2312"/>
                <w:i w:val="0"/>
                <w:iCs w:val="0"/>
                <w:color w:val="auto"/>
                <w:sz w:val="28"/>
                <w:highlight w:val="none"/>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pacing w:val="-2"/>
                <w:sz w:val="28"/>
                <w:highlight w:val="none"/>
              </w:rPr>
            </w:pPr>
            <w:r>
              <w:rPr>
                <w:rFonts w:hint="eastAsia" w:ascii="仿宋_GB2312" w:hAnsi="仿宋_GB2312" w:eastAsia="仿宋_GB2312" w:cs="仿宋_GB2312"/>
                <w:i w:val="0"/>
                <w:iCs w:val="0"/>
                <w:color w:val="auto"/>
                <w:spacing w:val="-2"/>
                <w:sz w:val="28"/>
                <w:highlight w:val="none"/>
                <w:lang w:val="en-US" w:eastAsia="zh-CN"/>
              </w:rPr>
              <w:t>区城市管理委</w:t>
            </w:r>
            <w:r>
              <w:rPr>
                <w:rFonts w:hint="eastAsia" w:ascii="仿宋_GB2312" w:hAnsi="仿宋_GB2312" w:eastAsia="仿宋_GB2312" w:cs="仿宋_GB2312"/>
                <w:i w:val="0"/>
                <w:iCs w:val="0"/>
                <w:color w:val="auto"/>
                <w:spacing w:val="-2"/>
                <w:sz w:val="28"/>
                <w:highlight w:val="none"/>
              </w:rPr>
              <w:t xml:space="preserve"> </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区园林绿化中心</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right="0"/>
              <w:jc w:val="center"/>
              <w:textAlignment w:val="auto"/>
              <w:outlineLvl w:val="9"/>
              <w:rPr>
                <w:rFonts w:hint="eastAsia" w:ascii="仿宋_GB2312" w:hAnsi="仿宋_GB2312" w:eastAsia="仿宋_GB2312" w:cs="仿宋_GB2312"/>
                <w:i w:val="0"/>
                <w:iCs w:val="0"/>
                <w:color w:val="auto"/>
                <w:spacing w:val="-2"/>
                <w:sz w:val="28"/>
                <w:highlight w:val="none"/>
                <w:lang w:val="en-US" w:eastAsia="zh-CN"/>
              </w:rPr>
            </w:pPr>
            <w:r>
              <w:rPr>
                <w:rFonts w:hint="eastAsia" w:ascii="仿宋_GB2312" w:hAnsi="仿宋_GB2312" w:eastAsia="仿宋_GB2312" w:cs="仿宋_GB2312"/>
                <w:i w:val="0"/>
                <w:iCs w:val="0"/>
                <w:color w:val="auto"/>
                <w:spacing w:val="-34"/>
                <w:sz w:val="28"/>
                <w:highlight w:val="none"/>
                <w:lang w:val="en-US" w:eastAsia="zh-CN"/>
              </w:rPr>
              <w:t>区住房和城乡建设委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pacing w:val="-5"/>
                <w:sz w:val="28"/>
                <w:highlight w:val="none"/>
              </w:rPr>
            </w:pPr>
            <w:r>
              <w:rPr>
                <w:rFonts w:hint="eastAsia" w:ascii="仿宋_GB2312" w:hAnsi="仿宋_GB2312" w:eastAsia="仿宋_GB2312" w:cs="仿宋_GB2312"/>
                <w:i w:val="0"/>
                <w:iCs w:val="0"/>
                <w:color w:val="auto"/>
                <w:spacing w:val="-5"/>
                <w:sz w:val="28"/>
                <w:highlight w:val="none"/>
              </w:rPr>
              <w:t>等行业主管部门</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4"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2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以3-5月为重点开展扬尘专项治理百日攻坚行动，围绕施工扬尘、道路扬尘、裸地扬尘、外来沙尘等，加强“四尘”共治，提高城市精细化管理水平，</w:t>
            </w:r>
            <w:r>
              <w:rPr>
                <w:rFonts w:hint="eastAsia" w:ascii="仿宋_GB2312" w:hAnsi="仿宋_GB2312" w:eastAsia="仿宋_GB2312" w:cs="仿宋_GB2312"/>
                <w:i w:val="0"/>
                <w:iCs w:val="0"/>
                <w:color w:val="auto"/>
                <w:sz w:val="28"/>
                <w:highlight w:val="none"/>
                <w:lang w:val="en-US" w:eastAsia="zh-CN"/>
              </w:rPr>
              <w:t>期间，</w:t>
            </w:r>
            <w:r>
              <w:rPr>
                <w:rFonts w:hint="eastAsia" w:ascii="仿宋_GB2312" w:hAnsi="仿宋_GB2312" w:eastAsia="仿宋_GB2312" w:cs="仿宋_GB2312"/>
                <w:i w:val="0"/>
                <w:iCs w:val="0"/>
                <w:color w:val="auto"/>
                <w:sz w:val="28"/>
                <w:highlight w:val="none"/>
              </w:rPr>
              <w:t>实现各行业工地（场站）出入口道路尘负荷持续下降。</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长期实施</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农业农村局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46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15</w:t>
            </w:r>
          </w:p>
        </w:tc>
        <w:tc>
          <w:tcPr>
            <w:tcW w:w="945"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落实扬尘管控责任</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0"/>
                <w:sz w:val="28"/>
                <w:highlight w:val="none"/>
              </w:rPr>
              <w:t>定期通报</w:t>
            </w:r>
            <w:r>
              <w:rPr>
                <w:rFonts w:hint="eastAsia" w:ascii="仿宋_GB2312" w:hAnsi="仿宋_GB2312" w:eastAsia="仿宋_GB2312" w:cs="仿宋_GB2312"/>
                <w:i w:val="0"/>
                <w:iCs w:val="0"/>
                <w:color w:val="auto"/>
                <w:sz w:val="28"/>
                <w:highlight w:val="none"/>
              </w:rPr>
              <w:t>各镇街（地区）</w:t>
            </w:r>
            <w:r>
              <w:rPr>
                <w:rFonts w:hint="eastAsia" w:ascii="仿宋_GB2312" w:hAnsi="仿宋_GB2312" w:eastAsia="仿宋_GB2312" w:cs="仿宋_GB2312"/>
                <w:i w:val="0"/>
                <w:iCs w:val="0"/>
                <w:color w:val="auto"/>
                <w:spacing w:val="0"/>
                <w:sz w:val="28"/>
                <w:highlight w:val="none"/>
              </w:rPr>
              <w:t>粗颗粒物（TSP）浓度、道路尘负荷等情况。各行业工地（场站）出入口道路尘负荷等情况，督促落实扬尘管控措施及“门前三包”。</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长期实施</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农业农村局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0"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16</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强化施工扬尘管控</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进一步推动施工工地创绿创优。在本市建设工程施工现场扬尘治理工地管理办法和绿色施工技术规范或指导意见中，进一步提高扬尘管控要求。</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58"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0"/>
                <w:sz w:val="28"/>
                <w:highlight w:val="none"/>
                <w:lang w:eastAsia="zh-CN"/>
              </w:rPr>
              <w:t>区</w:t>
            </w:r>
            <w:r>
              <w:rPr>
                <w:rFonts w:hint="eastAsia" w:ascii="仿宋_GB2312" w:hAnsi="仿宋_GB2312" w:eastAsia="仿宋_GB2312" w:cs="仿宋_GB2312"/>
                <w:i w:val="0"/>
                <w:iCs w:val="0"/>
                <w:color w:val="auto"/>
                <w:spacing w:val="0"/>
                <w:sz w:val="28"/>
                <w:highlight w:val="none"/>
              </w:rPr>
              <w:t>住房城乡建设委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农业农村局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87"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87"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推广基坑气膜等先进技术，原则上符合基坑气膜使用标准的新建工程，要优先使用基坑气膜。</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7"/>
                <w:sz w:val="28"/>
                <w:highlight w:val="none"/>
                <w:lang w:eastAsia="zh-CN"/>
              </w:rPr>
              <w:t>区</w:t>
            </w:r>
            <w:r>
              <w:rPr>
                <w:rFonts w:hint="eastAsia" w:ascii="仿宋_GB2312" w:hAnsi="仿宋_GB2312" w:eastAsia="仿宋_GB2312" w:cs="仿宋_GB2312"/>
                <w:i w:val="0"/>
                <w:iCs w:val="0"/>
                <w:color w:val="auto"/>
                <w:spacing w:val="-17"/>
                <w:sz w:val="28"/>
                <w:highlight w:val="none"/>
              </w:rPr>
              <w:t>住房城乡建设委</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pacing w:val="-17"/>
                <w:sz w:val="28"/>
                <w:highlight w:val="none"/>
              </w:rPr>
            </w:pPr>
            <w:r>
              <w:rPr>
                <w:rFonts w:hint="eastAsia" w:ascii="仿宋_GB2312" w:hAnsi="仿宋_GB2312" w:eastAsia="仿宋_GB2312" w:cs="仿宋_GB2312"/>
                <w:i w:val="0"/>
                <w:iCs w:val="0"/>
                <w:color w:val="auto"/>
                <w:spacing w:val="-17"/>
                <w:sz w:val="28"/>
                <w:highlight w:val="none"/>
                <w:lang w:eastAsia="zh-CN"/>
              </w:rPr>
              <w:t>区</w:t>
            </w:r>
            <w:r>
              <w:rPr>
                <w:rFonts w:hint="eastAsia" w:ascii="仿宋_GB2312" w:hAnsi="仿宋_GB2312" w:eastAsia="仿宋_GB2312" w:cs="仿宋_GB2312"/>
                <w:i w:val="0"/>
                <w:iCs w:val="0"/>
                <w:color w:val="auto"/>
                <w:spacing w:val="-17"/>
                <w:sz w:val="28"/>
                <w:highlight w:val="none"/>
              </w:rPr>
              <w:t>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16</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强化施工扬尘管控</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优化完善施工扬尘视频监管平台、建筑垃圾运输车辆管理系统平台、交通管理等系统平台功能，并与各属地和行业主管部门共享。</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区住房城乡建设委巩固扬尘精细化管理成效，加强扬尘视频监管平台运维使用，按季度发布施工扬尘治理工作情况。</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区公安分局交通支队</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区交通局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区园林绿化局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开展建筑垃圾专项整治工作，建筑垃圾生产加工设备</w:t>
            </w:r>
            <w:r>
              <w:rPr>
                <w:rFonts w:hint="eastAsia" w:ascii="仿宋_GB2312" w:hAnsi="仿宋_GB2312" w:eastAsia="仿宋_GB2312" w:cs="仿宋_GB2312"/>
                <w:i w:val="0"/>
                <w:iCs w:val="0"/>
                <w:color w:val="auto"/>
                <w:sz w:val="28"/>
                <w:highlight w:val="none"/>
                <w:lang w:val="en-US" w:eastAsia="zh-CN"/>
              </w:rPr>
              <w:t>鼓励</w:t>
            </w:r>
            <w:r>
              <w:rPr>
                <w:rFonts w:hint="eastAsia" w:ascii="仿宋_GB2312" w:hAnsi="仿宋_GB2312" w:eastAsia="仿宋_GB2312" w:cs="仿宋_GB2312"/>
                <w:i w:val="0"/>
                <w:iCs w:val="0"/>
                <w:color w:val="auto"/>
                <w:sz w:val="28"/>
                <w:highlight w:val="none"/>
              </w:rPr>
              <w:t>实现厂房密闭或结构式密闭，建筑垃圾及再生材料堆体区鼓励采用厂房或基坑气膜等方式实现全密闭。</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color w:val="auto"/>
                <w:highlight w:val="none"/>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color w:val="auto"/>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城市管理部门充分发挥</w:t>
            </w:r>
            <w:r>
              <w:rPr>
                <w:rFonts w:hint="eastAsia" w:ascii="仿宋_GB2312" w:hAnsi="仿宋_GB2312" w:eastAsia="仿宋_GB2312" w:cs="仿宋_GB2312"/>
                <w:i w:val="0"/>
                <w:iCs w:val="0"/>
                <w:color w:val="auto"/>
                <w:sz w:val="28"/>
                <w:highlight w:val="none"/>
              </w:rPr>
              <w:t>高风险运输企业名单</w:t>
            </w:r>
            <w:r>
              <w:rPr>
                <w:rFonts w:hint="eastAsia" w:ascii="仿宋_GB2312" w:hAnsi="仿宋_GB2312" w:eastAsia="仿宋_GB2312" w:cs="仿宋_GB2312"/>
                <w:i w:val="0"/>
                <w:iCs w:val="0"/>
                <w:color w:val="auto"/>
                <w:sz w:val="28"/>
                <w:highlight w:val="none"/>
                <w:lang w:val="en-US" w:eastAsia="zh-CN"/>
              </w:rPr>
              <w:t>作用</w:t>
            </w:r>
            <w:r>
              <w:rPr>
                <w:rFonts w:hint="eastAsia" w:ascii="仿宋_GB2312" w:hAnsi="仿宋_GB2312" w:eastAsia="仿宋_GB2312" w:cs="仿宋_GB2312"/>
                <w:i w:val="0"/>
                <w:iCs w:val="0"/>
                <w:color w:val="auto"/>
                <w:sz w:val="28"/>
                <w:highlight w:val="none"/>
              </w:rPr>
              <w:t>，住建、交通、园林、水务等工程建设主管部门协商工程建设施工单位，少使用、不使用或主动更换违法行为较多的建筑垃圾运输单位</w:t>
            </w:r>
            <w:r>
              <w:rPr>
                <w:rFonts w:hint="eastAsia" w:ascii="仿宋_GB2312" w:hAnsi="仿宋_GB2312" w:eastAsia="仿宋_GB2312" w:cs="仿宋_GB2312"/>
                <w:i w:val="0"/>
                <w:iCs w:val="0"/>
                <w:color w:val="auto"/>
                <w:sz w:val="28"/>
                <w:highlight w:val="none"/>
                <w:lang w:eastAsia="zh-CN"/>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区农业农村局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开展洗轮机规范使用专项行动。</w:t>
            </w:r>
            <w:r>
              <w:rPr>
                <w:rFonts w:hint="eastAsia" w:ascii="仿宋_GB2312" w:hAnsi="仿宋_GB2312" w:eastAsia="仿宋_GB2312" w:cs="仿宋_GB2312"/>
                <w:i w:val="0"/>
                <w:iCs w:val="0"/>
                <w:color w:val="auto"/>
                <w:sz w:val="28"/>
                <w:highlight w:val="none"/>
                <w:lang w:val="en-US" w:eastAsia="zh-CN"/>
              </w:rPr>
              <w:t>严格落实</w:t>
            </w:r>
            <w:r>
              <w:rPr>
                <w:rFonts w:hint="eastAsia" w:ascii="仿宋_GB2312" w:hAnsi="仿宋_GB2312" w:eastAsia="仿宋_GB2312" w:cs="仿宋_GB2312"/>
                <w:i w:val="0"/>
                <w:iCs w:val="0"/>
                <w:color w:val="auto"/>
                <w:sz w:val="28"/>
                <w:highlight w:val="none"/>
              </w:rPr>
              <w:t>洗轮机设置规范，督促各类施工企业落实绿色施工各项要求，做好工地（场站）洗轮机规范安装工作，并组织实施，把好扬尘“出口”，进一步强化洗轮设施专项检查，拒绝带泥上路行驶。</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7"/>
                <w:sz w:val="28"/>
                <w:highlight w:val="none"/>
                <w:lang w:eastAsia="zh-CN"/>
              </w:rPr>
              <w:t>区</w:t>
            </w:r>
            <w:r>
              <w:rPr>
                <w:rFonts w:hint="eastAsia" w:ascii="仿宋_GB2312" w:hAnsi="仿宋_GB2312" w:eastAsia="仿宋_GB2312" w:cs="仿宋_GB2312"/>
                <w:i w:val="0"/>
                <w:iCs w:val="0"/>
                <w:color w:val="auto"/>
                <w:spacing w:val="-17"/>
                <w:sz w:val="28"/>
                <w:highlight w:val="none"/>
              </w:rPr>
              <w:t>住房城乡建设委</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pacing w:val="-17"/>
                <w:sz w:val="28"/>
                <w:highlight w:val="none"/>
              </w:rPr>
            </w:pPr>
            <w:r>
              <w:rPr>
                <w:rFonts w:hint="eastAsia" w:ascii="仿宋_GB2312" w:hAnsi="仿宋_GB2312" w:eastAsia="仿宋_GB2312" w:cs="仿宋_GB2312"/>
                <w:i w:val="0"/>
                <w:iCs w:val="0"/>
                <w:color w:val="auto"/>
                <w:spacing w:val="-17"/>
                <w:sz w:val="28"/>
                <w:highlight w:val="none"/>
                <w:lang w:eastAsia="zh-CN"/>
              </w:rPr>
              <w:t>区</w:t>
            </w:r>
            <w:r>
              <w:rPr>
                <w:rFonts w:hint="eastAsia" w:ascii="仿宋_GB2312" w:hAnsi="仿宋_GB2312" w:eastAsia="仿宋_GB2312" w:cs="仿宋_GB2312"/>
                <w:i w:val="0"/>
                <w:iCs w:val="0"/>
                <w:color w:val="auto"/>
                <w:spacing w:val="-17"/>
                <w:sz w:val="28"/>
                <w:highlight w:val="none"/>
              </w:rPr>
              <w:t>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农业农村局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46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17</w:t>
            </w:r>
          </w:p>
        </w:tc>
        <w:tc>
          <w:tcPr>
            <w:tcW w:w="9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严格道路扬尘监管</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加大道路清扫保洁力度，城市道路机械化作业率达到97%。</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pacing w:val="-17"/>
                <w:sz w:val="28"/>
                <w:highlight w:val="none"/>
                <w:lang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eastAsia="zh-CN"/>
              </w:rPr>
              <w:t>区水务局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eastAsia="zh-CN"/>
              </w:rPr>
              <w:t>区园林绿化局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持续开展道路“消劣”专项行动。</w:t>
            </w:r>
            <w:r>
              <w:rPr>
                <w:rFonts w:hint="eastAsia" w:ascii="仿宋_GB2312" w:hAnsi="仿宋_GB2312" w:eastAsia="仿宋_GB2312" w:cs="仿宋_GB2312"/>
                <w:i w:val="0"/>
                <w:iCs w:val="0"/>
                <w:color w:val="auto"/>
                <w:spacing w:val="0"/>
                <w:sz w:val="28"/>
                <w:highlight w:val="none"/>
              </w:rPr>
              <w:t>开展平原地区道路尘负荷监测</w:t>
            </w:r>
            <w:r>
              <w:rPr>
                <w:rFonts w:hint="eastAsia" w:ascii="仿宋_GB2312" w:hAnsi="仿宋_GB2312" w:eastAsia="仿宋_GB2312" w:cs="仿宋_GB2312"/>
                <w:i w:val="0"/>
                <w:iCs w:val="0"/>
                <w:color w:val="auto"/>
                <w:spacing w:val="0"/>
                <w:sz w:val="28"/>
                <w:highlight w:val="none"/>
                <w:lang w:eastAsia="zh-CN"/>
              </w:rPr>
              <w:t>，</w:t>
            </w:r>
            <w:r>
              <w:rPr>
                <w:rFonts w:hint="eastAsia" w:ascii="仿宋_GB2312" w:hAnsi="仿宋_GB2312" w:eastAsia="仿宋_GB2312" w:cs="仿宋_GB2312"/>
                <w:i w:val="0"/>
                <w:iCs w:val="0"/>
                <w:color w:val="auto"/>
                <w:sz w:val="28"/>
                <w:highlight w:val="none"/>
              </w:rPr>
              <w:t>定期</w:t>
            </w:r>
            <w:r>
              <w:rPr>
                <w:rFonts w:hint="eastAsia" w:ascii="仿宋_GB2312" w:hAnsi="仿宋_GB2312" w:eastAsia="仿宋_GB2312" w:cs="仿宋_GB2312"/>
                <w:i w:val="0"/>
                <w:iCs w:val="0"/>
                <w:color w:val="auto"/>
                <w:sz w:val="28"/>
                <w:highlight w:val="none"/>
                <w:lang w:val="en-US" w:eastAsia="zh-CN"/>
              </w:rPr>
              <w:t>通报</w:t>
            </w:r>
            <w:r>
              <w:rPr>
                <w:rFonts w:hint="eastAsia" w:ascii="仿宋_GB2312" w:hAnsi="仿宋_GB2312" w:eastAsia="仿宋_GB2312" w:cs="仿宋_GB2312"/>
                <w:i w:val="0"/>
                <w:iCs w:val="0"/>
                <w:color w:val="auto"/>
                <w:sz w:val="28"/>
                <w:highlight w:val="none"/>
              </w:rPr>
              <w:t>平原地区道路尘负荷评价为差等级的道路，督促属地、行业主管部门整改，实现差等级道路动态消除。</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区委生态文明委办公室</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pacing w:val="-17"/>
                <w:sz w:val="28"/>
                <w:highlight w:val="none"/>
              </w:rPr>
            </w:pPr>
            <w:r>
              <w:rPr>
                <w:rFonts w:hint="eastAsia" w:ascii="仿宋_GB2312" w:hAnsi="仿宋_GB2312" w:eastAsia="仿宋_GB2312" w:cs="仿宋_GB2312"/>
                <w:i w:val="0"/>
                <w:iCs w:val="0"/>
                <w:color w:val="auto"/>
                <w:spacing w:val="-17"/>
                <w:sz w:val="28"/>
                <w:highlight w:val="none"/>
                <w:lang w:eastAsia="zh-CN"/>
              </w:rPr>
              <w:t>区</w:t>
            </w:r>
            <w:r>
              <w:rPr>
                <w:rFonts w:hint="eastAsia" w:ascii="仿宋_GB2312" w:hAnsi="仿宋_GB2312" w:eastAsia="仿宋_GB2312" w:cs="仿宋_GB2312"/>
                <w:i w:val="0"/>
                <w:iCs w:val="0"/>
                <w:color w:val="auto"/>
                <w:spacing w:val="-17"/>
                <w:sz w:val="28"/>
                <w:highlight w:val="none"/>
              </w:rPr>
              <w:t>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市交通委密云公安分局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农业农村局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各行业主管部门严厉打击施工工地（场站）进门不查车、出门不查证，车辆未密闭运输、道路遗撒、车身不整洁等违法行为。</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pacing w:val="-17"/>
                <w:sz w:val="28"/>
                <w:highlight w:val="none"/>
              </w:rPr>
            </w:pPr>
            <w:r>
              <w:rPr>
                <w:rFonts w:hint="eastAsia" w:ascii="仿宋_GB2312" w:hAnsi="仿宋_GB2312" w:eastAsia="仿宋_GB2312" w:cs="仿宋_GB2312"/>
                <w:i w:val="0"/>
                <w:iCs w:val="0"/>
                <w:color w:val="auto"/>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农业农村局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区城管执法局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46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18</w:t>
            </w:r>
          </w:p>
        </w:tc>
        <w:tc>
          <w:tcPr>
            <w:tcW w:w="9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优化裸地扬尘监管</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深入推进“揭网见绿”专项行动，有序推进分类揭网、多元见绿。</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区园林绿化中心</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rPr>
              <w:t>因地制宜、分类施策，实现裸地动态整治</w:t>
            </w:r>
            <w:r>
              <w:rPr>
                <w:rFonts w:hint="eastAsia" w:ascii="仿宋_GB2312" w:hAnsi="仿宋_GB2312" w:eastAsia="仿宋_GB2312" w:cs="仿宋_GB2312"/>
                <w:i w:val="0"/>
                <w:iCs w:val="0"/>
                <w:color w:val="auto"/>
                <w:sz w:val="28"/>
                <w:highlight w:val="none"/>
                <w:lang w:eastAsia="zh-CN"/>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46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19</w:t>
            </w:r>
          </w:p>
        </w:tc>
        <w:tc>
          <w:tcPr>
            <w:tcW w:w="9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加强面源污染管控</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完成</w:t>
            </w:r>
            <w:r>
              <w:rPr>
                <w:rFonts w:hint="eastAsia" w:ascii="仿宋_GB2312" w:hAnsi="仿宋_GB2312" w:eastAsia="仿宋_GB2312" w:cs="仿宋_GB2312"/>
                <w:i w:val="0"/>
                <w:iCs w:val="0"/>
                <w:color w:val="auto"/>
                <w:sz w:val="28"/>
                <w:highlight w:val="none"/>
                <w:lang w:val="en-US" w:eastAsia="zh-CN"/>
              </w:rPr>
              <w:t>2</w:t>
            </w:r>
            <w:r>
              <w:rPr>
                <w:rFonts w:hint="eastAsia" w:ascii="仿宋_GB2312" w:hAnsi="仿宋_GB2312" w:eastAsia="仿宋_GB2312" w:cs="仿宋_GB2312"/>
                <w:i w:val="0"/>
                <w:iCs w:val="0"/>
                <w:color w:val="auto"/>
                <w:sz w:val="28"/>
                <w:highlight w:val="none"/>
              </w:rPr>
              <w:t>个畜禽养殖业氨排放控制试点项目。</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区农业农村局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东邵渠镇</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pacing w:val="-17"/>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市规划自然资源委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密云分局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农业农村部门</w:t>
            </w:r>
            <w:r>
              <w:rPr>
                <w:rFonts w:hint="eastAsia" w:ascii="仿宋_GB2312" w:hAnsi="仿宋_GB2312" w:eastAsia="仿宋_GB2312" w:cs="仿宋_GB2312"/>
                <w:i w:val="0"/>
                <w:iCs w:val="0"/>
                <w:color w:val="auto"/>
                <w:sz w:val="28"/>
                <w:highlight w:val="none"/>
              </w:rPr>
              <w:t>加强秸秆综合利用，</w:t>
            </w:r>
            <w:r>
              <w:rPr>
                <w:rFonts w:hint="eastAsia" w:ascii="仿宋_GB2312" w:hAnsi="仿宋_GB2312" w:eastAsia="仿宋_GB2312" w:cs="仿宋_GB2312"/>
                <w:i w:val="0"/>
                <w:iCs w:val="0"/>
                <w:color w:val="auto"/>
                <w:sz w:val="28"/>
                <w:highlight w:val="none"/>
                <w:lang w:val="en-US" w:eastAsia="zh-CN"/>
              </w:rPr>
              <w:t>城管执法系统</w:t>
            </w:r>
            <w:r>
              <w:rPr>
                <w:rFonts w:hint="eastAsia" w:ascii="仿宋_GB2312" w:hAnsi="仿宋_GB2312" w:eastAsia="仿宋_GB2312" w:cs="仿宋_GB2312"/>
                <w:i w:val="0"/>
                <w:iCs w:val="0"/>
                <w:color w:val="auto"/>
                <w:sz w:val="28"/>
                <w:highlight w:val="none"/>
              </w:rPr>
              <w:t>严格秸秆露天焚烧监管。</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区农业农村局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z w:val="28"/>
                <w:szCs w:val="22"/>
                <w:highlight w:val="none"/>
                <w:lang w:val="en-US" w:eastAsia="zh-CN" w:bidi="ar-SA"/>
              </w:rPr>
              <w:t>区城管执法局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val="en-US" w:eastAsia="zh-CN"/>
              </w:rPr>
              <w:t>落实</w:t>
            </w:r>
            <w:r>
              <w:rPr>
                <w:rFonts w:hint="eastAsia" w:ascii="仿宋_GB2312" w:hAnsi="仿宋_GB2312" w:eastAsia="仿宋_GB2312" w:cs="仿宋_GB2312"/>
                <w:i w:val="0"/>
                <w:iCs w:val="0"/>
                <w:color w:val="auto"/>
                <w:sz w:val="28"/>
                <w:highlight w:val="none"/>
              </w:rPr>
              <w:t>《北京市密云区人民政府关于行政区域内禁止燃放烟花爆竹的通告》（密政发〔2021〕18 号）规定</w:t>
            </w:r>
            <w:r>
              <w:rPr>
                <w:rFonts w:hint="eastAsia" w:ascii="仿宋_GB2312" w:hAnsi="仿宋_GB2312" w:eastAsia="仿宋_GB2312" w:cs="仿宋_GB2312"/>
                <w:i w:val="0"/>
                <w:iCs w:val="0"/>
                <w:color w:val="auto"/>
                <w:sz w:val="28"/>
                <w:highlight w:val="none"/>
                <w:lang w:eastAsia="zh-CN"/>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长期实施</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区公安分局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持续做好本市消耗臭氧层物质企业备案管理，加强对未备案及使用淘汰物质违法行为的执法检查。加强恶臭、有毒有害大气污染物防控。</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长期实施</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46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20</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加强噪声污染治理</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2025年</w:t>
            </w:r>
            <w:r>
              <w:rPr>
                <w:rFonts w:hint="eastAsia" w:ascii="仿宋_GB2312" w:hAnsi="仿宋_GB2312" w:eastAsia="仿宋_GB2312" w:cs="仿宋_GB2312"/>
                <w:i w:val="0"/>
                <w:iCs w:val="0"/>
                <w:color w:val="auto"/>
                <w:sz w:val="28"/>
                <w:highlight w:val="none"/>
                <w:lang w:eastAsia="zh-CN"/>
              </w:rPr>
              <w:t>，</w:t>
            </w:r>
            <w:r>
              <w:rPr>
                <w:rFonts w:hint="eastAsia" w:ascii="仿宋_GB2312" w:hAnsi="仿宋_GB2312" w:eastAsia="仿宋_GB2312" w:cs="仿宋_GB2312"/>
                <w:i w:val="0"/>
                <w:iCs w:val="0"/>
                <w:color w:val="auto"/>
                <w:sz w:val="28"/>
                <w:highlight w:val="none"/>
              </w:rPr>
              <w:t>国控站点功能区声环境质量夜间达标率平均值达到</w:t>
            </w:r>
            <w:r>
              <w:rPr>
                <w:rFonts w:hint="eastAsia" w:ascii="仿宋_GB2312" w:hAnsi="仿宋_GB2312" w:eastAsia="仿宋_GB2312" w:cs="仿宋_GB2312"/>
                <w:i w:val="0"/>
                <w:iCs w:val="0"/>
                <w:color w:val="auto"/>
                <w:sz w:val="28"/>
                <w:highlight w:val="none"/>
                <w:lang w:val="en-US" w:eastAsia="zh-CN"/>
              </w:rPr>
              <w:t>市级要求</w:t>
            </w:r>
            <w:r>
              <w:rPr>
                <w:rFonts w:hint="eastAsia" w:ascii="仿宋_GB2312" w:hAnsi="仿宋_GB2312" w:eastAsia="仿宋_GB2312" w:cs="仿宋_GB2312"/>
                <w:i w:val="0"/>
                <w:iCs w:val="0"/>
                <w:color w:val="auto"/>
                <w:sz w:val="28"/>
                <w:highlight w:val="none"/>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3"/>
                <w:sz w:val="28"/>
                <w:highlight w:val="none"/>
              </w:rPr>
            </w:pPr>
            <w:r>
              <w:rPr>
                <w:rFonts w:hint="eastAsia" w:ascii="仿宋_GB2312" w:hAnsi="仿宋_GB2312" w:eastAsia="仿宋_GB2312" w:cs="仿宋_GB2312"/>
                <w:i w:val="0"/>
                <w:iCs w:val="0"/>
                <w:color w:val="auto"/>
                <w:spacing w:val="-2"/>
                <w:sz w:val="28"/>
                <w:highlight w:val="none"/>
              </w:rPr>
              <w:t>各镇街</w:t>
            </w:r>
            <w:r>
              <w:rPr>
                <w:rFonts w:hint="eastAsia" w:ascii="仿宋_GB2312" w:hAnsi="仿宋_GB2312" w:eastAsia="仿宋_GB2312" w:cs="仿宋_GB2312"/>
                <w:i w:val="0"/>
                <w:iCs w:val="0"/>
                <w:color w:val="auto"/>
                <w:sz w:val="28"/>
                <w:highlight w:val="none"/>
              </w:rPr>
              <w:t>（</w:t>
            </w:r>
            <w:r>
              <w:rPr>
                <w:rFonts w:hint="eastAsia" w:ascii="仿宋_GB2312" w:hAnsi="仿宋_GB2312" w:eastAsia="仿宋_GB2312" w:cs="仿宋_GB2312"/>
                <w:i w:val="0"/>
                <w:iCs w:val="0"/>
                <w:color w:val="auto"/>
                <w:spacing w:val="-2"/>
                <w:sz w:val="28"/>
                <w:highlight w:val="none"/>
              </w:rPr>
              <w:t>地区</w:t>
            </w:r>
            <w:r>
              <w:rPr>
                <w:rFonts w:hint="eastAsia" w:ascii="仿宋_GB2312" w:hAnsi="仿宋_GB2312" w:eastAsia="仿宋_GB2312" w:cs="仿宋_GB2312"/>
                <w:i w:val="0"/>
                <w:iCs w:val="0"/>
                <w:color w:val="auto"/>
                <w:spacing w:val="-13"/>
                <w:sz w:val="28"/>
                <w:highlight w:val="none"/>
              </w:rPr>
              <w:t>）</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46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21</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提升生态环境类接诉即办工作成效和能力</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加强生态环境类诉求办理工作，加强接诉即办数据归集和深度分析，充分发挥信息服务作用，强化源头预防。结合生态环境治理工作，深化生态环境接诉即办“管家”机制，落实属地责任，加强行业统筹，重点解决市民反映的油烟、噪声等共性问题，进一步提升诉求办理解决率和满意率。</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长期实施</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szCs w:val="28"/>
                <w:highlight w:val="none"/>
                <w:lang w:val="en-US" w:eastAsia="zh-CN"/>
              </w:rPr>
              <w:t>区生态环境局</w:t>
            </w:r>
          </w:p>
        </w:tc>
        <w:tc>
          <w:tcPr>
            <w:tcW w:w="2371"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区</w:t>
            </w:r>
            <w:r>
              <w:rPr>
                <w:rFonts w:hint="eastAsia" w:ascii="仿宋_GB2312" w:hAnsi="仿宋_GB2312" w:eastAsia="仿宋_GB2312" w:cs="仿宋_GB2312"/>
                <w:color w:val="auto"/>
                <w:sz w:val="28"/>
                <w:szCs w:val="28"/>
                <w:highlight w:val="none"/>
              </w:rPr>
              <w:t>生态环境局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cs="仿宋_GB2312"/>
                <w:color w:val="auto"/>
                <w:sz w:val="28"/>
                <w:szCs w:val="28"/>
                <w:highlight w:val="none"/>
                <w:lang w:val="en-US" w:eastAsia="zh-CN"/>
              </w:rPr>
              <w:t>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eastAsia="zh-CN"/>
              </w:rPr>
            </w:pPr>
            <w:r>
              <w:rPr>
                <w:rFonts w:hint="eastAsia" w:ascii="仿宋_GB2312" w:hAnsi="仿宋_GB2312" w:eastAsia="仿宋_GB2312" w:cs="仿宋_GB2312"/>
                <w:i w:val="0"/>
                <w:iCs w:val="0"/>
                <w:color w:val="auto"/>
                <w:sz w:val="28"/>
                <w:highlight w:val="none"/>
                <w:lang w:val="en-US" w:eastAsia="zh-CN"/>
              </w:rPr>
              <w:t>区城指中心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4940" w:type="dxa"/>
            <w:gridSpan w:val="7"/>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五、开展“含绿量”提升区级示范，推动创新引领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46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22</w:t>
            </w:r>
          </w:p>
        </w:tc>
        <w:tc>
          <w:tcPr>
            <w:tcW w:w="9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40"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机动车（械）“含绿量”提升示范项目</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因地制宜加快推动轻型商超配送车辆更新为纯电动或氢燃料电池汽车。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区商务局</w:t>
            </w:r>
          </w:p>
        </w:tc>
        <w:tc>
          <w:tcPr>
            <w:tcW w:w="200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40"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鼓励重点企业等用车单位通过与运输企业（个人）签订合作协议等方式实现绿色运输。</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区交通局</w:t>
            </w:r>
          </w:p>
        </w:tc>
        <w:tc>
          <w:tcPr>
            <w:tcW w:w="200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40"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zh-CN" w:bidi="ar-SA"/>
              </w:rPr>
              <w:t>根据市级部门权限要求，</w:t>
            </w:r>
            <w:r>
              <w:rPr>
                <w:rFonts w:hint="eastAsia" w:ascii="仿宋_GB2312" w:hAnsi="仿宋_GB2312" w:eastAsia="仿宋_GB2312" w:cs="仿宋_GB2312"/>
                <w:i w:val="0"/>
                <w:iCs w:val="0"/>
                <w:color w:val="auto"/>
                <w:sz w:val="28"/>
                <w:szCs w:val="22"/>
                <w:highlight w:val="none"/>
                <w:lang w:val="en-US" w:eastAsia="en-US" w:bidi="ar-SA"/>
              </w:rPr>
              <w:t>政府投资类项目以及国有企业</w:t>
            </w:r>
            <w:r>
              <w:rPr>
                <w:rFonts w:hint="eastAsia" w:ascii="仿宋_GB2312" w:hAnsi="仿宋_GB2312" w:eastAsia="仿宋_GB2312" w:cs="仿宋_GB2312"/>
                <w:i w:val="0"/>
                <w:iCs w:val="0"/>
                <w:color w:val="auto"/>
                <w:sz w:val="28"/>
                <w:szCs w:val="22"/>
                <w:highlight w:val="none"/>
                <w:lang w:val="en-US" w:eastAsia="zh-CN" w:bidi="ar-SA"/>
              </w:rPr>
              <w:t>自有资金</w:t>
            </w:r>
            <w:r>
              <w:rPr>
                <w:rFonts w:hint="eastAsia" w:ascii="仿宋_GB2312" w:hAnsi="仿宋_GB2312" w:eastAsia="仿宋_GB2312" w:cs="仿宋_GB2312"/>
                <w:i w:val="0"/>
                <w:iCs w:val="0"/>
                <w:color w:val="auto"/>
                <w:sz w:val="28"/>
                <w:szCs w:val="22"/>
                <w:highlight w:val="none"/>
                <w:lang w:val="en-US" w:eastAsia="en-US" w:bidi="ar-SA"/>
              </w:rPr>
              <w:t>项目，研究提出招标人应将施工过程中新能源机械使用情况作为加分项。</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区国资委</w:t>
            </w:r>
          </w:p>
        </w:tc>
        <w:tc>
          <w:tcPr>
            <w:tcW w:w="200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464" w:type="dxa"/>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23</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40"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企业“含绿量”提升示范项目</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实施印刷行业治理设施智慧化监控试点。</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64" w:type="dxa"/>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24</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40"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清洁能源示范项目</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en-US" w:bidi="ar-SA"/>
              </w:rPr>
              <w:t>推进燃气壁挂炉供热绿色转型。结合城市更新进度，继续支持老旧燃气壁挂炉用户开展消费品以旧换新，鼓励更换为一级能效设备</w:t>
            </w:r>
            <w:r>
              <w:rPr>
                <w:rFonts w:hint="eastAsia" w:ascii="仿宋_GB2312" w:hAnsi="仿宋_GB2312" w:eastAsia="仿宋_GB2312" w:cs="仿宋_GB2312"/>
                <w:i w:val="0"/>
                <w:iCs w:val="0"/>
                <w:color w:val="auto"/>
                <w:sz w:val="28"/>
                <w:szCs w:val="22"/>
                <w:highlight w:val="none"/>
                <w:lang w:val="en-US" w:eastAsia="zh-CN" w:bidi="ar-SA"/>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区住房城乡建设委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区发展改革委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区商务局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北京燃气密云公司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464"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25</w:t>
            </w:r>
          </w:p>
          <w:p>
            <w:pPr>
              <w:keepNext w:val="0"/>
              <w:keepLines w:val="0"/>
              <w:pageBreakBefore w:val="0"/>
              <w:widowControl w:val="0"/>
              <w:kinsoku/>
              <w:wordWrap/>
              <w:overflowPunct/>
              <w:topLinePunct w:val="0"/>
              <w:autoSpaceDE w:val="0"/>
              <w:autoSpaceDN w:val="0"/>
              <w:bidi w:val="0"/>
              <w:adjustRightInd/>
              <w:snapToGrid w:val="0"/>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tc>
        <w:tc>
          <w:tcPr>
            <w:tcW w:w="9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40"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城市精细化治理示范项目</w:t>
            </w:r>
          </w:p>
          <w:p>
            <w:pPr>
              <w:keepNext w:val="0"/>
              <w:keepLines w:val="0"/>
              <w:pageBreakBefore w:val="0"/>
              <w:widowControl w:val="0"/>
              <w:kinsoku/>
              <w:wordWrap/>
              <w:overflowPunct/>
              <w:topLinePunct w:val="0"/>
              <w:autoSpaceDE w:val="0"/>
              <w:autoSpaceDN w:val="0"/>
              <w:bidi w:val="0"/>
              <w:adjustRightInd/>
              <w:snapToGrid/>
              <w:spacing w:line="320" w:lineRule="exact"/>
              <w:ind w:left="40"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建设工程在地基与基础、主体结构工程施工中倡导使用气膜技术。</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区住房城乡建设委</w:t>
            </w:r>
          </w:p>
        </w:tc>
        <w:tc>
          <w:tcPr>
            <w:tcW w:w="2371"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pacing w:val="-17"/>
                <w:sz w:val="28"/>
                <w:highlight w:val="none"/>
              </w:rPr>
            </w:pPr>
            <w:r>
              <w:rPr>
                <w:rFonts w:hint="eastAsia" w:ascii="仿宋_GB2312" w:hAnsi="仿宋_GB2312" w:eastAsia="仿宋_GB2312" w:cs="仿宋_GB2312"/>
                <w:i w:val="0"/>
                <w:iCs w:val="0"/>
                <w:color w:val="auto"/>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区城市管理委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水务局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firstLine="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园林绿化局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rPr>
              <w:t>农业农村局</w:t>
            </w:r>
          </w:p>
        </w:tc>
        <w:tc>
          <w:tcPr>
            <w:tcW w:w="200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40"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pacing w:val="-11"/>
                <w:sz w:val="28"/>
                <w:szCs w:val="22"/>
                <w:highlight w:val="none"/>
                <w:lang w:val="en-US" w:eastAsia="en-US" w:bidi="ar-SA"/>
              </w:rPr>
              <w:t>加大夜间施工证明服务指导力度</w:t>
            </w:r>
            <w:r>
              <w:rPr>
                <w:rFonts w:hint="eastAsia" w:ascii="仿宋_GB2312" w:hAnsi="仿宋_GB2312" w:eastAsia="仿宋_GB2312" w:cs="仿宋_GB2312"/>
                <w:i w:val="0"/>
                <w:iCs w:val="0"/>
                <w:color w:val="auto"/>
                <w:spacing w:val="-11"/>
                <w:sz w:val="28"/>
                <w:szCs w:val="22"/>
                <w:highlight w:val="none"/>
                <w:lang w:val="en-US" w:eastAsia="zh-CN" w:bidi="ar-SA"/>
              </w:rPr>
              <w:t>，</w:t>
            </w:r>
            <w:r>
              <w:rPr>
                <w:rFonts w:hint="eastAsia" w:ascii="仿宋_GB2312" w:hAnsi="仿宋_GB2312" w:eastAsia="仿宋_GB2312" w:cs="仿宋_GB2312"/>
                <w:i w:val="0"/>
                <w:iCs w:val="0"/>
                <w:color w:val="auto"/>
                <w:spacing w:val="-11"/>
                <w:sz w:val="28"/>
                <w:szCs w:val="22"/>
                <w:highlight w:val="none"/>
                <w:lang w:val="en-US" w:eastAsia="en-US" w:bidi="ar-SA"/>
              </w:rPr>
              <w:t>加大违法夜间施工查处力度。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p>
        </w:tc>
        <w:tc>
          <w:tcPr>
            <w:tcW w:w="2371"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p>
        </w:tc>
        <w:tc>
          <w:tcPr>
            <w:tcW w:w="200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40"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按照本市交通运输专项补助资金、轨道交通噪声治理资金等管理办法要求，强化统筹全区交通噪声治理工作，相关镇街结合市民诉求情况会同区生态环境部门开展重点路段的噪声监测工作，并进行摸底调查，捋清本辖区受交通噪声影响的敏感建筑物、人口、群众意愿等情况，路权单位根据属地调查情况制定治理计划报区交通综治办公室，由区交通综治办公室汇总编制全区治理计划；区交通综治办公室应加强研究，积极争取多方政策资金支持，组织路权单位开展交通噪声治理工作</w:t>
            </w:r>
            <w:r>
              <w:rPr>
                <w:rFonts w:hint="eastAsia" w:ascii="仿宋_GB2312" w:hAnsi="仿宋_GB2312" w:eastAsia="仿宋_GB2312" w:cs="仿宋_GB2312"/>
                <w:i w:val="0"/>
                <w:iCs w:val="0"/>
                <w:color w:val="auto"/>
                <w:sz w:val="28"/>
                <w:szCs w:val="22"/>
                <w:highlight w:val="none"/>
                <w:lang w:val="en-US" w:eastAsia="zh-CN" w:bidi="ar-SA"/>
              </w:rPr>
              <w:t>，完成1</w:t>
            </w:r>
            <w:r>
              <w:rPr>
                <w:rFonts w:hint="eastAsia" w:ascii="仿宋_GB2312" w:hAnsi="仿宋_GB2312" w:eastAsia="仿宋_GB2312" w:cs="仿宋_GB2312"/>
                <w:i w:val="0"/>
                <w:iCs w:val="0"/>
                <w:color w:val="auto"/>
                <w:sz w:val="28"/>
                <w:szCs w:val="22"/>
                <w:highlight w:val="none"/>
                <w:lang w:val="en-US" w:eastAsia="en-US" w:bidi="ar-SA"/>
              </w:rPr>
              <w:t>项交通噪声治理。</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区交通综合治理领导小组办公室</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区交通综合治理领导小组成员单位</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40"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组织实施</w:t>
            </w:r>
            <w:r>
              <w:rPr>
                <w:rFonts w:hint="eastAsia" w:ascii="仿宋_GB2312" w:hAnsi="仿宋_GB2312" w:eastAsia="仿宋_GB2312" w:cs="仿宋_GB2312"/>
                <w:i w:val="0"/>
                <w:iCs w:val="0"/>
                <w:color w:val="auto"/>
                <w:sz w:val="28"/>
                <w:szCs w:val="22"/>
                <w:highlight w:val="none"/>
                <w:lang w:val="en-US" w:eastAsia="zh-CN" w:bidi="ar-SA"/>
              </w:rPr>
              <w:t>1</w:t>
            </w:r>
            <w:r>
              <w:rPr>
                <w:rFonts w:hint="eastAsia" w:ascii="仿宋_GB2312" w:hAnsi="仿宋_GB2312" w:eastAsia="仿宋_GB2312" w:cs="仿宋_GB2312"/>
                <w:i w:val="0"/>
                <w:iCs w:val="0"/>
                <w:color w:val="auto"/>
                <w:sz w:val="28"/>
                <w:szCs w:val="22"/>
                <w:highlight w:val="none"/>
                <w:lang w:val="en-US" w:eastAsia="en-US" w:bidi="ar-SA"/>
              </w:rPr>
              <w:t>项商业固定设备噪声治理。</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区商务局</w:t>
            </w:r>
          </w:p>
        </w:tc>
        <w:tc>
          <w:tcPr>
            <w:tcW w:w="200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464"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tc>
        <w:tc>
          <w:tcPr>
            <w:tcW w:w="9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40"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组织实施</w:t>
            </w:r>
            <w:r>
              <w:rPr>
                <w:rFonts w:hint="eastAsia" w:ascii="仿宋_GB2312" w:hAnsi="仿宋_GB2312" w:eastAsia="仿宋_GB2312" w:cs="仿宋_GB2312"/>
                <w:i w:val="0"/>
                <w:iCs w:val="0"/>
                <w:color w:val="auto"/>
                <w:sz w:val="28"/>
                <w:szCs w:val="22"/>
                <w:highlight w:val="none"/>
                <w:lang w:val="en-US" w:eastAsia="zh-CN" w:bidi="ar-SA"/>
              </w:rPr>
              <w:t>1</w:t>
            </w:r>
            <w:r>
              <w:rPr>
                <w:rFonts w:hint="eastAsia" w:ascii="仿宋_GB2312" w:hAnsi="仿宋_GB2312" w:eastAsia="仿宋_GB2312" w:cs="仿宋_GB2312"/>
                <w:i w:val="0"/>
                <w:iCs w:val="0"/>
                <w:color w:val="auto"/>
                <w:sz w:val="28"/>
                <w:szCs w:val="22"/>
                <w:highlight w:val="none"/>
                <w:lang w:val="en-US" w:eastAsia="en-US" w:bidi="ar-SA"/>
              </w:rPr>
              <w:t>项公共场所文体娱乐活动噪声治理。</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区公安分局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23"/>
                <w:sz w:val="28"/>
                <w:highlight w:val="none"/>
                <w:lang w:val="en-US" w:eastAsia="zh-CN"/>
              </w:rPr>
              <w:t>市交通委密云公路分局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区住房城乡建设委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区园林绿化中心</w:t>
            </w:r>
          </w:p>
        </w:tc>
        <w:tc>
          <w:tcPr>
            <w:tcW w:w="2004" w:type="dxa"/>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4940" w:type="dxa"/>
            <w:gridSpan w:val="7"/>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六、加强大气环境治理保障支撑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26</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加强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区域</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联防</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联控</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区域协同落实京津冀大气污染防治联防联控工作，强化协调沟通、信息共享、定期会商、联动执法等机制，共同开展秋冬季大气污染综合治理攻坚行动，开展重大活动空气质量保障。</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
                <w:sz w:val="28"/>
                <w:highlight w:val="none"/>
              </w:rPr>
              <w:t>长期实施</w:t>
            </w:r>
          </w:p>
        </w:tc>
        <w:tc>
          <w:tcPr>
            <w:tcW w:w="2043"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区生态环境局</w:t>
            </w:r>
          </w:p>
        </w:tc>
        <w:tc>
          <w:tcPr>
            <w:tcW w:w="2371"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lang w:val="en-US" w:eastAsia="zh-CN"/>
              </w:rPr>
              <w:t>空气重污染应急指挥部成员单位</w:t>
            </w:r>
          </w:p>
        </w:tc>
        <w:tc>
          <w:tcPr>
            <w:tcW w:w="200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落实</w:t>
            </w:r>
            <w:r>
              <w:rPr>
                <w:rFonts w:hint="eastAsia" w:ascii="仿宋_GB2312" w:hAnsi="仿宋_GB2312" w:eastAsia="仿宋_GB2312" w:cs="仿宋_GB2312"/>
                <w:i w:val="0"/>
                <w:iCs w:val="0"/>
                <w:color w:val="auto"/>
                <w:sz w:val="28"/>
                <w:highlight w:val="none"/>
              </w:rPr>
              <w:t>京津冀三地区域联合会商机制，污染应对期间，各成员单位组织落实各项减排措施，并加强监督检查执法。</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长期实施</w:t>
            </w:r>
          </w:p>
        </w:tc>
        <w:tc>
          <w:tcPr>
            <w:tcW w:w="2043"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2371"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c>
          <w:tcPr>
            <w:tcW w:w="200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夯实空气重污染应急基础，动态更新涉气企业全清单、应急减排清单。</w:t>
            </w:r>
            <w:r>
              <w:rPr>
                <w:rFonts w:hint="eastAsia" w:ascii="仿宋_GB2312" w:hAnsi="仿宋_GB2312" w:eastAsia="仿宋_GB2312" w:cs="仿宋_GB2312"/>
                <w:i w:val="0"/>
                <w:iCs w:val="0"/>
                <w:color w:val="auto"/>
                <w:sz w:val="28"/>
                <w:highlight w:val="none"/>
                <w:lang w:val="en-US" w:eastAsia="zh-CN"/>
              </w:rPr>
              <w:t>配合市级部门</w:t>
            </w:r>
            <w:r>
              <w:rPr>
                <w:rFonts w:hint="eastAsia" w:ascii="仿宋_GB2312" w:hAnsi="仿宋_GB2312" w:eastAsia="仿宋_GB2312" w:cs="仿宋_GB2312"/>
                <w:i w:val="0"/>
                <w:iCs w:val="0"/>
                <w:color w:val="auto"/>
                <w:sz w:val="28"/>
                <w:highlight w:val="none"/>
              </w:rPr>
              <w:t>研究修订绩效评级办法，推动企业绿色化水平持续提升。</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长期实施</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7"/>
                <w:sz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区经济和信息化局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7"/>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7"/>
                <w:sz w:val="28"/>
                <w:highlight w:val="none"/>
                <w:lang w:val="en-US" w:eastAsia="zh-CN"/>
              </w:rPr>
            </w:pPr>
            <w:r>
              <w:rPr>
                <w:rFonts w:hint="eastAsia" w:ascii="仿宋_GB2312" w:hAnsi="仿宋_GB2312" w:eastAsia="仿宋_GB2312" w:cs="仿宋_GB2312"/>
                <w:i w:val="0"/>
                <w:iCs w:val="0"/>
                <w:color w:val="auto"/>
                <w:sz w:val="28"/>
                <w:highlight w:val="none"/>
                <w:lang w:eastAsia="zh-CN"/>
              </w:rPr>
              <w:t>区</w:t>
            </w:r>
            <w:r>
              <w:rPr>
                <w:rFonts w:hint="eastAsia" w:ascii="仿宋_GB2312" w:hAnsi="仿宋_GB2312" w:eastAsia="仿宋_GB2312" w:cs="仿宋_GB2312"/>
                <w:i w:val="0"/>
                <w:iCs w:val="0"/>
                <w:color w:val="auto"/>
                <w:sz w:val="28"/>
                <w:highlight w:val="none"/>
                <w:lang w:val="en-US" w:eastAsia="zh-CN"/>
              </w:rPr>
              <w:t>空气重污染应急指挥部成员单位</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按照全市统一部署，</w:t>
            </w:r>
            <w:r>
              <w:rPr>
                <w:rFonts w:hint="eastAsia" w:ascii="仿宋_GB2312" w:hAnsi="仿宋_GB2312" w:eastAsia="仿宋_GB2312" w:cs="仿宋_GB2312"/>
                <w:i w:val="0"/>
                <w:iCs w:val="0"/>
                <w:color w:val="auto"/>
                <w:sz w:val="28"/>
                <w:highlight w:val="none"/>
              </w:rPr>
              <w:t>对京津冀三地交界地区两侧20公里以内的涉气重点行业新建项目开展环评一致性会商。</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长期实施</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相关镇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27</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加强科技标准支撑</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配合市级部门，启动京津冀环境综合治理国家科技重大专项项目“超大城市大气污染精准防治与智慧决策支撑研究与示范”研究；探索区域内含VOCs生产生活类产品溯源管理机制；探索开展本市电厂夏季余热资源“夏储冬用”研究；积极推进非道路移动机械清洁化关键技术、超大城市沥青路面建材烟气污染物全过程减排及资源化等领域的试点项目。</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区市场监管局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配合市级部门，加强大气环境智慧感知能力，提升空气质量预测预报水平，强化大数据手段在空气重污染应对过程中的应用。在固定源监管、移动源监管、精准治理、区域联防联控等业务场景，探索开展多源数据价值挖掘、数智化模型研发、智能化决策支撑等科技创新工作。</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配合市级部门，研究制定排污单位涉气类生产设施及污染治理设施用电监测、裸地遥感监测等标准指南。</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区市场监管局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3"/>
                <w:w w:val="105"/>
                <w:sz w:val="28"/>
                <w:highlight w:val="none"/>
              </w:rPr>
              <w:t>充分应用“一微克</w:t>
            </w:r>
            <w:r>
              <w:rPr>
                <w:rFonts w:hint="eastAsia" w:ascii="仿宋_GB2312" w:hAnsi="仿宋_GB2312" w:eastAsia="仿宋_GB2312" w:cs="仿宋_GB2312"/>
                <w:i w:val="0"/>
                <w:iCs w:val="0"/>
                <w:color w:val="auto"/>
                <w:spacing w:val="-3"/>
                <w:w w:val="115"/>
                <w:sz w:val="28"/>
                <w:highlight w:val="none"/>
              </w:rPr>
              <w:t>”</w:t>
            </w:r>
            <w:r>
              <w:rPr>
                <w:rFonts w:hint="eastAsia" w:ascii="仿宋_GB2312" w:hAnsi="仿宋_GB2312" w:eastAsia="仿宋_GB2312" w:cs="仿宋_GB2312"/>
                <w:i w:val="0"/>
                <w:iCs w:val="0"/>
                <w:color w:val="auto"/>
                <w:spacing w:val="-3"/>
                <w:w w:val="105"/>
                <w:sz w:val="28"/>
                <w:highlight w:val="none"/>
              </w:rPr>
              <w:t>精细化管理平台，</w:t>
            </w:r>
            <w:r>
              <w:rPr>
                <w:rFonts w:hint="eastAsia" w:ascii="仿宋_GB2312" w:hAnsi="仿宋_GB2312" w:eastAsia="仿宋_GB2312" w:cs="仿宋_GB2312"/>
                <w:i w:val="0"/>
                <w:iCs w:val="0"/>
                <w:color w:val="auto"/>
                <w:spacing w:val="-3"/>
                <w:w w:val="105"/>
                <w:sz w:val="28"/>
                <w:highlight w:val="none"/>
                <w:lang w:val="en-US" w:eastAsia="zh-CN"/>
              </w:rPr>
              <w:t>形成问题快速发现、快速处置、快速督办、快速解决的工作闭环</w:t>
            </w:r>
            <w:r>
              <w:rPr>
                <w:rFonts w:hint="eastAsia" w:ascii="仿宋_GB2312" w:hAnsi="仿宋_GB2312" w:eastAsia="仿宋_GB2312" w:cs="仿宋_GB2312"/>
                <w:i w:val="0"/>
                <w:iCs w:val="0"/>
                <w:color w:val="auto"/>
                <w:sz w:val="28"/>
                <w:highlight w:val="none"/>
              </w:rPr>
              <w:t>。</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长期实施</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371" w:type="dxa"/>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相关行业</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28</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强化监测能力建设</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提升生态环境监测基础站监测能力，大力推进特色站监测能力建设。全面推进用电在线监控技术应用，加强对产治污设施运行状况的分析诊断。</w:t>
            </w:r>
          </w:p>
        </w:tc>
        <w:tc>
          <w:tcPr>
            <w:tcW w:w="1229"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年底前</w:t>
            </w:r>
          </w:p>
        </w:tc>
        <w:tc>
          <w:tcPr>
            <w:tcW w:w="4414" w:type="dxa"/>
            <w:gridSpan w:val="2"/>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00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6"/>
                <w:sz w:val="28"/>
                <w:highlight w:val="none"/>
                <w:lang w:val="en-US" w:eastAsia="zh-CN"/>
              </w:rPr>
              <w:t>健全智能化大气监测网络，更新监测基础设施，完善基于现代感知技术和大数据技术的大气环境监测网络，强化PM</w:t>
            </w:r>
            <w:r>
              <w:rPr>
                <w:rFonts w:hint="eastAsia" w:ascii="仿宋_GB2312" w:hAnsi="仿宋_GB2312" w:eastAsia="仿宋_GB2312" w:cs="仿宋_GB2312"/>
                <w:i w:val="0"/>
                <w:iCs w:val="0"/>
                <w:color w:val="auto"/>
                <w:spacing w:val="-6"/>
                <w:sz w:val="28"/>
                <w:highlight w:val="none"/>
                <w:vertAlign w:val="subscript"/>
                <w:lang w:val="en-US" w:eastAsia="zh-CN"/>
              </w:rPr>
              <w:t>2.5</w:t>
            </w:r>
            <w:r>
              <w:rPr>
                <w:rFonts w:hint="eastAsia" w:ascii="仿宋_GB2312" w:hAnsi="仿宋_GB2312" w:eastAsia="仿宋_GB2312" w:cs="仿宋_GB2312"/>
                <w:i w:val="0"/>
                <w:iCs w:val="0"/>
                <w:color w:val="auto"/>
                <w:spacing w:val="-6"/>
                <w:sz w:val="28"/>
                <w:highlight w:val="none"/>
                <w:lang w:val="en-US" w:eastAsia="zh-CN"/>
              </w:rPr>
              <w:t>、TSP监测站网管理。</w:t>
            </w:r>
          </w:p>
        </w:tc>
        <w:tc>
          <w:tcPr>
            <w:tcW w:w="1229"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p>
        </w:tc>
        <w:tc>
          <w:tcPr>
            <w:tcW w:w="4414" w:type="dxa"/>
            <w:gridSpan w:val="2"/>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p>
        </w:tc>
        <w:tc>
          <w:tcPr>
            <w:tcW w:w="200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29</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发挥经济政策激励引导作用</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在建筑、交通、新能源、技术创新等重点领域，对符合条件的企业，引导辖区内金融机构加大信贷、保险等支持力度。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区发展改革委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lang w:val="en-US" w:eastAsia="zh-CN"/>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配合市级部门，结合碳中和目标下清洁低碳供热技术应用，研究完善更加有利于促进供热领域减污降碳的价格体系。</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区发展改革委</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区城市管理委</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6"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加强市级资金统筹，按照污染防治专项转移支付资金管理办法，向环境质量改善情况好或月度点评排名靠前、污染防治任务重的街道(乡镇)予以倾斜。加强项目储备与资金使用管理，并结合辖区实际，相应加大区级财政投入力度。</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区财政局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464"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30</w:t>
            </w:r>
          </w:p>
        </w:tc>
        <w:tc>
          <w:tcPr>
            <w:tcW w:w="945" w:type="dxa"/>
            <w:vMerge w:val="restart"/>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强化督导和监管执法</w:t>
            </w: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6"/>
                <w:sz w:val="28"/>
                <w:highlight w:val="none"/>
                <w:lang w:val="en-US" w:eastAsia="zh-CN"/>
              </w:rPr>
              <w:t>加强对大气污染防治工作的统筹调度，聚焦空气质量和含绿量提升，强化排名、通报、帮扶等机制，压紧压实各相关部门和属地大气污染防治责任。</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年底前</w:t>
            </w:r>
          </w:p>
        </w:tc>
        <w:tc>
          <w:tcPr>
            <w:tcW w:w="2043"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371"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各行业主管部门</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中关村密云园管委会</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全面实行排污许可制。重点审核空气重污染应急减排要求等内容是否按规定记载；对重点行业排污许可证质量、2024年度排污许可证执行报告开展常态化审核，审核总数分别不少于持证单位总数的三分之一；2024年度排污许可执行报告按时提交率达到98%以上；按时完成重点行业排污许可与生态环境统计衔接融合工作。督促排污单位依法披露环境信息。</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各行业主管部门</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生态环境部门结合季节特点，以VOCs和NOx为重点，加强对涉气固定源的执法检查。</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按照市级统一部署，开展市区两级“点穴式”执法工作，以空气质量排名靠后区域为重点，开展市级交叉执法，帮扶属地提高管理能力和水平。强化非现场执法检查和科技执法手段应用，年底前非现场检查量占比达到市级目标要求。针对采暖季锅炉、柴油车（械）等重点领域可以开展专项执法。</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年底前</w:t>
            </w:r>
          </w:p>
        </w:tc>
        <w:tc>
          <w:tcPr>
            <w:tcW w:w="4414"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区生态环境局</w:t>
            </w:r>
          </w:p>
        </w:tc>
        <w:tc>
          <w:tcPr>
            <w:tcW w:w="2004" w:type="dxa"/>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1"/>
                <w:sz w:val="28"/>
                <w:highlight w:val="none"/>
                <w:lang w:val="en-US" w:eastAsia="zh-CN"/>
              </w:rPr>
            </w:pPr>
            <w:r>
              <w:rPr>
                <w:rFonts w:hint="eastAsia" w:ascii="仿宋_GB2312" w:hAnsi="仿宋_GB2312" w:eastAsia="仿宋_GB2312" w:cs="仿宋_GB2312"/>
                <w:i w:val="0"/>
                <w:iCs w:val="0"/>
                <w:color w:val="auto"/>
                <w:spacing w:val="-11"/>
                <w:sz w:val="28"/>
                <w:highlight w:val="none"/>
                <w:lang w:val="en-US" w:eastAsia="zh-CN"/>
              </w:rPr>
              <w:t>中关村密云园</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464"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1"/>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p>
        </w:tc>
        <w:tc>
          <w:tcPr>
            <w:tcW w:w="945" w:type="dxa"/>
            <w:vMerge w:val="continue"/>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镇街（地区）和公安交管、城管执法等部门，组织开展贯穿全年的环境问题专项执法检查，加强对移动源、施工工地和露天焚烧等问题的执法检查。</w:t>
            </w:r>
          </w:p>
        </w:tc>
        <w:tc>
          <w:tcPr>
            <w:tcW w:w="1229"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pacing w:val="-1"/>
                <w:sz w:val="28"/>
                <w:highlight w:val="none"/>
                <w:lang w:val="en-US" w:eastAsia="zh-CN"/>
              </w:rPr>
            </w:pPr>
            <w:r>
              <w:rPr>
                <w:rFonts w:hint="eastAsia" w:ascii="仿宋_GB2312" w:hAnsi="仿宋_GB2312" w:eastAsia="仿宋_GB2312" w:cs="仿宋_GB2312"/>
                <w:i w:val="0"/>
                <w:iCs w:val="0"/>
                <w:color w:val="auto"/>
                <w:spacing w:val="-1"/>
                <w:sz w:val="28"/>
                <w:highlight w:val="none"/>
                <w:lang w:val="en-US" w:eastAsia="zh-CN"/>
              </w:rPr>
              <w:t>年底前</w:t>
            </w:r>
          </w:p>
        </w:tc>
        <w:tc>
          <w:tcPr>
            <w:tcW w:w="4414"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olor w:val="auto"/>
                <w:spacing w:val="-11"/>
                <w:sz w:val="28"/>
                <w:highlight w:val="none"/>
                <w:lang w:val="en-US" w:eastAsia="zh-CN"/>
              </w:rPr>
              <w:t>中关村密云园管委会</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区城管执法局</w:t>
            </w:r>
          </w:p>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pacing w:val="-17"/>
                <w:sz w:val="28"/>
                <w:highlight w:val="none"/>
                <w:lang w:val="en-US" w:eastAsia="zh-CN"/>
              </w:rPr>
              <w:t>区公安分局交通支队</w:t>
            </w:r>
          </w:p>
        </w:tc>
        <w:tc>
          <w:tcPr>
            <w:tcW w:w="2004"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olor w:val="auto"/>
                <w:sz w:val="28"/>
                <w:highlight w:val="none"/>
              </w:rPr>
              <w:t>——</w:t>
            </w:r>
          </w:p>
        </w:tc>
      </w:tr>
    </w:tbl>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lang w:val="en-US" w:eastAsia="zh-CN"/>
        </w:rPr>
        <w:t>附件2</w:t>
      </w:r>
    </w:p>
    <w:p>
      <w:pPr>
        <w:keepNext w:val="0"/>
        <w:keepLines w:val="0"/>
        <w:pageBreakBefore w:val="0"/>
        <w:kinsoku/>
        <w:wordWrap/>
        <w:overflowPunct/>
        <w:topLinePunct w:val="0"/>
        <w:bidi w:val="0"/>
        <w:adjustRightInd w:val="0"/>
        <w:snapToGrid w:val="0"/>
        <w:spacing w:before="159" w:beforeLines="50" w:after="159" w:afterLines="50" w:line="320" w:lineRule="exact"/>
        <w:jc w:val="center"/>
        <w:outlineLvl w:val="0"/>
        <w:rPr>
          <w:color w:val="auto"/>
          <w:sz w:val="28"/>
          <w:szCs w:val="28"/>
          <w:highlight w:val="none"/>
        </w:rPr>
      </w:pPr>
      <w:r>
        <w:rPr>
          <w:rFonts w:hint="eastAsia" w:ascii="方正小标宋简体" w:hAnsi="黑体" w:eastAsia="方正小标宋简体" w:cs="方正小标宋简体"/>
          <w:color w:val="auto"/>
          <w:sz w:val="44"/>
          <w:szCs w:val="44"/>
          <w:highlight w:val="none"/>
          <w:lang w:val="en-US" w:eastAsia="zh-CN"/>
        </w:rPr>
        <w:t>北京市密云区碧水保卫战</w:t>
      </w:r>
      <w:r>
        <w:rPr>
          <w:rFonts w:hint="eastAsia" w:ascii="方正小标宋简体" w:hAnsi="黑体" w:eastAsia="方正小标宋简体" w:cs="方正小标宋简体"/>
          <w:color w:val="auto"/>
          <w:sz w:val="44"/>
          <w:szCs w:val="44"/>
          <w:highlight w:val="none"/>
        </w:rPr>
        <w:t>202</w:t>
      </w:r>
      <w:r>
        <w:rPr>
          <w:rFonts w:hint="eastAsia" w:ascii="方正小标宋简体" w:hAnsi="黑体" w:eastAsia="方正小标宋简体" w:cs="方正小标宋简体"/>
          <w:color w:val="auto"/>
          <w:sz w:val="44"/>
          <w:szCs w:val="44"/>
          <w:highlight w:val="none"/>
          <w:lang w:val="en-US" w:eastAsia="zh-CN"/>
        </w:rPr>
        <w:t>5</w:t>
      </w:r>
      <w:r>
        <w:rPr>
          <w:rFonts w:hint="eastAsia" w:ascii="方正小标宋简体" w:hAnsi="黑体" w:eastAsia="方正小标宋简体" w:cs="方正小标宋简体"/>
          <w:color w:val="auto"/>
          <w:sz w:val="44"/>
          <w:szCs w:val="44"/>
          <w:highlight w:val="none"/>
        </w:rPr>
        <w:t>年</w:t>
      </w:r>
      <w:r>
        <w:rPr>
          <w:rFonts w:hint="eastAsia" w:ascii="方正小标宋简体" w:hAnsi="黑体" w:eastAsia="方正小标宋简体" w:cs="方正小标宋简体"/>
          <w:color w:val="auto"/>
          <w:sz w:val="44"/>
          <w:szCs w:val="44"/>
          <w:highlight w:val="none"/>
          <w:lang w:val="en-US" w:eastAsia="zh-CN"/>
        </w:rPr>
        <w:t>行动计划</w:t>
      </w:r>
    </w:p>
    <w:tbl>
      <w:tblPr>
        <w:tblStyle w:val="11"/>
        <w:tblpPr w:leftFromText="180" w:rightFromText="180" w:vertAnchor="text" w:tblpX="-896" w:tblpY="1"/>
        <w:tblOverlap w:val="never"/>
        <w:tblW w:w="15104" w:type="dxa"/>
        <w:tblInd w:w="-8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1472"/>
        <w:gridCol w:w="4978"/>
        <w:gridCol w:w="1050"/>
        <w:gridCol w:w="2175"/>
        <w:gridCol w:w="3"/>
        <w:gridCol w:w="2354"/>
        <w:gridCol w:w="2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序号</w:t>
            </w:r>
          </w:p>
        </w:tc>
        <w:tc>
          <w:tcPr>
            <w:tcW w:w="14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重点任务</w:t>
            </w: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工作措施</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时限</w:t>
            </w:r>
          </w:p>
        </w:tc>
        <w:tc>
          <w:tcPr>
            <w:tcW w:w="21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牵头部门</w:t>
            </w:r>
          </w:p>
        </w:tc>
        <w:tc>
          <w:tcPr>
            <w:tcW w:w="235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主责单位</w:t>
            </w:r>
          </w:p>
        </w:tc>
        <w:tc>
          <w:tcPr>
            <w:tcW w:w="2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协办单位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15104" w:type="dxa"/>
            <w:gridSpan w:val="8"/>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b/>
                <w:bCs/>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一、水环境质量目标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1</w:t>
            </w:r>
          </w:p>
        </w:tc>
        <w:tc>
          <w:tcPr>
            <w:tcW w:w="14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目标任务</w:t>
            </w: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巩固水生态环境质量改善成效，</w:t>
            </w:r>
            <w:r>
              <w:rPr>
                <w:rFonts w:hint="eastAsia" w:cs="仿宋_GB2312"/>
                <w:i w:val="0"/>
                <w:color w:val="auto"/>
                <w:kern w:val="0"/>
                <w:sz w:val="28"/>
                <w:szCs w:val="28"/>
                <w:highlight w:val="none"/>
                <w:u w:val="none"/>
                <w:lang w:val="en-US" w:eastAsia="zh-CN" w:bidi="ar"/>
              </w:rPr>
              <w:t>全区</w:t>
            </w:r>
            <w:r>
              <w:rPr>
                <w:rFonts w:hint="eastAsia" w:ascii="仿宋_GB2312" w:hAnsi="仿宋_GB2312" w:eastAsia="仿宋_GB2312" w:cs="仿宋_GB2312"/>
                <w:i w:val="0"/>
                <w:color w:val="auto"/>
                <w:kern w:val="0"/>
                <w:sz w:val="28"/>
                <w:szCs w:val="28"/>
                <w:highlight w:val="none"/>
                <w:u w:val="none"/>
                <w:lang w:val="en-US" w:eastAsia="zh-CN" w:bidi="ar"/>
              </w:rPr>
              <w:t>地表水国考断面水质达到国家的目标要求。</w:t>
            </w:r>
            <w:r>
              <w:rPr>
                <w:rFonts w:hint="eastAsia" w:cs="仿宋_GB2312"/>
                <w:i w:val="0"/>
                <w:color w:val="auto"/>
                <w:kern w:val="0"/>
                <w:sz w:val="28"/>
                <w:szCs w:val="28"/>
                <w:highlight w:val="none"/>
                <w:u w:val="none"/>
                <w:lang w:val="en-US" w:eastAsia="zh-CN" w:bidi="ar"/>
              </w:rPr>
              <w:t>全</w:t>
            </w:r>
            <w:r>
              <w:rPr>
                <w:rFonts w:hint="eastAsia" w:ascii="仿宋_GB2312" w:hAnsi="仿宋_GB2312" w:eastAsia="仿宋_GB2312" w:cs="仿宋_GB2312"/>
                <w:i w:val="0"/>
                <w:color w:val="auto"/>
                <w:kern w:val="0"/>
                <w:sz w:val="28"/>
                <w:szCs w:val="28"/>
                <w:highlight w:val="none"/>
                <w:u w:val="none"/>
                <w:lang w:val="en-US" w:eastAsia="zh-CN" w:bidi="ar"/>
              </w:rPr>
              <w:t>区考核断面达到</w:t>
            </w:r>
            <w:r>
              <w:rPr>
                <w:rFonts w:hint="eastAsia" w:cs="仿宋_GB2312"/>
                <w:i w:val="0"/>
                <w:color w:val="auto"/>
                <w:kern w:val="0"/>
                <w:sz w:val="28"/>
                <w:szCs w:val="28"/>
                <w:highlight w:val="none"/>
                <w:u w:val="none"/>
                <w:lang w:val="en-US" w:eastAsia="zh-CN" w:bidi="ar"/>
              </w:rPr>
              <w:t>市级</w:t>
            </w:r>
            <w:r>
              <w:rPr>
                <w:rFonts w:hint="eastAsia" w:ascii="仿宋_GB2312" w:hAnsi="仿宋_GB2312" w:eastAsia="仿宋_GB2312" w:cs="仿宋_GB2312"/>
                <w:i w:val="0"/>
                <w:color w:val="auto"/>
                <w:kern w:val="0"/>
                <w:sz w:val="28"/>
                <w:szCs w:val="28"/>
                <w:highlight w:val="none"/>
                <w:u w:val="none"/>
                <w:lang w:val="en-US" w:eastAsia="zh-CN" w:bidi="ar"/>
              </w:rPr>
              <w:t>下达的水环境质量目标要求。密云水库等集中式饮用水水源地水质保持稳定达标。地下水水质总体保持稳定。</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区生态环境局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区水务局</w:t>
            </w:r>
          </w:p>
          <w:p>
            <w:pPr>
              <w:pStyle w:val="2"/>
              <w:keepNext w:val="0"/>
              <w:keepLines w:val="0"/>
              <w:pageBreakBefore w:val="0"/>
              <w:kinsoku/>
              <w:wordWrap/>
              <w:overflowPunct/>
              <w:topLinePunct w:val="0"/>
              <w:bidi w:val="0"/>
              <w:spacing w:line="320" w:lineRule="exact"/>
              <w:rPr>
                <w:rFonts w:hint="eastAsia"/>
                <w:color w:val="auto"/>
              </w:rPr>
            </w:pPr>
          </w:p>
        </w:tc>
        <w:tc>
          <w:tcPr>
            <w:tcW w:w="235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区生态环境局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cs="仿宋_GB2312"/>
                <w:color w:val="auto"/>
                <w:sz w:val="28"/>
                <w:szCs w:val="28"/>
                <w:highlight w:val="none"/>
                <w:u w:val="none" w:color="auto"/>
                <w:lang w:val="en-US" w:eastAsia="zh-CN"/>
              </w:rPr>
              <w:t>区城市管理委</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密云水库综合</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执法大队</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w w:val="90"/>
                <w:sz w:val="28"/>
                <w:szCs w:val="28"/>
                <w:highlight w:val="none"/>
                <w:u w:val="none" w:color="auto"/>
                <w:lang w:val="en-US" w:eastAsia="zh-CN"/>
              </w:rPr>
            </w:pPr>
            <w:r>
              <w:rPr>
                <w:rFonts w:hint="eastAsia" w:ascii="仿宋_GB2312" w:hAnsi="仿宋_GB2312" w:eastAsia="仿宋_GB2312" w:cs="仿宋_GB2312"/>
                <w:color w:val="auto"/>
                <w:w w:val="90"/>
                <w:sz w:val="28"/>
                <w:szCs w:val="28"/>
                <w:highlight w:val="none"/>
                <w:u w:val="none" w:color="auto"/>
                <w:lang w:val="en-US" w:eastAsia="zh-CN"/>
              </w:rPr>
              <w:t>区住房城乡</w:t>
            </w:r>
            <w:r>
              <w:rPr>
                <w:rFonts w:hint="eastAsia" w:cs="仿宋_GB2312"/>
                <w:color w:val="auto"/>
                <w:w w:val="90"/>
                <w:sz w:val="28"/>
                <w:szCs w:val="28"/>
                <w:highlight w:val="none"/>
                <w:u w:val="none" w:color="auto"/>
                <w:lang w:val="en-US" w:eastAsia="zh-CN"/>
              </w:rPr>
              <w:t>建设</w:t>
            </w:r>
            <w:r>
              <w:rPr>
                <w:rFonts w:hint="eastAsia" w:ascii="仿宋_GB2312" w:hAnsi="仿宋_GB2312" w:eastAsia="仿宋_GB2312" w:cs="仿宋_GB2312"/>
                <w:color w:val="auto"/>
                <w:w w:val="90"/>
                <w:sz w:val="28"/>
                <w:szCs w:val="28"/>
                <w:highlight w:val="none"/>
                <w:u w:val="none" w:color="auto"/>
                <w:lang w:val="en-US" w:eastAsia="zh-CN"/>
              </w:rPr>
              <w:t>委</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石城镇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高岭镇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太师屯镇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冯家峪镇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巨各庄镇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穆家峪镇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溪翁庄镇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鼓楼街道</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果园街道</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十里堡镇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西田各庄镇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中关村密云园</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sz w:val="28"/>
                <w:szCs w:val="28"/>
                <w:highlight w:val="none"/>
                <w:u w:val="none" w:color="auto"/>
                <w:lang w:val="en-US" w:eastAsia="zh-CN"/>
              </w:rPr>
              <w:t>管委会</w:t>
            </w:r>
          </w:p>
        </w:tc>
        <w:tc>
          <w:tcPr>
            <w:tcW w:w="256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区发展改革委</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市规划自然资源委密云分局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区农业农村局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区园林绿化局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u w:val="none" w:color="auto"/>
                <w:lang w:val="en-US" w:eastAsia="zh-Hans"/>
              </w:rPr>
              <w:t>区经济和信息化局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blHeader/>
        </w:trPr>
        <w:tc>
          <w:tcPr>
            <w:tcW w:w="5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2</w:t>
            </w:r>
          </w:p>
        </w:tc>
        <w:tc>
          <w:tcPr>
            <w:tcW w:w="14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深入实施</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总量减排</w:t>
            </w: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实现主要水污染物排放总量持续下降，完成化学需氧量（COD）、氨氮（NH</w:t>
            </w:r>
            <w:r>
              <w:rPr>
                <w:rFonts w:hint="eastAsia" w:ascii="仿宋_GB2312" w:hAnsi="仿宋_GB2312" w:eastAsia="仿宋_GB2312" w:cs="仿宋_GB2312"/>
                <w:i w:val="0"/>
                <w:color w:val="auto"/>
                <w:kern w:val="0"/>
                <w:sz w:val="28"/>
                <w:szCs w:val="28"/>
                <w:highlight w:val="none"/>
                <w:u w:val="none"/>
                <w:vertAlign w:val="subscript"/>
                <w:lang w:val="en-US" w:eastAsia="zh-CN" w:bidi="ar"/>
              </w:rPr>
              <w:t>3</w:t>
            </w:r>
            <w:r>
              <w:rPr>
                <w:rFonts w:hint="eastAsia" w:ascii="仿宋_GB2312" w:hAnsi="仿宋_GB2312" w:eastAsia="仿宋_GB2312" w:cs="仿宋_GB2312"/>
                <w:i w:val="0"/>
                <w:color w:val="auto"/>
                <w:kern w:val="0"/>
                <w:sz w:val="28"/>
                <w:szCs w:val="28"/>
                <w:highlight w:val="none"/>
                <w:u w:val="none"/>
                <w:lang w:val="en-US" w:eastAsia="zh-CN" w:bidi="ar"/>
              </w:rPr>
              <w:t>-N）</w:t>
            </w:r>
            <w:r>
              <w:rPr>
                <w:rFonts w:hint="eastAsia" w:cs="仿宋_GB2312"/>
                <w:i w:val="0"/>
                <w:color w:val="auto"/>
                <w:kern w:val="0"/>
                <w:sz w:val="28"/>
                <w:szCs w:val="28"/>
                <w:highlight w:val="none"/>
                <w:u w:val="none"/>
                <w:lang w:val="en-US" w:eastAsia="zh-CN" w:bidi="ar"/>
              </w:rPr>
              <w:t>市级</w:t>
            </w:r>
            <w:r>
              <w:rPr>
                <w:rFonts w:hint="eastAsia" w:ascii="仿宋_GB2312" w:hAnsi="仿宋_GB2312" w:eastAsia="仿宋_GB2312" w:cs="仿宋_GB2312"/>
                <w:i w:val="0"/>
                <w:color w:val="auto"/>
                <w:kern w:val="0"/>
                <w:sz w:val="28"/>
                <w:szCs w:val="28"/>
                <w:highlight w:val="none"/>
                <w:u w:val="none"/>
                <w:lang w:val="en-US" w:eastAsia="zh-CN" w:bidi="ar"/>
              </w:rPr>
              <w:t>减排目标要求。</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区生态环境局</w:t>
            </w:r>
          </w:p>
        </w:tc>
        <w:tc>
          <w:tcPr>
            <w:tcW w:w="235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w w:val="80"/>
                <w:sz w:val="28"/>
                <w:szCs w:val="28"/>
                <w:highlight w:val="none"/>
                <w:lang w:val="en-US" w:eastAsia="zh-CN"/>
              </w:rPr>
              <w:t>中关村密云园</w:t>
            </w:r>
            <w:r>
              <w:rPr>
                <w:rFonts w:hint="eastAsia" w:cs="仿宋_GB2312"/>
                <w:color w:val="auto"/>
                <w:w w:val="80"/>
                <w:sz w:val="28"/>
                <w:szCs w:val="28"/>
                <w:highlight w:val="none"/>
                <w:lang w:val="en-US" w:eastAsia="zh-CN"/>
              </w:rPr>
              <w:t>管委会</w:t>
            </w:r>
          </w:p>
        </w:tc>
        <w:tc>
          <w:tcPr>
            <w:tcW w:w="2563"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区经济和信息化局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u w:val="none" w:color="auto"/>
                <w:lang w:val="en-US" w:eastAsia="zh-CN"/>
              </w:rPr>
              <w:t>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15104" w:type="dxa"/>
            <w:gridSpan w:val="8"/>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二、水资源保护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3</w:t>
            </w:r>
          </w:p>
          <w:p>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仿宋_GB2312" w:hAnsi="仿宋_GB2312" w:eastAsia="仿宋_GB2312" w:cs="仿宋_GB2312"/>
                <w:i w:val="0"/>
                <w:color w:val="auto"/>
                <w:sz w:val="28"/>
                <w:szCs w:val="28"/>
                <w:highlight w:val="none"/>
                <w:u w:val="none"/>
                <w:lang w:val="en-US" w:eastAsia="zh-CN"/>
              </w:rPr>
            </w:pP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饮用水</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保护</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落实《北京市推进供水高质量发展三年行动方案（2023年—2025年）》任务要求，结合饮用水供水设施建设进展和水源地布局调整，动态更新</w:t>
            </w:r>
            <w:r>
              <w:rPr>
                <w:rFonts w:hint="eastAsia" w:cs="仿宋_GB2312"/>
                <w:i w:val="0"/>
                <w:color w:val="auto"/>
                <w:kern w:val="0"/>
                <w:sz w:val="28"/>
                <w:szCs w:val="28"/>
                <w:highlight w:val="none"/>
                <w:u w:val="none"/>
                <w:lang w:val="en-US" w:eastAsia="zh-CN" w:bidi="ar"/>
              </w:rPr>
              <w:t>全区</w:t>
            </w:r>
            <w:r>
              <w:rPr>
                <w:rFonts w:hint="eastAsia" w:ascii="仿宋_GB2312" w:hAnsi="仿宋_GB2312" w:eastAsia="仿宋_GB2312" w:cs="仿宋_GB2312"/>
                <w:i w:val="0"/>
                <w:color w:val="auto"/>
                <w:kern w:val="0"/>
                <w:sz w:val="28"/>
                <w:szCs w:val="28"/>
                <w:highlight w:val="none"/>
                <w:u w:val="none"/>
                <w:lang w:val="en-US" w:eastAsia="zh-CN" w:bidi="ar"/>
              </w:rPr>
              <w:t>饮用水水源地名录及取水井、取水量、供水人口等数据并与生态环境部门共享。加强饮用水供水厂站水源水和出厂水水质检测；对水质不达标的饮用水水源，采取水源置换、集中供水、深度处理等措施确保饮用水安全。加强农村水源保护巡查，确保水源井周边30米范围内无污水、无垃圾、无渗厕、无养殖场等污染源。</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eastAsia="zh-CN"/>
              </w:rPr>
              <w:t>区水务局</w:t>
            </w:r>
          </w:p>
        </w:tc>
        <w:tc>
          <w:tcPr>
            <w:tcW w:w="2357" w:type="dxa"/>
            <w:gridSpan w:val="2"/>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lang w:eastAsia="zh-CN"/>
              </w:rPr>
            </w:pP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lang w:eastAsia="zh-CN"/>
              </w:rPr>
            </w:pP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区生态环境局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cs="仿宋_GB2312"/>
                <w:b w:val="0"/>
                <w:bCs w:val="0"/>
                <w:color w:val="auto"/>
                <w:kern w:val="2"/>
                <w:sz w:val="28"/>
                <w:szCs w:val="28"/>
                <w:highlight w:val="none"/>
                <w:lang w:val="en-US" w:eastAsia="zh-CN" w:bidi="ar-SA"/>
              </w:rPr>
              <w:t>区卫生健康委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b w:val="0"/>
                <w:bCs w:val="0"/>
                <w:color w:val="auto"/>
                <w:w w:val="8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管委会</w:t>
            </w:r>
          </w:p>
          <w:p>
            <w:pPr>
              <w:pStyle w:val="8"/>
              <w:keepNext w:val="0"/>
              <w:keepLines w:val="0"/>
              <w:pageBreakBefore w:val="0"/>
              <w:kinsoku/>
              <w:wordWrap/>
              <w:overflowPunct/>
              <w:topLinePunct w:val="0"/>
              <w:bidi w:val="0"/>
              <w:spacing w:line="320" w:lineRule="exact"/>
              <w:ind w:left="3520" w:leftChars="1600"/>
              <w:jc w:val="center"/>
              <w:rPr>
                <w:rFonts w:hint="eastAsia" w:ascii="仿宋_GB2312" w:hAnsi="仿宋_GB2312" w:eastAsia="仿宋_GB2312" w:cs="仿宋_GB2312"/>
                <w:i w:val="0"/>
                <w:color w:val="auto"/>
                <w:sz w:val="28"/>
                <w:szCs w:val="28"/>
                <w:highlight w:val="none"/>
                <w:u w:val="none"/>
              </w:rPr>
            </w:pPr>
          </w:p>
        </w:tc>
        <w:tc>
          <w:tcPr>
            <w:tcW w:w="2563"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default" w:ascii="仿宋_GB2312" w:hAnsi="仿宋_GB2312" w:eastAsia="仿宋_GB2312" w:cs="仿宋_GB2312"/>
                <w:i w:val="0"/>
                <w:color w:val="auto"/>
                <w:sz w:val="28"/>
                <w:szCs w:val="28"/>
                <w:highlight w:val="none"/>
                <w:u w:val="none"/>
              </w:rPr>
            </w:pPr>
            <w:r>
              <w:rPr>
                <w:rFonts w:hint="default" w:cs="仿宋_GB2312"/>
                <w:i w:val="0"/>
                <w:color w:val="auto"/>
                <w:sz w:val="28"/>
                <w:szCs w:val="28"/>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6"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结合饮用水水源地名录及区域规划，统筹实施辖区集中式水源地饮用水水源保护区划定调整和分散式水源地饮用水水源保护范围划定，推进完善全覆盖的饮用水水源地保护管理体系。2025年底前完成名录内所有集中式水源地保护区和分散式水源地保护范围划定。</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453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sz w:val="28"/>
                <w:szCs w:val="28"/>
                <w:highlight w:val="none"/>
                <w:lang w:val="en-US" w:eastAsia="zh-CN"/>
              </w:rPr>
              <w:t>中关村密云园</w:t>
            </w:r>
            <w:r>
              <w:rPr>
                <w:rFonts w:hint="eastAsia"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0"/>
                <w:sz w:val="28"/>
                <w:szCs w:val="28"/>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开展</w:t>
            </w:r>
            <w:r>
              <w:rPr>
                <w:rFonts w:hint="eastAsia" w:cs="仿宋_GB2312"/>
                <w:i w:val="0"/>
                <w:color w:val="auto"/>
                <w:kern w:val="0"/>
                <w:sz w:val="28"/>
                <w:szCs w:val="28"/>
                <w:highlight w:val="none"/>
                <w:u w:val="none"/>
                <w:lang w:val="en-US" w:eastAsia="zh-CN" w:bidi="ar"/>
              </w:rPr>
              <w:t>全区</w:t>
            </w:r>
            <w:r>
              <w:rPr>
                <w:rFonts w:hint="eastAsia" w:ascii="仿宋_GB2312" w:hAnsi="仿宋_GB2312" w:eastAsia="仿宋_GB2312" w:cs="仿宋_GB2312"/>
                <w:i w:val="0"/>
                <w:color w:val="auto"/>
                <w:kern w:val="0"/>
                <w:sz w:val="28"/>
                <w:szCs w:val="28"/>
                <w:highlight w:val="none"/>
                <w:u w:val="none"/>
                <w:lang w:val="en-US" w:eastAsia="zh-CN" w:bidi="ar"/>
              </w:rPr>
              <w:t>饮用水水源地环境状况年度调查评估，按国家要求完成系统填报，年底前提交评估报告，实现水源地“一源一档”动态管理。</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tc>
        <w:tc>
          <w:tcPr>
            <w:tcW w:w="2357" w:type="dxa"/>
            <w:gridSpan w:val="2"/>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Hans"/>
              </w:rPr>
              <w:t>相关镇</w:t>
            </w:r>
            <w:r>
              <w:rPr>
                <w:rFonts w:hint="eastAsia" w:ascii="仿宋_GB2312" w:hAnsi="仿宋_GB2312" w:eastAsia="仿宋_GB2312" w:cs="仿宋_GB2312"/>
                <w:color w:val="auto"/>
                <w:sz w:val="28"/>
                <w:szCs w:val="28"/>
                <w:highlight w:val="none"/>
                <w:lang w:val="en-US" w:eastAsia="zh-CN"/>
              </w:rPr>
              <w:t>街（地区）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0"/>
                <w:sz w:val="28"/>
                <w:szCs w:val="28"/>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6"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开展水源地专项执法和日常监管</w:t>
            </w:r>
            <w:r>
              <w:rPr>
                <w:rFonts w:hint="eastAsia" w:cs="仿宋_GB2312"/>
                <w:i w:val="0"/>
                <w:color w:val="auto"/>
                <w:kern w:val="0"/>
                <w:sz w:val="28"/>
                <w:szCs w:val="28"/>
                <w:highlight w:val="none"/>
                <w:u w:val="none"/>
                <w:lang w:val="en-US" w:eastAsia="zh-CN" w:bidi="ar"/>
              </w:rPr>
              <w:t>，</w:t>
            </w:r>
            <w:r>
              <w:rPr>
                <w:rFonts w:hint="eastAsia" w:ascii="仿宋_GB2312" w:hAnsi="仿宋_GB2312" w:eastAsia="仿宋_GB2312" w:cs="仿宋_GB2312"/>
                <w:i w:val="0"/>
                <w:color w:val="auto"/>
                <w:kern w:val="0"/>
                <w:sz w:val="28"/>
                <w:szCs w:val="28"/>
                <w:highlight w:val="none"/>
                <w:u w:val="none"/>
                <w:lang w:val="en-US" w:eastAsia="zh-CN" w:bidi="ar"/>
              </w:rPr>
              <w:t>加强</w:t>
            </w:r>
            <w:r>
              <w:rPr>
                <w:rFonts w:hint="eastAsia" w:cs="仿宋_GB2312"/>
                <w:i w:val="0"/>
                <w:color w:val="auto"/>
                <w:kern w:val="0"/>
                <w:sz w:val="28"/>
                <w:szCs w:val="28"/>
                <w:highlight w:val="none"/>
                <w:u w:val="none"/>
                <w:lang w:val="en-US" w:eastAsia="zh-CN" w:bidi="ar"/>
              </w:rPr>
              <w:t>监管、监察、监测部门</w:t>
            </w:r>
            <w:r>
              <w:rPr>
                <w:rFonts w:hint="eastAsia" w:ascii="仿宋_GB2312" w:hAnsi="仿宋_GB2312" w:eastAsia="仿宋_GB2312" w:cs="仿宋_GB2312"/>
                <w:i w:val="0"/>
                <w:color w:val="auto"/>
                <w:kern w:val="0"/>
                <w:sz w:val="28"/>
                <w:szCs w:val="28"/>
                <w:highlight w:val="none"/>
                <w:u w:val="none"/>
                <w:lang w:val="en-US" w:eastAsia="zh-CN" w:bidi="ar"/>
              </w:rPr>
              <w:t>“三监联动”，动态清理整治水源保护区内影响水源安全的排污口、垃圾堆放等环境问题。对新划定、调整或受水毁影响的水源保护区（水源井）完善封闭隔离设施和标志标识牌。加强饮用水源地保护区风险防范和应急管理。</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区生态环境局</w:t>
            </w:r>
          </w:p>
          <w:p>
            <w:pPr>
              <w:keepNext w:val="0"/>
              <w:keepLines w:val="0"/>
              <w:pageBreakBefore w:val="0"/>
              <w:kinsoku/>
              <w:wordWrap/>
              <w:overflowPunct/>
              <w:topLinePunct w:val="0"/>
              <w:bidi w:val="0"/>
              <w:spacing w:line="320" w:lineRule="exact"/>
              <w:jc w:val="center"/>
              <w:rPr>
                <w:rFonts w:hint="eastAsia"/>
                <w:color w:val="auto"/>
                <w:lang w:val="en-US" w:eastAsia="zh-CN"/>
              </w:rPr>
            </w:pPr>
            <w:r>
              <w:rPr>
                <w:rFonts w:hint="eastAsia" w:ascii="仿宋_GB2312" w:hAnsi="仿宋_GB2312" w:eastAsia="仿宋_GB2312" w:cs="仿宋_GB2312"/>
                <w:color w:val="auto"/>
                <w:sz w:val="28"/>
                <w:szCs w:val="28"/>
                <w:highlight w:val="none"/>
                <w:lang w:val="en-US" w:eastAsia="zh-CN"/>
              </w:rPr>
              <w:t>区</w:t>
            </w:r>
            <w:r>
              <w:rPr>
                <w:rFonts w:hint="eastAsia" w:ascii="仿宋_GB2312" w:hAnsi="仿宋_GB2312" w:eastAsia="仿宋_GB2312" w:cs="仿宋_GB2312"/>
                <w:color w:val="auto"/>
                <w:sz w:val="28"/>
                <w:szCs w:val="28"/>
                <w:highlight w:val="none"/>
                <w:lang w:val="en-US" w:eastAsia="zh-Hans"/>
              </w:rPr>
              <w:t>水务局</w:t>
            </w:r>
          </w:p>
        </w:tc>
        <w:tc>
          <w:tcPr>
            <w:tcW w:w="2357" w:type="dxa"/>
            <w:gridSpan w:val="2"/>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区生态环境局</w:t>
            </w:r>
          </w:p>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区</w:t>
            </w:r>
            <w:r>
              <w:rPr>
                <w:rFonts w:hint="eastAsia" w:ascii="仿宋_GB2312" w:hAnsi="仿宋_GB2312" w:eastAsia="仿宋_GB2312" w:cs="仿宋_GB2312"/>
                <w:color w:val="auto"/>
                <w:sz w:val="28"/>
                <w:szCs w:val="28"/>
                <w:highlight w:val="none"/>
              </w:rPr>
              <w:t>水务局</w:t>
            </w:r>
          </w:p>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密云水库综合</w:t>
            </w:r>
          </w:p>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执法大队</w:t>
            </w:r>
          </w:p>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相关镇街（地区）</w:t>
            </w:r>
          </w:p>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kinsoku/>
              <w:wordWrap/>
              <w:overflowPunct/>
              <w:topLinePunct w:val="0"/>
              <w:bidi w:val="0"/>
              <w:spacing w:line="320" w:lineRule="exact"/>
              <w:jc w:val="center"/>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vAlign w:val="center"/>
          </w:tcPr>
          <w:p>
            <w:pPr>
              <w:pStyle w:val="10"/>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cs="仿宋_GB2312"/>
                <w:i w:val="0"/>
                <w:color w:val="auto"/>
                <w:sz w:val="28"/>
                <w:szCs w:val="28"/>
                <w:highlight w:val="none"/>
                <w:u w:val="none"/>
                <w:lang w:eastAsia="zh-CN"/>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加强饮用水水质监测评价，定期向社会公开市级、区级、乡镇级饮用水安全状况信息，推进村级饮用水安全状况信息公开。</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4532" w:type="dxa"/>
            <w:gridSpan w:val="3"/>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区生态环境局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区水务局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cs="仿宋_GB2312"/>
                <w:color w:val="auto"/>
                <w:kern w:val="2"/>
                <w:sz w:val="28"/>
                <w:szCs w:val="28"/>
                <w:highlight w:val="none"/>
                <w:lang w:val="en-US" w:eastAsia="zh-CN"/>
              </w:rPr>
              <w:t>区卫生健康委</w:t>
            </w:r>
          </w:p>
        </w:tc>
        <w:tc>
          <w:tcPr>
            <w:tcW w:w="2563"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rPr>
              <w:t>相关镇街（地区）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
              </w:rPr>
              <w:t>4</w:t>
            </w: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加强地下水保护</w:t>
            </w: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落实地下水水质保持方案，确保地下水水质保持稳定。对辖区地下水污染风险监控点开展丰、枯水期监测。</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Hans"/>
              </w:rPr>
              <w:t>区生态环境局</w:t>
            </w:r>
          </w:p>
        </w:tc>
        <w:tc>
          <w:tcPr>
            <w:tcW w:w="2357" w:type="dxa"/>
            <w:gridSpan w:val="2"/>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区生态环境局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区水务局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相关镇街（地区）</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中关村密云园</w:t>
            </w:r>
          </w:p>
          <w:p>
            <w:pPr>
              <w:keepNext w:val="0"/>
              <w:keepLines w:val="0"/>
              <w:pageBreakBefore w:val="0"/>
              <w:kinsoku/>
              <w:wordWrap/>
              <w:overflowPunct/>
              <w:topLinePunct w:val="0"/>
              <w:bidi w:val="0"/>
              <w:adjustRightInd w:val="0"/>
              <w:snapToGrid w:val="0"/>
              <w:spacing w:line="320" w:lineRule="exact"/>
              <w:jc w:val="center"/>
              <w:rPr>
                <w:rFonts w:hint="default"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管委会</w:t>
            </w:r>
          </w:p>
        </w:tc>
        <w:tc>
          <w:tcPr>
            <w:tcW w:w="2563"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cs="仿宋_GB2312"/>
                <w:color w:val="auto"/>
                <w:kern w:val="2"/>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kern w:val="0"/>
                <w:sz w:val="28"/>
                <w:szCs w:val="28"/>
                <w:highlight w:val="none"/>
                <w:u w:val="none" w:color="auto"/>
                <w:lang w:val="en-US" w:eastAsia="zh-CN" w:bidi="ar"/>
              </w:rPr>
            </w:pPr>
            <w:r>
              <w:rPr>
                <w:rFonts w:hint="eastAsia" w:ascii="仿宋_GB2312" w:hAnsi="仿宋_GB2312" w:eastAsia="仿宋_GB2312" w:cs="仿宋_GB2312"/>
                <w:i w:val="0"/>
                <w:color w:val="auto"/>
                <w:kern w:val="0"/>
                <w:sz w:val="28"/>
                <w:szCs w:val="28"/>
                <w:highlight w:val="none"/>
                <w:u w:val="none" w:color="auto"/>
                <w:lang w:val="en-US" w:eastAsia="zh-CN" w:bidi="ar"/>
              </w:rPr>
              <w:t>推进地下水超采治理，落实《北京市地下水超采综合治理实施方案</w:t>
            </w:r>
            <w:r>
              <w:rPr>
                <w:rFonts w:hint="eastAsia" w:cs="仿宋_GB2312"/>
                <w:i w:val="0"/>
                <w:color w:val="auto"/>
                <w:kern w:val="0"/>
                <w:sz w:val="28"/>
                <w:szCs w:val="28"/>
                <w:highlight w:val="none"/>
                <w:u w:val="none" w:color="auto"/>
                <w:lang w:val="en-US" w:eastAsia="zh-CN" w:bidi="ar"/>
              </w:rPr>
              <w:t>（</w:t>
            </w:r>
            <w:r>
              <w:rPr>
                <w:rFonts w:hint="eastAsia" w:ascii="仿宋_GB2312" w:hAnsi="仿宋_GB2312" w:eastAsia="仿宋_GB2312" w:cs="仿宋_GB2312"/>
                <w:i w:val="0"/>
                <w:color w:val="auto"/>
                <w:kern w:val="0"/>
                <w:sz w:val="28"/>
                <w:szCs w:val="28"/>
                <w:highlight w:val="none"/>
                <w:u w:val="none" w:color="auto"/>
                <w:lang w:val="en-US" w:eastAsia="zh-CN" w:bidi="ar"/>
              </w:rPr>
              <w:t>2023年-2025年</w:t>
            </w:r>
            <w:r>
              <w:rPr>
                <w:rFonts w:hint="eastAsia" w:cs="仿宋_GB2312"/>
                <w:i w:val="0"/>
                <w:color w:val="auto"/>
                <w:kern w:val="0"/>
                <w:sz w:val="28"/>
                <w:szCs w:val="28"/>
                <w:highlight w:val="none"/>
                <w:u w:val="none" w:color="auto"/>
                <w:lang w:val="en-US" w:eastAsia="zh-CN" w:bidi="ar"/>
              </w:rPr>
              <w:t>）</w:t>
            </w:r>
            <w:r>
              <w:rPr>
                <w:rFonts w:hint="eastAsia" w:ascii="仿宋_GB2312" w:hAnsi="仿宋_GB2312" w:eastAsia="仿宋_GB2312" w:cs="仿宋_GB2312"/>
                <w:i w:val="0"/>
                <w:color w:val="auto"/>
                <w:kern w:val="0"/>
                <w:sz w:val="28"/>
                <w:szCs w:val="28"/>
                <w:highlight w:val="none"/>
                <w:u w:val="none" w:color="auto"/>
                <w:lang w:val="en-US" w:eastAsia="zh-CN" w:bidi="ar"/>
              </w:rPr>
              <w:t>》</w:t>
            </w:r>
            <w:r>
              <w:rPr>
                <w:rFonts w:hint="eastAsia" w:cs="仿宋_GB2312"/>
                <w:i w:val="0"/>
                <w:color w:val="auto"/>
                <w:kern w:val="0"/>
                <w:sz w:val="28"/>
                <w:szCs w:val="28"/>
                <w:highlight w:val="none"/>
                <w:u w:val="none" w:color="auto"/>
                <w:lang w:val="en-US" w:eastAsia="zh-CN" w:bidi="ar"/>
              </w:rPr>
              <w:t>各项任务</w:t>
            </w:r>
            <w:r>
              <w:rPr>
                <w:rFonts w:hint="eastAsia" w:ascii="仿宋_GB2312" w:hAnsi="仿宋_GB2312" w:eastAsia="仿宋_GB2312" w:cs="仿宋_GB2312"/>
                <w:i w:val="0"/>
                <w:color w:val="auto"/>
                <w:kern w:val="0"/>
                <w:sz w:val="28"/>
                <w:szCs w:val="28"/>
                <w:highlight w:val="none"/>
                <w:u w:val="none" w:color="auto"/>
                <w:lang w:val="en-US" w:eastAsia="zh-CN" w:bidi="ar"/>
              </w:rPr>
              <w:t>。</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cs="仿宋_GB2312"/>
                <w:i w:val="0"/>
                <w:color w:val="auto"/>
                <w:sz w:val="28"/>
                <w:szCs w:val="28"/>
                <w:highlight w:val="none"/>
                <w:u w:val="none"/>
                <w:lang w:eastAsia="zh-CN"/>
              </w:rPr>
            </w:pPr>
            <w:r>
              <w:rPr>
                <w:rFonts w:hint="eastAsia" w:cs="仿宋_GB2312"/>
                <w:i w:val="0"/>
                <w:color w:val="auto"/>
                <w:sz w:val="28"/>
                <w:szCs w:val="28"/>
                <w:highlight w:val="none"/>
                <w:u w:val="none"/>
                <w:lang w:eastAsia="zh-CN"/>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cs="仿宋_GB2312"/>
                <w:i w:val="0"/>
                <w:color w:val="auto"/>
                <w:sz w:val="28"/>
                <w:szCs w:val="28"/>
                <w:highlight w:val="none"/>
                <w:u w:val="none"/>
                <w:lang w:eastAsia="zh-CN"/>
              </w:rPr>
              <w:t>实施</w:t>
            </w:r>
          </w:p>
        </w:tc>
        <w:tc>
          <w:tcPr>
            <w:tcW w:w="2175" w:type="dxa"/>
            <w:tcBorders>
              <w:tl2br w:val="nil"/>
              <w:tr2bl w:val="nil"/>
            </w:tcBorders>
            <w:vAlign w:val="center"/>
          </w:tcPr>
          <w:p>
            <w:pPr>
              <w:keepNext w:val="0"/>
              <w:keepLines w:val="0"/>
              <w:pageBreakBefore w:val="0"/>
              <w:widowControl/>
              <w:kinsoku/>
              <w:wordWrap/>
              <w:overflowPunct/>
              <w:topLinePunct w:val="0"/>
              <w:bidi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eastAsia="zh-CN"/>
              </w:rPr>
              <w:t>区</w:t>
            </w:r>
            <w:r>
              <w:rPr>
                <w:rFonts w:hint="eastAsia" w:ascii="仿宋_GB2312" w:hAnsi="仿宋_GB2312" w:eastAsia="仿宋_GB2312" w:cs="仿宋_GB2312"/>
                <w:color w:val="auto"/>
                <w:kern w:val="2"/>
                <w:sz w:val="28"/>
                <w:szCs w:val="28"/>
                <w:highlight w:val="none"/>
              </w:rPr>
              <w:t>水务局</w:t>
            </w:r>
          </w:p>
        </w:tc>
        <w:tc>
          <w:tcPr>
            <w:tcW w:w="235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eastAsia="zh-CN"/>
              </w:rPr>
              <w:t>区</w:t>
            </w:r>
            <w:r>
              <w:rPr>
                <w:rFonts w:hint="eastAsia" w:ascii="仿宋_GB2312" w:hAnsi="仿宋_GB2312" w:eastAsia="仿宋_GB2312" w:cs="仿宋_GB2312"/>
                <w:color w:val="auto"/>
                <w:kern w:val="2"/>
                <w:sz w:val="28"/>
                <w:szCs w:val="28"/>
                <w:highlight w:val="none"/>
              </w:rPr>
              <w:t>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区园林绿化局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widowControl/>
              <w:kinsoku/>
              <w:wordWrap/>
              <w:overflowPunct/>
              <w:topLinePunct w:val="0"/>
              <w:bidi w:val="0"/>
              <w:spacing w:line="320" w:lineRule="exact"/>
              <w:jc w:val="center"/>
              <w:textAlignment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中关村密云园</w:t>
            </w:r>
          </w:p>
          <w:p>
            <w:pPr>
              <w:keepNext w:val="0"/>
              <w:keepLines w:val="0"/>
              <w:pageBreakBefore w:val="0"/>
              <w:widowControl/>
              <w:kinsoku/>
              <w:wordWrap/>
              <w:overflowPunct/>
              <w:topLinePunct w:val="0"/>
              <w:bidi w:val="0"/>
              <w:spacing w:line="320" w:lineRule="exact"/>
              <w:jc w:val="center"/>
              <w:textAlignment w:val="center"/>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kern w:val="2"/>
                <w:sz w:val="28"/>
                <w:szCs w:val="28"/>
                <w:highlight w:val="none"/>
                <w:lang w:val="en-US" w:eastAsia="zh-CN"/>
              </w:rPr>
              <w:t>管委会</w:t>
            </w:r>
          </w:p>
        </w:tc>
        <w:tc>
          <w:tcPr>
            <w:tcW w:w="2563" w:type="dxa"/>
            <w:tcBorders>
              <w:tl2br w:val="nil"/>
              <w:tr2bl w:val="nil"/>
            </w:tcBorders>
            <w:vAlign w:val="center"/>
          </w:tcPr>
          <w:p>
            <w:pPr>
              <w:keepNext w:val="0"/>
              <w:keepLines w:val="0"/>
              <w:pageBreakBefore w:val="0"/>
              <w:widowControl/>
              <w:kinsoku/>
              <w:wordWrap/>
              <w:overflowPunct/>
              <w:topLinePunct w:val="0"/>
              <w:bidi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0"/>
                <w:sz w:val="28"/>
                <w:szCs w:val="28"/>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color="auto"/>
                <w:lang w:val="en-US" w:eastAsia="zh-CN" w:bidi="ar"/>
              </w:rPr>
              <w:t>配合市级</w:t>
            </w:r>
            <w:r>
              <w:rPr>
                <w:rFonts w:hint="eastAsia" w:ascii="仿宋_GB2312" w:hAnsi="仿宋_GB2312" w:eastAsia="仿宋_GB2312" w:cs="仿宋_GB2312"/>
                <w:i w:val="0"/>
                <w:color w:val="auto"/>
                <w:kern w:val="0"/>
                <w:sz w:val="28"/>
                <w:szCs w:val="28"/>
                <w:highlight w:val="none"/>
                <w:u w:val="none"/>
                <w:lang w:val="en-US" w:eastAsia="zh-CN" w:bidi="ar"/>
              </w:rPr>
              <w:t>地下水污染风险源分类分级</w:t>
            </w:r>
            <w:r>
              <w:rPr>
                <w:rFonts w:hint="eastAsia" w:cs="仿宋_GB2312"/>
                <w:i w:val="0"/>
                <w:color w:val="auto"/>
                <w:kern w:val="0"/>
                <w:sz w:val="28"/>
                <w:szCs w:val="28"/>
                <w:highlight w:val="none"/>
                <w:u w:val="none"/>
                <w:lang w:val="en-US" w:eastAsia="zh-CN" w:bidi="ar"/>
              </w:rPr>
              <w:t>措施</w:t>
            </w:r>
            <w:r>
              <w:rPr>
                <w:rFonts w:hint="eastAsia" w:ascii="仿宋_GB2312" w:hAnsi="仿宋_GB2312" w:eastAsia="仿宋_GB2312" w:cs="仿宋_GB2312"/>
                <w:i w:val="0"/>
                <w:color w:val="auto"/>
                <w:kern w:val="0"/>
                <w:sz w:val="28"/>
                <w:szCs w:val="28"/>
                <w:highlight w:val="none"/>
                <w:u w:val="none"/>
                <w:lang w:val="en-US" w:eastAsia="zh-CN" w:bidi="ar"/>
              </w:rPr>
              <w:t>，完成地下水风险源信息调查。</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区生态环境局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pStyle w:val="10"/>
              <w:keepNext w:val="0"/>
              <w:keepLines w:val="0"/>
              <w:pageBreakBefore w:val="0"/>
              <w:kinsoku/>
              <w:wordWrap/>
              <w:overflowPunct/>
              <w:topLinePunct w:val="0"/>
              <w:bidi w:val="0"/>
              <w:adjustRightInd w:val="0"/>
              <w:snapToGrid w:val="0"/>
              <w:spacing w:before="0" w:beforeAutospacing="0" w:after="0" w:afterAutospacing="0" w:line="320" w:lineRule="exact"/>
              <w:jc w:val="center"/>
              <w:textAlignment w:val="auto"/>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sz w:val="28"/>
                <w:szCs w:val="28"/>
                <w:highlight w:val="none"/>
                <w:lang w:val="en-US" w:eastAsia="zh-CN"/>
              </w:rPr>
              <w:t>中关村密云园</w:t>
            </w:r>
            <w:r>
              <w:rPr>
                <w:rFonts w:hint="eastAsia" w:ascii="仿宋_GB2312" w:hAnsi="仿宋_GB2312"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5</w:t>
            </w: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加强密云</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水库保护</w:t>
            </w:r>
          </w:p>
        </w:tc>
        <w:tc>
          <w:tcPr>
            <w:tcW w:w="4978"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both"/>
              <w:rPr>
                <w:rFonts w:hint="eastAsia" w:ascii="仿宋_GB2312" w:hAnsi="仿宋_GB2312" w:eastAsia="仿宋_GB2312" w:cs="仿宋_GB2312"/>
                <w:i w:val="0"/>
                <w:color w:val="auto"/>
                <w:sz w:val="28"/>
                <w:szCs w:val="28"/>
                <w:highlight w:val="none"/>
                <w:u w:val="none"/>
              </w:rPr>
            </w:pPr>
            <w:r>
              <w:rPr>
                <w:rFonts w:hint="eastAsia" w:cs="仿宋_GB2312"/>
                <w:i w:val="0"/>
                <w:color w:val="auto"/>
                <w:kern w:val="0"/>
                <w:sz w:val="28"/>
                <w:szCs w:val="28"/>
                <w:highlight w:val="none"/>
                <w:u w:val="none"/>
                <w:lang w:val="en-US" w:eastAsia="zh-CN" w:bidi="ar"/>
              </w:rPr>
              <w:t>配合</w:t>
            </w:r>
            <w:r>
              <w:rPr>
                <w:rFonts w:hint="eastAsia" w:ascii="仿宋_GB2312" w:hAnsi="仿宋_GB2312" w:eastAsia="仿宋_GB2312" w:cs="仿宋_GB2312"/>
                <w:i w:val="0"/>
                <w:color w:val="auto"/>
                <w:kern w:val="0"/>
                <w:sz w:val="28"/>
                <w:szCs w:val="28"/>
                <w:highlight w:val="none"/>
                <w:u w:val="none"/>
                <w:lang w:val="en-US" w:eastAsia="zh-CN" w:bidi="ar"/>
              </w:rPr>
              <w:t>开展密云水库及上游流域（京冀区域）总氮溯源解析</w:t>
            </w:r>
            <w:r>
              <w:rPr>
                <w:rFonts w:hint="eastAsia" w:cs="仿宋_GB2312"/>
                <w:i w:val="0"/>
                <w:color w:val="auto"/>
                <w:kern w:val="0"/>
                <w:sz w:val="28"/>
                <w:szCs w:val="28"/>
                <w:highlight w:val="none"/>
                <w:u w:val="none"/>
                <w:lang w:val="en-US" w:eastAsia="zh-CN" w:bidi="ar"/>
              </w:rPr>
              <w:t>；</w:t>
            </w:r>
            <w:r>
              <w:rPr>
                <w:rFonts w:hint="eastAsia" w:ascii="仿宋_GB2312" w:hAnsi="仿宋_GB2312" w:eastAsia="仿宋_GB2312" w:cs="仿宋_GB2312"/>
                <w:i w:val="0"/>
                <w:color w:val="auto"/>
                <w:kern w:val="0"/>
                <w:sz w:val="28"/>
                <w:szCs w:val="28"/>
                <w:highlight w:val="none"/>
                <w:u w:val="none"/>
                <w:lang w:val="en-US" w:eastAsia="zh-CN" w:bidi="ar"/>
              </w:rPr>
              <w:t>开展流域水生态环境保护年度体检</w:t>
            </w:r>
            <w:r>
              <w:rPr>
                <w:rFonts w:hint="eastAsia" w:ascii="仿宋_GB2312" w:hAnsi="仿宋_GB2312" w:eastAsia="仿宋_GB2312" w:cs="仿宋_GB2312"/>
                <w:i w:val="0"/>
                <w:color w:val="auto"/>
                <w:kern w:val="0"/>
                <w:sz w:val="28"/>
                <w:szCs w:val="28"/>
                <w:highlight w:val="none"/>
                <w:u w:val="none"/>
                <w:lang w:eastAsia="zh-CN" w:bidi="ar"/>
              </w:rPr>
              <w:t>。</w:t>
            </w:r>
            <w:r>
              <w:rPr>
                <w:rFonts w:hint="eastAsia" w:ascii="仿宋_GB2312" w:hAnsi="仿宋_GB2312" w:eastAsia="仿宋_GB2312" w:cs="仿宋_GB2312"/>
                <w:b w:val="0"/>
                <w:bCs w:val="0"/>
                <w:color w:val="auto"/>
                <w:sz w:val="28"/>
                <w:szCs w:val="28"/>
                <w:highlight w:val="none"/>
                <w:lang w:val="en-US" w:eastAsia="zh-CN"/>
              </w:rPr>
              <w:t>落实《</w:t>
            </w:r>
            <w:r>
              <w:rPr>
                <w:rFonts w:hint="eastAsia" w:ascii="仿宋_GB2312" w:hAnsi="仿宋_GB2312" w:eastAsia="仿宋_GB2312" w:cs="仿宋_GB2312"/>
                <w:b w:val="0"/>
                <w:bCs w:val="0"/>
                <w:color w:val="auto"/>
                <w:sz w:val="28"/>
                <w:szCs w:val="28"/>
                <w:highlight w:val="none"/>
                <w:lang w:val="en-US" w:eastAsia="zh-Hans"/>
              </w:rPr>
              <w:t>密云区密云水库总氮治理工作方案（2022年</w:t>
            </w:r>
            <w:r>
              <w:rPr>
                <w:rFonts w:hint="eastAsia" w:ascii="仿宋_GB2312" w:hAnsi="仿宋_GB2312" w:eastAsia="仿宋_GB2312" w:cs="仿宋_GB2312"/>
                <w:i w:val="0"/>
                <w:color w:val="auto"/>
                <w:kern w:val="0"/>
                <w:sz w:val="28"/>
                <w:szCs w:val="28"/>
                <w:highlight w:val="none"/>
                <w:u w:val="none" w:color="auto"/>
                <w:lang w:val="en-US" w:eastAsia="zh-CN" w:bidi="ar"/>
              </w:rPr>
              <w:t>-</w:t>
            </w:r>
            <w:r>
              <w:rPr>
                <w:rFonts w:hint="eastAsia" w:ascii="仿宋_GB2312" w:hAnsi="仿宋_GB2312" w:eastAsia="仿宋_GB2312" w:cs="仿宋_GB2312"/>
                <w:b w:val="0"/>
                <w:bCs w:val="0"/>
                <w:color w:val="auto"/>
                <w:sz w:val="28"/>
                <w:szCs w:val="28"/>
                <w:highlight w:val="none"/>
                <w:lang w:val="en-US" w:eastAsia="zh-Hans"/>
              </w:rPr>
              <w:t>2025年）</w:t>
            </w:r>
            <w:r>
              <w:rPr>
                <w:rFonts w:hint="eastAsia" w:ascii="仿宋_GB2312" w:hAnsi="仿宋_GB2312" w:eastAsia="仿宋_GB2312" w:cs="仿宋_GB2312"/>
                <w:b w:val="0"/>
                <w:bCs w:val="0"/>
                <w:color w:val="auto"/>
                <w:sz w:val="28"/>
                <w:szCs w:val="28"/>
                <w:highlight w:val="none"/>
                <w:lang w:val="en-US" w:eastAsia="zh-CN"/>
              </w:rPr>
              <w:t>》</w:t>
            </w:r>
            <w:r>
              <w:rPr>
                <w:rFonts w:hint="eastAsia" w:cs="仿宋_GB2312"/>
                <w:b w:val="0"/>
                <w:bCs w:val="0"/>
                <w:color w:val="auto"/>
                <w:sz w:val="28"/>
                <w:szCs w:val="28"/>
                <w:highlight w:val="none"/>
                <w:lang w:val="en-US" w:eastAsia="zh-CN"/>
              </w:rPr>
              <w:t>。</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8" w:type="dxa"/>
            <w:gridSpan w:val="2"/>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eastAsia="zh-CN"/>
              </w:rPr>
              <w:t>区</w:t>
            </w:r>
            <w:r>
              <w:rPr>
                <w:rFonts w:hint="eastAsia" w:ascii="仿宋_GB2312" w:hAnsi="仿宋_GB2312" w:eastAsia="仿宋_GB2312" w:cs="仿宋_GB2312"/>
                <w:b w:val="0"/>
                <w:bCs w:val="0"/>
                <w:color w:val="auto"/>
                <w:sz w:val="28"/>
                <w:szCs w:val="28"/>
                <w:highlight w:val="none"/>
              </w:rPr>
              <w:t>水务局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b w:val="0"/>
                <w:bCs w:val="0"/>
                <w:color w:val="auto"/>
                <w:sz w:val="28"/>
                <w:szCs w:val="28"/>
                <w:highlight w:val="none"/>
                <w:lang w:val="en-US" w:eastAsia="zh-CN"/>
              </w:rPr>
              <w:t>区生态环境局</w:t>
            </w:r>
          </w:p>
        </w:tc>
        <w:tc>
          <w:tcPr>
            <w:tcW w:w="2354"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val="en-US" w:eastAsia="zh-Hans"/>
              </w:rPr>
              <w:t>密云区密云水库总氮治理工作方案（2022年</w:t>
            </w:r>
            <w:r>
              <w:rPr>
                <w:rFonts w:hint="eastAsia"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val="en-US" w:eastAsia="zh-Hans"/>
              </w:rPr>
              <w:t>2025年）</w:t>
            </w:r>
            <w:r>
              <w:rPr>
                <w:rFonts w:hint="eastAsia" w:ascii="仿宋_GB2312" w:hAnsi="仿宋_GB2312" w:eastAsia="仿宋_GB2312" w:cs="仿宋_GB2312"/>
                <w:b w:val="0"/>
                <w:bCs w:val="0"/>
                <w:color w:val="auto"/>
                <w:sz w:val="28"/>
                <w:szCs w:val="28"/>
                <w:highlight w:val="none"/>
                <w:lang w:val="en-US" w:eastAsia="zh-CN"/>
              </w:rPr>
              <w:t>》</w:t>
            </w:r>
            <w:r>
              <w:rPr>
                <w:rFonts w:hint="eastAsia" w:cs="仿宋_GB2312"/>
                <w:b w:val="0"/>
                <w:bCs w:val="0"/>
                <w:color w:val="auto"/>
                <w:sz w:val="28"/>
                <w:szCs w:val="28"/>
                <w:highlight w:val="none"/>
                <w:lang w:eastAsia="zh-CN"/>
              </w:rPr>
              <w:t>中涉及的相关部门</w:t>
            </w:r>
          </w:p>
        </w:tc>
        <w:tc>
          <w:tcPr>
            <w:tcW w:w="2563"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both"/>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
              </w:rPr>
              <w:t>落实《潮河流域生态环境保护综合规划</w:t>
            </w:r>
            <w:r>
              <w:rPr>
                <w:rFonts w:hint="eastAsia" w:cs="仿宋_GB2312"/>
                <w:i w:val="0"/>
                <w:color w:val="auto"/>
                <w:kern w:val="0"/>
                <w:sz w:val="28"/>
                <w:szCs w:val="28"/>
                <w:highlight w:val="none"/>
                <w:u w:val="none"/>
                <w:lang w:val="en-US" w:eastAsia="zh-CN" w:bidi="ar"/>
              </w:rPr>
              <w:t>（</w:t>
            </w:r>
            <w:r>
              <w:rPr>
                <w:rFonts w:hint="eastAsia" w:ascii="仿宋_GB2312" w:hAnsi="仿宋_GB2312" w:eastAsia="仿宋_GB2312" w:cs="仿宋_GB2312"/>
                <w:i w:val="0"/>
                <w:color w:val="auto"/>
                <w:kern w:val="0"/>
                <w:sz w:val="28"/>
                <w:szCs w:val="28"/>
                <w:highlight w:val="none"/>
                <w:u w:val="none"/>
                <w:lang w:val="en-US" w:eastAsia="zh-CN" w:bidi="ar"/>
              </w:rPr>
              <w:t>2019-2025年</w:t>
            </w:r>
            <w:r>
              <w:rPr>
                <w:rFonts w:hint="eastAsia" w:cs="仿宋_GB2312"/>
                <w:i w:val="0"/>
                <w:color w:val="auto"/>
                <w:kern w:val="0"/>
                <w:sz w:val="28"/>
                <w:szCs w:val="28"/>
                <w:highlight w:val="none"/>
                <w:u w:val="none"/>
                <w:lang w:val="en-US" w:eastAsia="zh-CN" w:bidi="ar"/>
              </w:rPr>
              <w:t>）</w:t>
            </w:r>
            <w:r>
              <w:rPr>
                <w:rFonts w:hint="eastAsia" w:ascii="仿宋_GB2312" w:hAnsi="仿宋_GB2312" w:eastAsia="仿宋_GB2312" w:cs="仿宋_GB2312"/>
                <w:i w:val="0"/>
                <w:color w:val="auto"/>
                <w:kern w:val="0"/>
                <w:sz w:val="28"/>
                <w:szCs w:val="28"/>
                <w:highlight w:val="none"/>
                <w:u w:val="none"/>
                <w:lang w:val="en-US" w:eastAsia="zh-CN" w:bidi="ar"/>
              </w:rPr>
              <w:t>》。加快推进化肥农药减量工作，完成高岭镇垃圾转运站和放马峪铁矿、建昌矿业矿山修复等项目，开展规划年度评估，辛庄桥断面总氮浓度较古北口断面下降5%以上。</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区生态环境局</w:t>
            </w:r>
          </w:p>
          <w:p>
            <w:pPr>
              <w:keepNext w:val="0"/>
              <w:keepLines w:val="0"/>
              <w:pageBreakBefore w:val="0"/>
              <w:kinsoku/>
              <w:wordWrap/>
              <w:overflowPunct/>
              <w:topLinePunct w:val="0"/>
              <w:bidi w:val="0"/>
              <w:adjustRightInd w:val="0"/>
              <w:snapToGrid w:val="0"/>
              <w:spacing w:line="320" w:lineRule="exact"/>
              <w:jc w:val="center"/>
              <w:rPr>
                <w:rFonts w:hint="eastAsia"/>
                <w:color w:val="auto"/>
              </w:rPr>
            </w:pPr>
            <w:r>
              <w:rPr>
                <w:rFonts w:hint="eastAsia" w:ascii="仿宋_GB2312" w:hAnsi="仿宋_GB2312" w:eastAsia="仿宋_GB2312" w:cs="仿宋_GB2312"/>
                <w:b w:val="0"/>
                <w:bCs w:val="0"/>
                <w:color w:val="auto"/>
                <w:sz w:val="28"/>
                <w:szCs w:val="28"/>
                <w:highlight w:val="none"/>
                <w:lang w:eastAsia="zh-CN"/>
              </w:rPr>
              <w:t>区水务局</w:t>
            </w:r>
          </w:p>
        </w:tc>
        <w:tc>
          <w:tcPr>
            <w:tcW w:w="235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eastAsia="zh-CN"/>
              </w:rPr>
              <w:t>区</w:t>
            </w:r>
            <w:r>
              <w:rPr>
                <w:rFonts w:hint="eastAsia" w:ascii="仿宋_GB2312" w:hAnsi="仿宋_GB2312" w:eastAsia="仿宋_GB2312" w:cs="仿宋_GB2312"/>
                <w:color w:val="auto"/>
                <w:kern w:val="2"/>
                <w:sz w:val="28"/>
                <w:szCs w:val="28"/>
                <w:highlight w:val="none"/>
              </w:rPr>
              <w:t xml:space="preserve">水务局  </w:t>
            </w:r>
            <w:r>
              <w:rPr>
                <w:rFonts w:hint="eastAsia" w:ascii="仿宋_GB2312" w:hAnsi="仿宋_GB2312" w:eastAsia="仿宋_GB2312" w:cs="仿宋_GB2312"/>
                <w:color w:val="auto"/>
                <w:kern w:val="2"/>
                <w:sz w:val="28"/>
                <w:szCs w:val="28"/>
                <w:highlight w:val="none"/>
                <w:lang w:val="en-US" w:eastAsia="zh-CN"/>
              </w:rPr>
              <w:t xml:space="preserve">    </w:t>
            </w:r>
            <w:r>
              <w:rPr>
                <w:rFonts w:hint="eastAsia" w:ascii="仿宋_GB2312" w:hAnsi="仿宋_GB2312" w:eastAsia="仿宋_GB2312" w:cs="仿宋_GB2312"/>
                <w:color w:val="auto"/>
                <w:kern w:val="2"/>
                <w:sz w:val="28"/>
                <w:szCs w:val="28"/>
                <w:highlight w:val="none"/>
                <w:lang w:eastAsia="zh-CN"/>
              </w:rPr>
              <w:t xml:space="preserve">      </w:t>
            </w:r>
            <w:r>
              <w:rPr>
                <w:rFonts w:hint="eastAsia" w:ascii="仿宋_GB2312" w:hAnsi="仿宋_GB2312" w:eastAsia="仿宋_GB2312" w:cs="仿宋_GB2312"/>
                <w:color w:val="auto"/>
                <w:kern w:val="2"/>
                <w:sz w:val="28"/>
                <w:szCs w:val="28"/>
                <w:highlight w:val="none"/>
              </w:rPr>
              <w:t xml:space="preserve"> </w:t>
            </w:r>
            <w:r>
              <w:rPr>
                <w:rFonts w:hint="eastAsia" w:cs="仿宋_GB2312"/>
                <w:color w:val="auto"/>
                <w:kern w:val="2"/>
                <w:sz w:val="28"/>
                <w:szCs w:val="28"/>
                <w:highlight w:val="none"/>
                <w:lang w:val="en-US" w:eastAsia="zh-CN"/>
              </w:rPr>
              <w:t>区城市管理委</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CN"/>
              </w:rPr>
              <w:t xml:space="preserve">    </w:t>
            </w:r>
            <w:r>
              <w:rPr>
                <w:rFonts w:hint="eastAsia" w:ascii="仿宋_GB2312" w:hAnsi="仿宋_GB2312" w:eastAsia="仿宋_GB2312" w:cs="仿宋_GB2312"/>
                <w:color w:val="auto"/>
                <w:kern w:val="2"/>
                <w:sz w:val="28"/>
                <w:szCs w:val="28"/>
                <w:highlight w:val="none"/>
                <w:lang w:eastAsia="zh-CN"/>
              </w:rPr>
              <w:t xml:space="preserve">      </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Hans"/>
              </w:rPr>
              <w:t>区国资委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区农业农村局</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区园林绿化局</w:t>
            </w:r>
            <w:r>
              <w:rPr>
                <w:rFonts w:hint="eastAsia" w:ascii="仿宋_GB2312" w:hAnsi="仿宋_GB2312" w:eastAsia="仿宋_GB2312" w:cs="仿宋_GB2312"/>
                <w:color w:val="auto"/>
                <w:kern w:val="2"/>
                <w:sz w:val="28"/>
                <w:szCs w:val="28"/>
                <w:highlight w:val="none"/>
                <w:lang w:val="en-US" w:eastAsia="zh-CN"/>
              </w:rPr>
              <w:t xml:space="preserve">   </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w w:val="90"/>
                <w:sz w:val="28"/>
                <w:szCs w:val="28"/>
                <w:highlight w:val="none"/>
                <w:lang w:val="en-US" w:eastAsia="zh-Hans"/>
              </w:rPr>
            </w:pPr>
            <w:r>
              <w:rPr>
                <w:rFonts w:hint="eastAsia" w:ascii="仿宋_GB2312" w:hAnsi="仿宋_GB2312" w:eastAsia="仿宋_GB2312" w:cs="仿宋_GB2312"/>
                <w:color w:val="auto"/>
                <w:w w:val="90"/>
                <w:sz w:val="28"/>
                <w:szCs w:val="28"/>
                <w:highlight w:val="none"/>
                <w:lang w:val="en-US" w:eastAsia="zh-Hans"/>
              </w:rPr>
              <w:t>市规划自然资源委密云分局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高岭镇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太师屯镇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rPr>
              <w:t>相关镇</w:t>
            </w:r>
          </w:p>
        </w:tc>
        <w:tc>
          <w:tcPr>
            <w:tcW w:w="2563" w:type="dxa"/>
            <w:tcBorders>
              <w:tl2br w:val="nil"/>
              <w:tr2bl w:val="nil"/>
            </w:tcBorders>
            <w:vAlign w:val="center"/>
          </w:tcPr>
          <w:p>
            <w:pPr>
              <w:pStyle w:val="10"/>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5</w:t>
            </w:r>
          </w:p>
          <w:p>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仿宋_GB2312" w:hAnsi="仿宋_GB2312" w:eastAsia="仿宋_GB2312" w:cs="仿宋_GB2312"/>
                <w:i w:val="0"/>
                <w:color w:val="auto"/>
                <w:sz w:val="28"/>
                <w:szCs w:val="28"/>
                <w:highlight w:val="none"/>
                <w:u w:val="none"/>
                <w:lang w:val="en-US" w:eastAsia="zh-CN"/>
              </w:rPr>
            </w:pP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加强密云</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水库保护</w:t>
            </w:r>
          </w:p>
        </w:tc>
        <w:tc>
          <w:tcPr>
            <w:tcW w:w="4978" w:type="dxa"/>
            <w:tcBorders>
              <w:tl2br w:val="nil"/>
              <w:tr2bl w:val="nil"/>
            </w:tcBorders>
            <w:vAlign w:val="center"/>
          </w:tcPr>
          <w:p>
            <w:pPr>
              <w:pStyle w:val="10"/>
              <w:keepNext w:val="0"/>
              <w:keepLines w:val="0"/>
              <w:pageBreakBefore w:val="0"/>
              <w:kinsoku/>
              <w:wordWrap/>
              <w:overflowPunct/>
              <w:topLinePunct w:val="0"/>
              <w:bidi w:val="0"/>
              <w:adjustRightInd w:val="0"/>
              <w:snapToGrid w:val="0"/>
              <w:spacing w:before="0" w:beforeAutospacing="0" w:after="0" w:afterAutospacing="0" w:line="320" w:lineRule="exact"/>
              <w:jc w:val="left"/>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
              </w:rPr>
              <w:t>组织开展密云水库流域水环境、水生态综合调查，提升密云水库水生态保护工作水平。</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lang w:eastAsia="zh-CN"/>
              </w:rPr>
              <w:t>区生态环境局</w:t>
            </w:r>
          </w:p>
        </w:tc>
        <w:tc>
          <w:tcPr>
            <w:tcW w:w="25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eastAsia="zh-CN"/>
              </w:rPr>
              <w:t>区</w:t>
            </w:r>
            <w:r>
              <w:rPr>
                <w:rFonts w:hint="eastAsia" w:ascii="仿宋_GB2312" w:hAnsi="仿宋_GB2312" w:eastAsia="仿宋_GB2312" w:cs="仿宋_GB2312"/>
                <w:color w:val="auto"/>
                <w:kern w:val="2"/>
                <w:sz w:val="28"/>
                <w:szCs w:val="28"/>
                <w:highlight w:val="none"/>
              </w:rPr>
              <w:t xml:space="preserve">水务局  </w:t>
            </w:r>
            <w:r>
              <w:rPr>
                <w:rFonts w:hint="eastAsia" w:ascii="仿宋_GB2312" w:hAnsi="仿宋_GB2312" w:eastAsia="仿宋_GB2312" w:cs="仿宋_GB2312"/>
                <w:color w:val="auto"/>
                <w:kern w:val="2"/>
                <w:sz w:val="28"/>
                <w:szCs w:val="28"/>
                <w:highlight w:val="none"/>
                <w:lang w:val="en-US" w:eastAsia="zh-CN"/>
              </w:rPr>
              <w:t xml:space="preserve">    </w:t>
            </w:r>
            <w:r>
              <w:rPr>
                <w:rFonts w:hint="eastAsia" w:ascii="仿宋_GB2312" w:hAnsi="仿宋_GB2312" w:eastAsia="仿宋_GB2312" w:cs="仿宋_GB2312"/>
                <w:color w:val="auto"/>
                <w:kern w:val="2"/>
                <w:sz w:val="28"/>
                <w:szCs w:val="28"/>
                <w:highlight w:val="none"/>
                <w:lang w:eastAsia="zh-CN"/>
              </w:rPr>
              <w:t xml:space="preserve">      </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Hans"/>
              </w:rPr>
              <w:t>区农业农村局</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区园林绿化局</w:t>
            </w:r>
            <w:r>
              <w:rPr>
                <w:rFonts w:hint="eastAsia" w:ascii="仿宋_GB2312" w:hAnsi="仿宋_GB2312" w:eastAsia="仿宋_GB2312" w:cs="仿宋_GB2312"/>
                <w:color w:val="auto"/>
                <w:kern w:val="2"/>
                <w:sz w:val="28"/>
                <w:szCs w:val="28"/>
                <w:highlight w:val="none"/>
                <w:lang w:val="en-US" w:eastAsia="zh-CN"/>
              </w:rPr>
              <w:t xml:space="preserve">   </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市规划自然资源委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color w:val="auto"/>
                <w:kern w:val="2"/>
                <w:sz w:val="28"/>
                <w:szCs w:val="28"/>
                <w:highlight w:val="none"/>
                <w:lang w:val="en-US" w:eastAsia="zh-Hans"/>
              </w:rPr>
              <w:t>密云分局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pStyle w:val="10"/>
              <w:keepNext w:val="0"/>
              <w:keepLines w:val="0"/>
              <w:pageBreakBefore w:val="0"/>
              <w:kinsoku/>
              <w:wordWrap/>
              <w:overflowPunct/>
              <w:topLinePunct w:val="0"/>
              <w:bidi w:val="0"/>
              <w:adjustRightInd w:val="0"/>
              <w:snapToGrid w:val="0"/>
              <w:spacing w:before="0" w:beforeAutospacing="0" w:after="0" w:afterAutospacing="0" w:line="320" w:lineRule="exact"/>
              <w:jc w:val="left"/>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rPr>
              <w:t>加强上下游协作共治。落实《密云水库上游流域“两市三区”生态环境联建联防联治合作协议》，针对京冀两地主要</w:t>
            </w:r>
            <w:r>
              <w:rPr>
                <w:rFonts w:hint="eastAsia" w:ascii="仿宋_GB2312" w:hAnsi="仿宋_GB2312" w:cs="仿宋_GB2312"/>
                <w:color w:val="auto"/>
                <w:kern w:val="2"/>
                <w:sz w:val="28"/>
                <w:szCs w:val="28"/>
                <w:highlight w:val="none"/>
                <w:lang w:val="en-US" w:eastAsia="zh-CN"/>
              </w:rPr>
              <w:t>入境</w:t>
            </w:r>
            <w:r>
              <w:rPr>
                <w:rFonts w:hint="eastAsia" w:ascii="仿宋_GB2312" w:hAnsi="仿宋_GB2312" w:eastAsia="仿宋_GB2312" w:cs="仿宋_GB2312"/>
                <w:color w:val="auto"/>
                <w:kern w:val="2"/>
                <w:sz w:val="28"/>
                <w:szCs w:val="28"/>
                <w:highlight w:val="none"/>
                <w:lang w:val="en-US" w:eastAsia="zh-CN"/>
              </w:rPr>
              <w:t>入库河流周边</w:t>
            </w:r>
            <w:r>
              <w:rPr>
                <w:rFonts w:hint="eastAsia" w:ascii="仿宋_GB2312" w:hAnsi="仿宋_GB2312" w:cs="仿宋_GB2312"/>
                <w:color w:val="auto"/>
                <w:kern w:val="2"/>
                <w:sz w:val="28"/>
                <w:szCs w:val="28"/>
                <w:highlight w:val="none"/>
                <w:lang w:val="en-US" w:eastAsia="zh-CN"/>
              </w:rPr>
              <w:t>持续开展</w:t>
            </w:r>
            <w:r>
              <w:rPr>
                <w:rFonts w:hint="eastAsia" w:ascii="仿宋_GB2312" w:hAnsi="仿宋_GB2312" w:eastAsia="仿宋_GB2312" w:cs="仿宋_GB2312"/>
                <w:color w:val="auto"/>
                <w:kern w:val="2"/>
                <w:sz w:val="28"/>
                <w:szCs w:val="28"/>
                <w:highlight w:val="none"/>
                <w:lang w:val="en-US" w:eastAsia="zh-CN"/>
              </w:rPr>
              <w:t>联合执法、联合监测等相关工作；</w:t>
            </w:r>
            <w:r>
              <w:rPr>
                <w:rFonts w:hint="eastAsia" w:ascii="仿宋_GB2312" w:hAnsi="仿宋_GB2312" w:eastAsia="仿宋_GB2312" w:cs="仿宋_GB2312"/>
                <w:color w:val="auto"/>
                <w:sz w:val="28"/>
                <w:szCs w:val="28"/>
                <w:highlight w:val="none"/>
                <w:u w:val="single" w:color="FFFFFF" w:themeColor="background1"/>
                <w:lang w:val="en-US" w:eastAsia="zh-CN"/>
              </w:rPr>
              <w:t>推进密云水库上游流域“两市三区”综合协调指挥中心建设。</w:t>
            </w:r>
          </w:p>
        </w:tc>
        <w:tc>
          <w:tcPr>
            <w:tcW w:w="1050"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实施</w:t>
            </w:r>
          </w:p>
        </w:tc>
        <w:tc>
          <w:tcPr>
            <w:tcW w:w="4532" w:type="dxa"/>
            <w:gridSpan w:val="3"/>
            <w:tcBorders>
              <w:tl2br w:val="nil"/>
              <w:tr2bl w:val="nil"/>
            </w:tcBorders>
            <w:vAlign w:val="center"/>
          </w:tcPr>
          <w:p>
            <w:pPr>
              <w:pStyle w:val="10"/>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eastAsia="zh-CN"/>
              </w:rPr>
              <w:t>区</w:t>
            </w:r>
            <w:r>
              <w:rPr>
                <w:rFonts w:hint="eastAsia" w:ascii="仿宋_GB2312" w:hAnsi="仿宋_GB2312" w:eastAsia="仿宋_GB2312" w:cs="仿宋_GB2312"/>
                <w:color w:val="auto"/>
                <w:kern w:val="2"/>
                <w:sz w:val="28"/>
                <w:szCs w:val="28"/>
                <w:highlight w:val="none"/>
              </w:rPr>
              <w:t>生态环境局</w:t>
            </w:r>
          </w:p>
          <w:p>
            <w:pPr>
              <w:pStyle w:val="10"/>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SA"/>
              </w:rPr>
              <w:t>区水务局</w:t>
            </w:r>
          </w:p>
        </w:tc>
        <w:tc>
          <w:tcPr>
            <w:tcW w:w="2563" w:type="dxa"/>
            <w:tcBorders>
              <w:tl2br w:val="nil"/>
              <w:tr2bl w:val="nil"/>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区发展改革委</w:t>
            </w:r>
          </w:p>
          <w:p>
            <w:pPr>
              <w:pStyle w:val="10"/>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区财政局</w:t>
            </w:r>
          </w:p>
          <w:p>
            <w:pPr>
              <w:pStyle w:val="10"/>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Hans" w:bidi="ar-SA"/>
              </w:rPr>
            </w:pPr>
            <w:r>
              <w:rPr>
                <w:rFonts w:hint="eastAsia" w:ascii="仿宋_GB2312" w:hAnsi="仿宋_GB2312" w:eastAsia="仿宋_GB2312" w:cs="仿宋_GB2312"/>
                <w:color w:val="auto"/>
                <w:kern w:val="2"/>
                <w:sz w:val="28"/>
                <w:szCs w:val="28"/>
                <w:highlight w:val="none"/>
                <w:lang w:val="en-US" w:eastAsia="zh-Hans" w:bidi="ar-SA"/>
              </w:rPr>
              <w:t>区应急局</w:t>
            </w:r>
          </w:p>
          <w:p>
            <w:pPr>
              <w:pStyle w:val="10"/>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Hans" w:bidi="ar-SA"/>
              </w:rPr>
            </w:pPr>
            <w:r>
              <w:rPr>
                <w:rFonts w:hint="eastAsia" w:ascii="仿宋_GB2312" w:hAnsi="仿宋_GB2312" w:eastAsia="仿宋_GB2312" w:cs="仿宋_GB2312"/>
                <w:color w:val="auto"/>
                <w:kern w:val="2"/>
                <w:sz w:val="28"/>
                <w:szCs w:val="28"/>
                <w:highlight w:val="none"/>
                <w:lang w:val="en-US" w:eastAsia="zh-CN" w:bidi="ar-SA"/>
              </w:rPr>
              <w:t>区园林绿化局</w:t>
            </w:r>
          </w:p>
          <w:p>
            <w:pPr>
              <w:pStyle w:val="10"/>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区农业农村局</w:t>
            </w:r>
          </w:p>
          <w:p>
            <w:pPr>
              <w:pStyle w:val="10"/>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Hans" w:bidi="ar-SA"/>
              </w:rPr>
            </w:pPr>
            <w:r>
              <w:rPr>
                <w:rFonts w:hint="eastAsia" w:ascii="仿宋_GB2312" w:hAnsi="仿宋_GB2312" w:eastAsia="仿宋_GB2312" w:cs="仿宋_GB2312"/>
                <w:color w:val="auto"/>
                <w:kern w:val="2"/>
                <w:sz w:val="28"/>
                <w:szCs w:val="28"/>
                <w:highlight w:val="none"/>
                <w:lang w:val="en-US" w:eastAsia="zh-Hans" w:bidi="ar-SA"/>
              </w:rPr>
              <w:t>市规划自然资源委</w:t>
            </w:r>
          </w:p>
          <w:p>
            <w:pPr>
              <w:pStyle w:val="10"/>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Hans" w:bidi="ar-SA"/>
              </w:rPr>
            </w:pPr>
            <w:r>
              <w:rPr>
                <w:rFonts w:hint="eastAsia" w:ascii="仿宋_GB2312" w:hAnsi="仿宋_GB2312" w:eastAsia="仿宋_GB2312" w:cs="仿宋_GB2312"/>
                <w:color w:val="auto"/>
                <w:kern w:val="2"/>
                <w:sz w:val="28"/>
                <w:szCs w:val="28"/>
                <w:highlight w:val="none"/>
                <w:lang w:val="en-US" w:eastAsia="zh-Hans" w:bidi="ar-SA"/>
              </w:rPr>
              <w:t>密云分局</w:t>
            </w:r>
          </w:p>
          <w:p>
            <w:pPr>
              <w:pStyle w:val="10"/>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Hans" w:bidi="ar-SA"/>
              </w:rPr>
              <w:t>密云水库管理处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tblHeader/>
        </w:trPr>
        <w:tc>
          <w:tcPr>
            <w:tcW w:w="509"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6</w:t>
            </w: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节水型社会建设</w:t>
            </w:r>
          </w:p>
        </w:tc>
        <w:tc>
          <w:tcPr>
            <w:tcW w:w="4978"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持续推进节水型社会建设</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全区生产生活用水总量</w:t>
            </w:r>
            <w:r>
              <w:rPr>
                <w:rFonts w:hint="eastAsia" w:cs="仿宋_GB2312"/>
                <w:color w:val="auto"/>
                <w:sz w:val="28"/>
                <w:szCs w:val="28"/>
                <w:highlight w:val="none"/>
                <w:lang w:eastAsia="zh-CN"/>
              </w:rPr>
              <w:t>完成市级任务，</w:t>
            </w:r>
            <w:r>
              <w:rPr>
                <w:rFonts w:hint="eastAsia" w:ascii="仿宋_GB2312" w:hAnsi="仿宋_GB2312" w:eastAsia="仿宋_GB2312" w:cs="仿宋_GB2312"/>
                <w:color w:val="auto"/>
                <w:sz w:val="28"/>
                <w:szCs w:val="28"/>
                <w:highlight w:val="none"/>
              </w:rPr>
              <w:t>单位地区生产总值水耗</w:t>
            </w:r>
            <w:r>
              <w:rPr>
                <w:rFonts w:hint="eastAsia" w:ascii="仿宋_GB2312" w:hAnsi="仿宋_GB2312" w:eastAsia="仿宋_GB2312" w:cs="仿宋_GB2312"/>
                <w:b w:val="0"/>
                <w:bCs w:val="0"/>
                <w:color w:val="auto"/>
                <w:sz w:val="28"/>
                <w:szCs w:val="28"/>
                <w:highlight w:val="none"/>
                <w:lang w:val="en-US" w:eastAsia="zh-CN"/>
              </w:rPr>
              <w:t>完成市级下达的任务指标</w:t>
            </w:r>
            <w:r>
              <w:rPr>
                <w:rFonts w:hint="eastAsia" w:ascii="仿宋_GB2312" w:hAnsi="仿宋_GB2312" w:eastAsia="仿宋_GB2312" w:cs="仿宋_GB2312"/>
                <w:b w:val="0"/>
                <w:bCs w:val="0"/>
                <w:color w:val="auto"/>
                <w:sz w:val="28"/>
                <w:szCs w:val="28"/>
                <w:highlight w:val="none"/>
              </w:rPr>
              <w:t>。</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水务局</w:t>
            </w:r>
          </w:p>
        </w:tc>
        <w:tc>
          <w:tcPr>
            <w:tcW w:w="2357" w:type="dxa"/>
            <w:gridSpan w:val="2"/>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kinsoku/>
              <w:wordWrap/>
              <w:overflowPunct/>
              <w:topLinePunct w:val="0"/>
              <w:bidi w:val="0"/>
              <w:adjustRightInd w:val="0"/>
              <w:snapToGrid w:val="0"/>
              <w:spacing w:line="320" w:lineRule="exact"/>
              <w:jc w:val="center"/>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中关村密云园</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cs="仿宋_GB2312"/>
                <w:color w:val="auto"/>
                <w:sz w:val="28"/>
                <w:szCs w:val="28"/>
                <w:highlight w:val="none"/>
                <w:lang w:val="en-US" w:eastAsia="zh-CN"/>
              </w:rPr>
              <w:t>管委会</w:t>
            </w:r>
          </w:p>
        </w:tc>
        <w:tc>
          <w:tcPr>
            <w:tcW w:w="2563" w:type="dxa"/>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仿宋_GB2312" w:hAnsi="仿宋_GB2312" w:eastAsia="仿宋_GB2312" w:cs="仿宋_GB2312"/>
                <w:i w:val="0"/>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健全供水管网漏损管控体系，推进供水管网漏损治理和老旧更新改造工程，城镇供水管网漏损率</w:t>
            </w:r>
            <w:r>
              <w:rPr>
                <w:rFonts w:hint="eastAsia" w:ascii="仿宋_GB2312" w:hAnsi="仿宋_GB2312" w:eastAsia="仿宋_GB2312" w:cs="仿宋_GB2312"/>
                <w:color w:val="auto"/>
                <w:sz w:val="28"/>
                <w:szCs w:val="28"/>
                <w:highlight w:val="none"/>
                <w:u w:val="none" w:color="auto"/>
                <w:lang w:val="en-US" w:eastAsia="zh-CN"/>
              </w:rPr>
              <w:t>完成市级下达的任务指标</w:t>
            </w:r>
            <w:r>
              <w:rPr>
                <w:rFonts w:hint="eastAsia" w:ascii="仿宋_GB2312" w:hAnsi="仿宋_GB2312" w:eastAsia="仿宋_GB2312" w:cs="仿宋_GB2312"/>
                <w:color w:val="auto"/>
                <w:sz w:val="28"/>
                <w:szCs w:val="28"/>
                <w:highlight w:val="none"/>
                <w:u w:val="none" w:color="auto"/>
              </w:rPr>
              <w:t>。</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p>
        </w:tc>
        <w:tc>
          <w:tcPr>
            <w:tcW w:w="2357" w:type="dxa"/>
            <w:gridSpan w:val="2"/>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p>
        </w:tc>
        <w:tc>
          <w:tcPr>
            <w:tcW w:w="2563"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15104" w:type="dxa"/>
            <w:gridSpan w:val="8"/>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三、水环境治理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7</w:t>
            </w: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强化城乡</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生活污染</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治理</w:t>
            </w: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cs="仿宋_GB2312"/>
                <w:i w:val="0"/>
                <w:color w:val="auto"/>
                <w:kern w:val="0"/>
                <w:sz w:val="28"/>
                <w:szCs w:val="28"/>
                <w:highlight w:val="none"/>
                <w:u w:val="none"/>
                <w:lang w:val="en-US" w:eastAsia="zh-CN" w:bidi="ar"/>
              </w:rPr>
              <w:t>实施</w:t>
            </w:r>
            <w:r>
              <w:rPr>
                <w:rFonts w:hint="eastAsia" w:ascii="仿宋_GB2312" w:hAnsi="仿宋_GB2312" w:eastAsia="仿宋_GB2312" w:cs="仿宋_GB2312"/>
                <w:i w:val="0"/>
                <w:color w:val="auto"/>
                <w:kern w:val="0"/>
                <w:sz w:val="28"/>
                <w:szCs w:val="28"/>
                <w:highlight w:val="none"/>
                <w:u w:val="none"/>
                <w:lang w:val="en-US" w:eastAsia="zh-CN" w:bidi="ar"/>
              </w:rPr>
              <w:t>《北京市全面打赢城乡水环境治理歼灭战三年行动方案</w:t>
            </w:r>
            <w:r>
              <w:rPr>
                <w:rFonts w:hint="eastAsia" w:cs="仿宋_GB2312"/>
                <w:i w:val="0"/>
                <w:color w:val="auto"/>
                <w:kern w:val="0"/>
                <w:sz w:val="28"/>
                <w:szCs w:val="28"/>
                <w:highlight w:val="none"/>
                <w:u w:val="none"/>
                <w:lang w:val="en-US" w:eastAsia="zh-CN" w:bidi="ar"/>
              </w:rPr>
              <w:t>（</w:t>
            </w:r>
            <w:r>
              <w:rPr>
                <w:rFonts w:hint="eastAsia" w:ascii="仿宋_GB2312" w:hAnsi="仿宋_GB2312" w:eastAsia="仿宋_GB2312" w:cs="仿宋_GB2312"/>
                <w:i w:val="0"/>
                <w:color w:val="auto"/>
                <w:kern w:val="0"/>
                <w:sz w:val="28"/>
                <w:szCs w:val="28"/>
                <w:highlight w:val="none"/>
                <w:u w:val="none"/>
                <w:lang w:val="en-US" w:eastAsia="zh-CN" w:bidi="ar"/>
              </w:rPr>
              <w:t>2023年-2025年</w:t>
            </w:r>
            <w:r>
              <w:rPr>
                <w:rFonts w:hint="eastAsia" w:cs="仿宋_GB2312"/>
                <w:i w:val="0"/>
                <w:color w:val="auto"/>
                <w:kern w:val="0"/>
                <w:sz w:val="28"/>
                <w:szCs w:val="28"/>
                <w:highlight w:val="none"/>
                <w:u w:val="none"/>
                <w:lang w:val="en-US" w:eastAsia="zh-CN" w:bidi="ar"/>
              </w:rPr>
              <w:t>）</w:t>
            </w:r>
            <w:r>
              <w:rPr>
                <w:rFonts w:hint="eastAsia" w:ascii="仿宋_GB2312" w:hAnsi="仿宋_GB2312" w:eastAsia="仿宋_GB2312" w:cs="仿宋_GB2312"/>
                <w:i w:val="0"/>
                <w:color w:val="auto"/>
                <w:kern w:val="0"/>
                <w:sz w:val="28"/>
                <w:szCs w:val="28"/>
                <w:highlight w:val="none"/>
                <w:u w:val="none"/>
                <w:lang w:val="en-US" w:eastAsia="zh-CN" w:bidi="ar"/>
              </w:rPr>
              <w:t>》，</w:t>
            </w:r>
            <w:r>
              <w:rPr>
                <w:rFonts w:hint="eastAsia" w:cs="仿宋_GB2312"/>
                <w:i w:val="0"/>
                <w:color w:val="auto"/>
                <w:kern w:val="0"/>
                <w:sz w:val="28"/>
                <w:szCs w:val="28"/>
                <w:highlight w:val="none"/>
                <w:u w:val="none"/>
                <w:lang w:val="en-US" w:eastAsia="zh-CN" w:bidi="ar"/>
              </w:rPr>
              <w:t>建设完成污水管线、再生水管线完成市级任务</w:t>
            </w:r>
            <w:r>
              <w:rPr>
                <w:rFonts w:hint="eastAsia" w:ascii="仿宋_GB2312" w:hAnsi="仿宋_GB2312" w:eastAsia="仿宋_GB2312" w:cs="仿宋_GB2312"/>
                <w:i w:val="0"/>
                <w:color w:val="auto"/>
                <w:kern w:val="0"/>
                <w:sz w:val="28"/>
                <w:szCs w:val="28"/>
                <w:highlight w:val="none"/>
                <w:u w:val="none"/>
                <w:lang w:val="en-US" w:eastAsia="zh-CN" w:bidi="ar"/>
              </w:rPr>
              <w:t>，</w:t>
            </w:r>
            <w:r>
              <w:rPr>
                <w:rFonts w:hint="eastAsia" w:cs="仿宋_GB2312"/>
                <w:i w:val="0"/>
                <w:color w:val="auto"/>
                <w:kern w:val="0"/>
                <w:sz w:val="28"/>
                <w:szCs w:val="28"/>
                <w:highlight w:val="none"/>
                <w:u w:val="none"/>
                <w:lang w:val="en-US" w:eastAsia="zh-CN" w:bidi="ar"/>
              </w:rPr>
              <w:t>完成全区污水处理率年度任务指标</w:t>
            </w:r>
            <w:r>
              <w:rPr>
                <w:rFonts w:hint="eastAsia" w:ascii="仿宋_GB2312" w:hAnsi="仿宋_GB2312" w:eastAsia="仿宋_GB2312" w:cs="仿宋_GB2312"/>
                <w:i w:val="0"/>
                <w:color w:val="auto"/>
                <w:kern w:val="0"/>
                <w:sz w:val="28"/>
                <w:szCs w:val="28"/>
                <w:highlight w:val="none"/>
                <w:u w:val="none"/>
                <w:lang w:val="en-US" w:eastAsia="zh-CN" w:bidi="ar"/>
              </w:rPr>
              <w:t>。</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lang w:val="en-US" w:eastAsia="zh-Hans"/>
              </w:rPr>
            </w:pPr>
            <w:r>
              <w:rPr>
                <w:rFonts w:hint="eastAsia" w:ascii="仿宋_GB2312" w:hAnsi="仿宋_GB2312" w:eastAsia="仿宋_GB2312" w:cs="仿宋_GB2312"/>
                <w:i w:val="0"/>
                <w:color w:val="auto"/>
                <w:sz w:val="28"/>
                <w:szCs w:val="28"/>
                <w:highlight w:val="none"/>
                <w:u w:val="none"/>
                <w:lang w:val="en-US" w:eastAsia="zh-Hans"/>
              </w:rPr>
              <w:t>区水务局</w:t>
            </w:r>
          </w:p>
        </w:tc>
        <w:tc>
          <w:tcPr>
            <w:tcW w:w="2357" w:type="dxa"/>
            <w:gridSpan w:val="2"/>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bidi="ar-SA"/>
              </w:rPr>
              <w:t>相关镇街（地区）</w:t>
            </w:r>
          </w:p>
        </w:tc>
        <w:tc>
          <w:tcPr>
            <w:tcW w:w="2563"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cs="仿宋_GB2312"/>
                <w:color w:val="auto"/>
                <w:kern w:val="2"/>
                <w:sz w:val="28"/>
                <w:szCs w:val="28"/>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blHeader/>
        </w:trPr>
        <w:tc>
          <w:tcPr>
            <w:tcW w:w="509"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Hans" w:bidi="ar"/>
              </w:rPr>
              <w:t>持续推进进水BOD5浓度低于100毫克/升的污水处理厂排查，实施系统化整治，提升污水收集效能。</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cs="仿宋_GB2312"/>
                <w:i w:val="0"/>
                <w:color w:val="auto"/>
                <w:kern w:val="0"/>
                <w:sz w:val="28"/>
                <w:szCs w:val="28"/>
                <w:highlight w:val="none"/>
                <w:u w:val="none"/>
                <w:lang w:val="en-US" w:eastAsia="zh-CN" w:bidi="ar"/>
              </w:rPr>
              <w:t>实施</w:t>
            </w:r>
          </w:p>
        </w:tc>
        <w:tc>
          <w:tcPr>
            <w:tcW w:w="2175"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Hans" w:bidi="ar-SA"/>
              </w:rPr>
            </w:pPr>
            <w:r>
              <w:rPr>
                <w:rFonts w:hint="eastAsia" w:ascii="仿宋_GB2312" w:hAnsi="仿宋_GB2312" w:eastAsia="仿宋_GB2312" w:cs="仿宋_GB2312"/>
                <w:i w:val="0"/>
                <w:color w:val="auto"/>
                <w:sz w:val="28"/>
                <w:szCs w:val="28"/>
                <w:highlight w:val="none"/>
                <w:u w:val="none"/>
                <w:lang w:val="en-US" w:eastAsia="zh-Hans"/>
              </w:rPr>
              <w:t>区水务局</w:t>
            </w:r>
          </w:p>
        </w:tc>
        <w:tc>
          <w:tcPr>
            <w:tcW w:w="2357" w:type="dxa"/>
            <w:gridSpan w:val="2"/>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kinsoku/>
              <w:wordWrap/>
              <w:overflowPunct/>
              <w:topLinePunct w:val="0"/>
              <w:bidi w:val="0"/>
              <w:adjustRightInd w:val="0"/>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Hans"/>
              </w:rPr>
            </w:pPr>
            <w:r>
              <w:rPr>
                <w:rFonts w:hint="eastAsia" w:ascii="仿宋_GB2312" w:hAnsi="仿宋_GB2312" w:eastAsia="仿宋_GB2312" w:cs="仿宋_GB2312"/>
                <w:color w:val="auto"/>
                <w:kern w:val="2"/>
                <w:sz w:val="28"/>
                <w:szCs w:val="28"/>
                <w:highlight w:val="none"/>
                <w:lang w:val="en-US" w:eastAsia="zh-CN" w:bidi="ar-SA"/>
              </w:rPr>
              <w:t>相关镇街（地区）</w:t>
            </w:r>
          </w:p>
        </w:tc>
        <w:tc>
          <w:tcPr>
            <w:tcW w:w="2563"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ind w:left="0" w:leftChars="0" w:right="0" w:rightChars="0"/>
              <w:jc w:val="center"/>
              <w:rPr>
                <w:rFonts w:hint="eastAsia" w:cs="仿宋_GB2312"/>
                <w:color w:val="auto"/>
                <w:kern w:val="2"/>
                <w:sz w:val="28"/>
                <w:szCs w:val="28"/>
                <w:highlight w:val="none"/>
                <w:lang w:val="en-US" w:eastAsia="zh-CN" w:bidi="ar-SA"/>
              </w:rPr>
            </w:pPr>
            <w:r>
              <w:rPr>
                <w:rFonts w:hint="eastAsia" w:cs="仿宋_GB2312"/>
                <w:color w:val="auto"/>
                <w:kern w:val="2"/>
                <w:sz w:val="28"/>
                <w:szCs w:val="28"/>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cs="仿宋_GB2312"/>
                <w:i w:val="0"/>
                <w:color w:val="auto"/>
                <w:sz w:val="28"/>
                <w:szCs w:val="28"/>
                <w:highlight w:val="none"/>
                <w:u w:val="none"/>
                <w:lang w:val="en-US" w:eastAsia="zh-CN"/>
              </w:rPr>
            </w:pPr>
          </w:p>
        </w:tc>
        <w:tc>
          <w:tcPr>
            <w:tcW w:w="1472" w:type="dxa"/>
            <w:vMerge w:val="continue"/>
            <w:tcBorders>
              <w:tl2br w:val="nil"/>
              <w:tr2bl w:val="nil"/>
            </w:tcBorders>
            <w:vAlign w:val="center"/>
          </w:tcPr>
          <w:p>
            <w:pPr>
              <w:keepNext w:val="0"/>
              <w:keepLines w:val="0"/>
              <w:pageBreakBefore w:val="0"/>
              <w:widowControl/>
              <w:tabs>
                <w:tab w:val="left" w:pos="487"/>
              </w:tabs>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kern w:val="0"/>
                <w:sz w:val="28"/>
                <w:szCs w:val="28"/>
                <w:highlight w:val="none"/>
                <w:u w:val="none"/>
                <w:lang w:val="en-US" w:eastAsia="zh-CN" w:bidi="ar"/>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Hans" w:bidi="ar"/>
              </w:rPr>
              <w:t>2025年6月底</w:t>
            </w:r>
            <w:r>
              <w:rPr>
                <w:rFonts w:hint="eastAsia" w:ascii="仿宋_GB2312" w:hAnsi="仿宋_GB2312" w:eastAsia="仿宋_GB2312" w:cs="仿宋_GB2312"/>
                <w:i w:val="0"/>
                <w:color w:val="auto"/>
                <w:kern w:val="0"/>
                <w:sz w:val="28"/>
                <w:szCs w:val="28"/>
                <w:highlight w:val="none"/>
                <w:u w:val="none"/>
                <w:lang w:val="en-US" w:eastAsia="zh-CN" w:bidi="ar"/>
              </w:rPr>
              <w:t>完成密云区潮河（宁村新桥-大广高速桥）水质改善项目，确保巨各庄镇污水处理厂正常运行，水质稳定达标。</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2025年12月底前完成巨各庄镇污水处理厂污水管网和检查井结构检测，编制污水检查井和管网治理实施方案，完成相关治理工作。</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color w:val="auto"/>
                <w:sz w:val="28"/>
                <w:szCs w:val="28"/>
                <w:highlight w:val="none"/>
                <w:u w:val="none"/>
                <w:lang w:val="en-US" w:eastAsia="zh-Hans"/>
              </w:rPr>
              <w:t>区水务局</w:t>
            </w:r>
          </w:p>
        </w:tc>
        <w:tc>
          <w:tcPr>
            <w:tcW w:w="2357" w:type="dxa"/>
            <w:gridSpan w:val="2"/>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kinsoku/>
              <w:wordWrap/>
              <w:overflowPunct/>
              <w:topLinePunct w:val="0"/>
              <w:bidi w:val="0"/>
              <w:adjustRightInd w:val="0"/>
              <w:snapToGrid w:val="0"/>
              <w:spacing w:line="320" w:lineRule="exact"/>
              <w:ind w:left="0" w:leftChars="0" w:right="0" w:right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相关镇街（地区）</w:t>
            </w:r>
          </w:p>
        </w:tc>
        <w:tc>
          <w:tcPr>
            <w:tcW w:w="25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r>
              <w:rPr>
                <w:rFonts w:hint="eastAsia" w:cs="仿宋_GB2312"/>
                <w:i w:val="0"/>
                <w:color w:val="auto"/>
                <w:sz w:val="28"/>
                <w:szCs w:val="28"/>
                <w:highlight w:val="none"/>
                <w:u w:val="none"/>
                <w:lang w:val="en-US" w:eastAsia="zh-CN"/>
              </w:rPr>
              <w:t>7</w:t>
            </w: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强化城乡</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生活污染</w:t>
            </w:r>
          </w:p>
          <w:p>
            <w:pPr>
              <w:keepNext w:val="0"/>
              <w:keepLines w:val="0"/>
              <w:pageBreakBefore w:val="0"/>
              <w:widowControl/>
              <w:tabs>
                <w:tab w:val="left" w:pos="487"/>
              </w:tabs>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kern w:val="0"/>
                <w:sz w:val="28"/>
                <w:szCs w:val="28"/>
                <w:highlight w:val="none"/>
                <w:u w:val="none"/>
                <w:lang w:val="en-US" w:eastAsia="zh-CN" w:bidi="ar"/>
              </w:rPr>
              <w:t>治理</w:t>
            </w:r>
          </w:p>
        </w:tc>
        <w:tc>
          <w:tcPr>
            <w:tcW w:w="49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补齐农村地区水环境治理短板，因地制宜采取工程和生态措施推进农村生活污水治理，完成适宜“管网+厂站”模式的村庄生活污水治理</w:t>
            </w:r>
            <w:r>
              <w:rPr>
                <w:rFonts w:hint="eastAsia" w:cs="仿宋_GB2312"/>
                <w:i w:val="0"/>
                <w:color w:val="auto"/>
                <w:kern w:val="0"/>
                <w:sz w:val="28"/>
                <w:szCs w:val="28"/>
                <w:highlight w:val="none"/>
                <w:u w:val="none"/>
                <w:lang w:val="en-US" w:eastAsia="zh-CN" w:bidi="ar"/>
              </w:rPr>
              <w:t>市级任务</w:t>
            </w:r>
            <w:r>
              <w:rPr>
                <w:rFonts w:hint="eastAsia" w:ascii="仿宋_GB2312" w:hAnsi="仿宋_GB2312" w:eastAsia="仿宋_GB2312" w:cs="仿宋_GB2312"/>
                <w:i w:val="0"/>
                <w:color w:val="auto"/>
                <w:kern w:val="0"/>
                <w:sz w:val="28"/>
                <w:szCs w:val="28"/>
                <w:highlight w:val="none"/>
                <w:u w:val="none"/>
                <w:lang w:val="en-US" w:eastAsia="zh-CN" w:bidi="ar"/>
              </w:rPr>
              <w:t>。</w:t>
            </w:r>
            <w:r>
              <w:rPr>
                <w:rFonts w:hint="eastAsia" w:cs="仿宋_GB2312"/>
                <w:i w:val="0"/>
                <w:color w:val="auto"/>
                <w:kern w:val="0"/>
                <w:sz w:val="28"/>
                <w:szCs w:val="28"/>
                <w:highlight w:val="none"/>
                <w:u w:val="none"/>
                <w:lang w:val="en-US" w:eastAsia="zh-CN" w:bidi="ar"/>
              </w:rPr>
              <w:t xml:space="preserve">   </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w:t>
            </w:r>
            <w:r>
              <w:rPr>
                <w:rFonts w:hint="eastAsia" w:ascii="仿宋_GB2312" w:hAnsi="仿宋_GB2312" w:eastAsia="仿宋_GB2312" w:cs="仿宋_GB2312"/>
                <w:color w:val="auto"/>
                <w:sz w:val="28"/>
                <w:szCs w:val="28"/>
                <w:highlight w:val="none"/>
              </w:rPr>
              <w:t>水务局</w:t>
            </w:r>
          </w:p>
        </w:tc>
        <w:tc>
          <w:tcPr>
            <w:tcW w:w="2357" w:type="dxa"/>
            <w:gridSpan w:val="2"/>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区</w:t>
            </w:r>
            <w:r>
              <w:rPr>
                <w:rFonts w:hint="eastAsia" w:ascii="仿宋_GB2312" w:hAnsi="仿宋_GB2312" w:eastAsia="仿宋_GB2312" w:cs="仿宋_GB2312"/>
                <w:color w:val="auto"/>
                <w:sz w:val="28"/>
                <w:szCs w:val="28"/>
                <w:highlight w:val="none"/>
              </w:rPr>
              <w:t>水务局</w:t>
            </w:r>
          </w:p>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相关镇街（地区）</w:t>
            </w:r>
          </w:p>
        </w:tc>
        <w:tc>
          <w:tcPr>
            <w:tcW w:w="25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市规划自然资源委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密云分局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vAlign w:val="center"/>
          </w:tcPr>
          <w:p>
            <w:pPr>
              <w:keepNext w:val="0"/>
              <w:keepLines w:val="0"/>
              <w:pageBreakBefore w:val="0"/>
              <w:widowControl/>
              <w:tabs>
                <w:tab w:val="left" w:pos="487"/>
              </w:tabs>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eastAsia="zh-CN"/>
              </w:rPr>
            </w:pPr>
          </w:p>
        </w:tc>
        <w:tc>
          <w:tcPr>
            <w:tcW w:w="49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 xml:space="preserve">组织开展现有农村污水处理设施运行情况调查评估，持续更新完善农村生活污水治理设施运行台账。加强农村生活污水处理设施运行监督管理，对运行不正常的设施随发现随督促整改。            </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区水务局</w:t>
            </w:r>
          </w:p>
        </w:tc>
        <w:tc>
          <w:tcPr>
            <w:tcW w:w="2357"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密云水库综合</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执法大队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相关镇街（地区）</w:t>
            </w:r>
          </w:p>
        </w:tc>
        <w:tc>
          <w:tcPr>
            <w:tcW w:w="2563" w:type="dxa"/>
            <w:tcBorders>
              <w:tl2br w:val="nil"/>
              <w:tr2bl w:val="nil"/>
            </w:tcBorders>
            <w:vAlign w:val="center"/>
          </w:tcPr>
          <w:p>
            <w:pPr>
              <w:keepNext w:val="0"/>
              <w:keepLines w:val="0"/>
              <w:pageBreakBefore w:val="0"/>
              <w:widowControl/>
              <w:kinsoku/>
              <w:wordWrap/>
              <w:overflowPunct/>
              <w:topLinePunct w:val="0"/>
              <w:bidi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cs="仿宋_GB2312"/>
                <w:i w:val="0"/>
                <w:color w:val="auto"/>
                <w:kern w:val="0"/>
                <w:sz w:val="28"/>
                <w:szCs w:val="28"/>
                <w:highlight w:val="none"/>
                <w:u w:val="none"/>
                <w:lang w:val="en-US" w:eastAsia="zh-CN" w:bidi="ar"/>
              </w:rPr>
              <w:t>8</w:t>
            </w: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加强工业</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污染防治</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加大工业污染防治力度，通过排污许可管理、重点排污单位管理等措施</w:t>
            </w:r>
            <w:r>
              <w:rPr>
                <w:rFonts w:hint="eastAsia" w:cs="仿宋_GB2312"/>
                <w:i w:val="0"/>
                <w:color w:val="auto"/>
                <w:kern w:val="0"/>
                <w:sz w:val="28"/>
                <w:szCs w:val="28"/>
                <w:highlight w:val="none"/>
                <w:u w:val="none"/>
                <w:lang w:val="en-US" w:eastAsia="zh-CN" w:bidi="ar"/>
              </w:rPr>
              <w:t>，</w:t>
            </w:r>
            <w:r>
              <w:rPr>
                <w:rFonts w:hint="eastAsia" w:ascii="仿宋_GB2312" w:hAnsi="仿宋_GB2312" w:eastAsia="仿宋_GB2312" w:cs="仿宋_GB2312"/>
                <w:i w:val="0"/>
                <w:color w:val="auto"/>
                <w:kern w:val="0"/>
                <w:sz w:val="28"/>
                <w:szCs w:val="28"/>
                <w:highlight w:val="none"/>
                <w:u w:val="none"/>
                <w:lang w:val="en-US" w:eastAsia="zh-CN" w:bidi="ar"/>
              </w:rPr>
              <w:t>加强工业园区污水处理设施监管，推动工业园区产生的污水全收集全处理并达标排放，强化工业园区污水集中处理设施自动在线监控。</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区生态环境局</w:t>
            </w:r>
          </w:p>
        </w:tc>
        <w:tc>
          <w:tcPr>
            <w:tcW w:w="2357"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Hans"/>
              </w:rPr>
              <w:t>区水务局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cs="仿宋_GB2312"/>
                <w:color w:val="auto"/>
                <w:kern w:val="2"/>
                <w:sz w:val="28"/>
                <w:szCs w:val="28"/>
                <w:highlight w:val="none"/>
                <w:lang w:val="en-US" w:eastAsia="zh-CN" w:bidi="ar-SA"/>
              </w:rPr>
            </w:pPr>
            <w:r>
              <w:rPr>
                <w:rFonts w:hint="eastAsia" w:cs="仿宋_GB2312"/>
                <w:color w:val="auto"/>
                <w:kern w:val="2"/>
                <w:sz w:val="28"/>
                <w:szCs w:val="28"/>
                <w:highlight w:val="none"/>
                <w:lang w:val="en-US" w:eastAsia="zh-CN" w:bidi="ar-SA"/>
              </w:rPr>
              <w:t>中关村密云园</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cs="仿宋_GB2312"/>
                <w:color w:val="auto"/>
                <w:kern w:val="2"/>
                <w:sz w:val="28"/>
                <w:szCs w:val="28"/>
                <w:highlight w:val="none"/>
                <w:lang w:val="en-US" w:eastAsia="zh-CN" w:bidi="ar-SA"/>
              </w:rPr>
              <w:t>管委会</w:t>
            </w:r>
          </w:p>
        </w:tc>
        <w:tc>
          <w:tcPr>
            <w:tcW w:w="2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按照</w:t>
            </w:r>
            <w:r>
              <w:rPr>
                <w:rFonts w:hint="eastAsia" w:cs="仿宋_GB2312"/>
                <w:i w:val="0"/>
                <w:color w:val="auto"/>
                <w:kern w:val="0"/>
                <w:sz w:val="28"/>
                <w:szCs w:val="28"/>
                <w:highlight w:val="none"/>
                <w:u w:val="none"/>
                <w:lang w:val="en-US" w:eastAsia="zh-CN" w:bidi="ar"/>
              </w:rPr>
              <w:t>国家</w:t>
            </w:r>
            <w:r>
              <w:rPr>
                <w:rFonts w:hint="eastAsia" w:ascii="仿宋_GB2312" w:hAnsi="仿宋_GB2312" w:eastAsia="仿宋_GB2312" w:cs="仿宋_GB2312"/>
                <w:i w:val="0"/>
                <w:color w:val="auto"/>
                <w:kern w:val="0"/>
                <w:sz w:val="28"/>
                <w:szCs w:val="28"/>
                <w:highlight w:val="none"/>
                <w:u w:val="none"/>
                <w:lang w:val="en-US" w:eastAsia="zh-CN" w:bidi="ar"/>
              </w:rPr>
              <w:t>要求，组织排查整治工业园区污水管网老旧破损、混接错接等情况，建立工业园区污水集中处理设施进水浓度异常等突出问题清单，实施清单管理、动态销号。</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453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cs="仿宋_GB2312"/>
                <w:color w:val="auto"/>
                <w:kern w:val="2"/>
                <w:sz w:val="28"/>
                <w:szCs w:val="2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cs="仿宋_GB2312"/>
                <w:color w:val="auto"/>
                <w:kern w:val="2"/>
                <w:sz w:val="28"/>
                <w:szCs w:val="28"/>
                <w:highlight w:val="none"/>
                <w:lang w:val="en-US" w:eastAsia="zh-CN" w:bidi="ar-SA"/>
              </w:rPr>
              <w:t>中关村密云园管委会</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2"/>
                <w:sz w:val="28"/>
                <w:szCs w:val="28"/>
                <w:highlight w:val="none"/>
                <w:u w:val="none"/>
                <w:lang w:val="en-US" w:eastAsia="zh-CN" w:bidi="ar-SA"/>
              </w:rPr>
            </w:pPr>
          </w:p>
        </w:tc>
        <w:tc>
          <w:tcPr>
            <w:tcW w:w="2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区水务局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kern w:val="2"/>
                <w:sz w:val="28"/>
                <w:szCs w:val="28"/>
                <w:highlight w:val="none"/>
                <w:u w:val="none"/>
                <w:lang w:eastAsia="zh-CN" w:bidi="ar-SA"/>
              </w:rPr>
            </w:pPr>
            <w:r>
              <w:rPr>
                <w:rFonts w:hint="eastAsia" w:ascii="仿宋_GB2312" w:hAnsi="仿宋_GB2312" w:eastAsia="仿宋_GB2312" w:cs="仿宋_GB2312"/>
                <w:color w:val="auto"/>
                <w:sz w:val="28"/>
                <w:szCs w:val="28"/>
                <w:highlight w:val="none"/>
                <w:lang w:val="en-US" w:eastAsia="zh-CN"/>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tblHeader/>
        </w:trPr>
        <w:tc>
          <w:tcPr>
            <w:tcW w:w="50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cs="仿宋_GB2312"/>
                <w:i w:val="0"/>
                <w:color w:val="auto"/>
                <w:kern w:val="0"/>
                <w:sz w:val="28"/>
                <w:szCs w:val="28"/>
                <w:highlight w:val="none"/>
                <w:u w:val="none"/>
                <w:lang w:val="en-US" w:eastAsia="zh-CN" w:bidi="ar"/>
              </w:rPr>
              <w:t>9</w:t>
            </w: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加强入河</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排污口</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监管</w:t>
            </w: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both"/>
              <w:textAlignment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cs="仿宋_GB2312"/>
                <w:i w:val="0"/>
                <w:color w:val="auto"/>
                <w:kern w:val="0"/>
                <w:sz w:val="28"/>
                <w:szCs w:val="28"/>
                <w:highlight w:val="none"/>
                <w:u w:val="none"/>
                <w:lang w:val="en-US" w:eastAsia="zh-CN" w:bidi="ar"/>
              </w:rPr>
              <w:t>按照《入河排污口监督管理办法》，做好入河排污口设置审批、登记工作。</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长期</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仿宋_GB2312" w:hAnsi="仿宋_GB2312" w:eastAsia="仿宋_GB2312" w:cs="仿宋_GB2312"/>
                <w:i w:val="0"/>
                <w:color w:val="auto"/>
                <w:kern w:val="0"/>
                <w:sz w:val="28"/>
                <w:szCs w:val="28"/>
                <w:highlight w:val="none"/>
                <w:u w:val="none"/>
                <w:lang w:val="en-US" w:eastAsia="en-US" w:bidi="ar"/>
              </w:rPr>
            </w:pPr>
            <w:r>
              <w:rPr>
                <w:rFonts w:hint="eastAsia" w:ascii="仿宋_GB2312" w:hAnsi="仿宋_GB2312" w:eastAsia="仿宋_GB2312" w:cs="仿宋_GB2312"/>
                <w:color w:val="auto"/>
                <w:kern w:val="0"/>
                <w:sz w:val="28"/>
                <w:szCs w:val="28"/>
                <w:highlight w:val="none"/>
                <w:lang w:bidi="ar"/>
              </w:rPr>
              <w:t>实施</w:t>
            </w:r>
          </w:p>
        </w:tc>
        <w:tc>
          <w:tcPr>
            <w:tcW w:w="21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区生态环境局</w:t>
            </w:r>
          </w:p>
        </w:tc>
        <w:tc>
          <w:tcPr>
            <w:tcW w:w="235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cs="仿宋_GB2312"/>
                <w:color w:val="auto"/>
                <w:sz w:val="28"/>
                <w:szCs w:val="28"/>
                <w:highlight w:val="none"/>
                <w:lang w:val="en-US" w:eastAsia="zh-CN"/>
              </w:rPr>
              <w:t>区城市管理委</w:t>
            </w:r>
          </w:p>
        </w:tc>
        <w:tc>
          <w:tcPr>
            <w:tcW w:w="2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cs="仿宋_GB2312"/>
                <w:color w:val="auto"/>
                <w:sz w:val="28"/>
                <w:szCs w:val="28"/>
                <w:highlight w:val="none"/>
                <w:lang w:val="en-US" w:eastAsia="zh-CN"/>
              </w:rPr>
              <w:t>中关村密云园管委会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both"/>
              <w:textAlignment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i w:val="0"/>
                <w:color w:val="auto"/>
                <w:kern w:val="0"/>
                <w:sz w:val="28"/>
                <w:szCs w:val="28"/>
                <w:highlight w:val="none"/>
                <w:u w:val="none"/>
                <w:lang w:val="en-US" w:eastAsia="zh-CN" w:bidi="ar"/>
              </w:rPr>
              <w:t>加强入河排污口长效监督管理，每季度对不低于辖区内总数10%的入河排污口开展监督检查，并确保每年度常态有水排污口现场检查、监测全覆盖。巩固排查整治成效，违规排污口动态清零。</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仿宋_GB2312" w:hAnsi="仿宋_GB2312" w:eastAsia="仿宋_GB2312" w:cs="仿宋_GB2312"/>
                <w:i w:val="0"/>
                <w:color w:val="auto"/>
                <w:sz w:val="28"/>
                <w:szCs w:val="28"/>
                <w:highlight w:val="none"/>
                <w:u w:val="none"/>
                <w:lang w:val="en-US" w:eastAsia="en-US" w:bidi="ar-SA"/>
              </w:rPr>
            </w:pPr>
            <w:r>
              <w:rPr>
                <w:rFonts w:hint="eastAsia" w:ascii="仿宋_GB2312" w:hAnsi="仿宋_GB2312" w:eastAsia="仿宋_GB2312" w:cs="仿宋_GB2312"/>
                <w:color w:val="auto"/>
                <w:sz w:val="28"/>
                <w:szCs w:val="28"/>
                <w:highlight w:val="none"/>
              </w:rPr>
              <w:t>实施</w:t>
            </w:r>
          </w:p>
        </w:tc>
        <w:tc>
          <w:tcPr>
            <w:tcW w:w="21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区</w:t>
            </w:r>
            <w:r>
              <w:rPr>
                <w:rFonts w:hint="eastAsia" w:cs="仿宋_GB2312"/>
                <w:color w:val="auto"/>
                <w:sz w:val="28"/>
                <w:szCs w:val="28"/>
                <w:highlight w:val="none"/>
                <w:lang w:val="en-US" w:eastAsia="zh-CN"/>
              </w:rPr>
              <w:t>水务</w:t>
            </w:r>
            <w:r>
              <w:rPr>
                <w:rFonts w:hint="eastAsia" w:ascii="仿宋_GB2312" w:hAnsi="仿宋_GB2312" w:eastAsia="仿宋_GB2312" w:cs="仿宋_GB2312"/>
                <w:color w:val="auto"/>
                <w:sz w:val="28"/>
                <w:szCs w:val="28"/>
                <w:highlight w:val="none"/>
                <w:lang w:val="en-US" w:eastAsia="zh-CN"/>
              </w:rPr>
              <w:t>局</w:t>
            </w:r>
          </w:p>
        </w:tc>
        <w:tc>
          <w:tcPr>
            <w:tcW w:w="235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w:t>
            </w:r>
            <w:r>
              <w:rPr>
                <w:rFonts w:hint="eastAsia" w:cs="仿宋_GB2312"/>
                <w:color w:val="auto"/>
                <w:sz w:val="28"/>
                <w:szCs w:val="28"/>
                <w:highlight w:val="none"/>
                <w:lang w:val="en-US" w:eastAsia="zh-CN"/>
              </w:rPr>
              <w:t>环境</w:t>
            </w:r>
            <w:r>
              <w:rPr>
                <w:rFonts w:hint="eastAsia" w:ascii="仿宋_GB2312" w:hAnsi="仿宋_GB2312" w:eastAsia="仿宋_GB2312" w:cs="仿宋_GB2312"/>
                <w:color w:val="auto"/>
                <w:sz w:val="28"/>
                <w:szCs w:val="28"/>
                <w:highlight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cs="仿宋_GB2312"/>
                <w:color w:val="auto"/>
                <w:sz w:val="28"/>
                <w:szCs w:val="28"/>
                <w:highlight w:val="none"/>
                <w:lang w:val="en-US" w:eastAsia="zh-CN"/>
              </w:rPr>
              <w:t>区城市管理委</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区城管执法局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中关村密云园</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both"/>
              <w:textAlignment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i w:val="0"/>
                <w:color w:val="auto"/>
                <w:kern w:val="0"/>
                <w:sz w:val="28"/>
                <w:szCs w:val="28"/>
                <w:highlight w:val="none"/>
                <w:u w:val="none"/>
                <w:lang w:val="en-US" w:eastAsia="zh-CN" w:bidi="ar"/>
              </w:rPr>
              <w:t>按照生态环境部要求，动态更新入河排污口管理台账，加强入河排污口设置审批、登记、排查整治、日常监督检查等信息管理。</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lang w:val="en-US" w:eastAsia="en-US" w:bidi="ar-SA"/>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w:t>
            </w:r>
            <w:r>
              <w:rPr>
                <w:rFonts w:hint="eastAsia" w:cs="仿宋_GB2312"/>
                <w:color w:val="auto"/>
                <w:sz w:val="28"/>
                <w:szCs w:val="28"/>
                <w:highlight w:val="none"/>
                <w:lang w:val="en-US" w:eastAsia="zh-CN"/>
              </w:rPr>
              <w:t>环境</w:t>
            </w:r>
            <w:r>
              <w:rPr>
                <w:rFonts w:hint="eastAsia" w:ascii="仿宋_GB2312" w:hAnsi="仿宋_GB2312" w:eastAsia="仿宋_GB2312" w:cs="仿宋_GB2312"/>
                <w:color w:val="auto"/>
                <w:sz w:val="28"/>
                <w:szCs w:val="28"/>
                <w:highlight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bidi="ar-SA"/>
              </w:rPr>
            </w:pPr>
          </w:p>
        </w:tc>
        <w:tc>
          <w:tcPr>
            <w:tcW w:w="235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w:t>
            </w:r>
            <w:r>
              <w:rPr>
                <w:rFonts w:hint="eastAsia" w:cs="仿宋_GB2312"/>
                <w:color w:val="auto"/>
                <w:sz w:val="28"/>
                <w:szCs w:val="28"/>
                <w:highlight w:val="none"/>
                <w:lang w:val="en-US" w:eastAsia="zh-CN"/>
              </w:rPr>
              <w:t>环境</w:t>
            </w:r>
            <w:r>
              <w:rPr>
                <w:rFonts w:hint="eastAsia" w:ascii="仿宋_GB2312" w:hAnsi="仿宋_GB2312" w:eastAsia="仿宋_GB2312" w:cs="仿宋_GB2312"/>
                <w:color w:val="auto"/>
                <w:sz w:val="28"/>
                <w:szCs w:val="28"/>
                <w:highlight w:val="none"/>
                <w:lang w:val="en-US" w:eastAsia="zh-CN"/>
              </w:rPr>
              <w:t>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cs="仿宋_GB2312"/>
                <w:color w:val="auto"/>
                <w:sz w:val="28"/>
                <w:szCs w:val="28"/>
                <w:highlight w:val="none"/>
                <w:lang w:val="en-US" w:eastAsia="zh-CN"/>
              </w:rPr>
              <w:t>区城市管理委</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区城管执法局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中关村密云园</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both"/>
              <w:rPr>
                <w:rFonts w:hint="default" w:ascii="仿宋_GB2312" w:hAnsi="仿宋_GB2312" w:eastAsia="仿宋_GB2312" w:cs="仿宋_GB2312"/>
                <w:i w:val="0"/>
                <w:color w:val="auto"/>
                <w:sz w:val="28"/>
                <w:szCs w:val="28"/>
                <w:highlight w:val="none"/>
                <w:u w:val="none"/>
                <w:lang w:val="en-US"/>
              </w:rPr>
            </w:pPr>
            <w:r>
              <w:rPr>
                <w:rFonts w:hint="eastAsia" w:cs="仿宋_GB2312"/>
                <w:i w:val="0"/>
                <w:color w:val="auto"/>
                <w:kern w:val="0"/>
                <w:sz w:val="28"/>
                <w:szCs w:val="28"/>
                <w:highlight w:val="none"/>
                <w:u w:val="none"/>
                <w:lang w:val="en-US" w:eastAsia="zh-CN" w:bidi="ar"/>
              </w:rPr>
              <w:t>10</w:t>
            </w: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巩固水体</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整治成效</w:t>
            </w:r>
          </w:p>
        </w:tc>
        <w:tc>
          <w:tcPr>
            <w:tcW w:w="49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发挥“河长制”统筹作用，加强汛期面源污染治理、污水直排混排入河监管、已完成整治的黑臭水体管护、农村小微水体管护等巡查力度。</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实施</w:t>
            </w:r>
          </w:p>
        </w:tc>
        <w:tc>
          <w:tcPr>
            <w:tcW w:w="21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bidi="ar-SA"/>
              </w:rPr>
              <w:t>区生态环境局</w:t>
            </w:r>
          </w:p>
        </w:tc>
        <w:tc>
          <w:tcPr>
            <w:tcW w:w="2357" w:type="dxa"/>
            <w:gridSpan w:val="2"/>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区农业农村局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cs="仿宋_GB2312"/>
                <w:color w:val="auto"/>
                <w:sz w:val="28"/>
                <w:szCs w:val="28"/>
                <w:highlight w:val="none"/>
                <w:lang w:val="en-US" w:eastAsia="zh-CN"/>
              </w:rPr>
              <w:t>区城市管理委</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区城管执法局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cs="仿宋_GB2312"/>
                <w:color w:val="auto"/>
                <w:kern w:val="2"/>
                <w:sz w:val="28"/>
                <w:szCs w:val="28"/>
                <w:highlight w:val="none"/>
                <w:lang w:val="en-US" w:eastAsia="zh-CN" w:bidi="ar-SA"/>
              </w:rPr>
            </w:pPr>
            <w:r>
              <w:rPr>
                <w:rFonts w:hint="eastAsia" w:cs="仿宋_GB2312"/>
                <w:color w:val="auto"/>
                <w:kern w:val="2"/>
                <w:sz w:val="28"/>
                <w:szCs w:val="28"/>
                <w:highlight w:val="none"/>
                <w:lang w:val="en-US" w:eastAsia="zh-CN" w:bidi="ar-SA"/>
              </w:rPr>
              <w:t>中关村密云园</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cs="仿宋_GB2312"/>
                <w:color w:val="auto"/>
                <w:kern w:val="2"/>
                <w:sz w:val="28"/>
                <w:szCs w:val="28"/>
                <w:highlight w:val="none"/>
                <w:lang w:val="en-US" w:eastAsia="zh-CN" w:bidi="ar-SA"/>
              </w:rPr>
              <w:t>管委会</w:t>
            </w:r>
          </w:p>
        </w:tc>
        <w:tc>
          <w:tcPr>
            <w:tcW w:w="2563"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仿宋_GB2312" w:hAnsi="仿宋_GB2312" w:eastAsia="仿宋_GB2312" w:cs="仿宋_GB2312"/>
                <w:i w:val="0"/>
                <w:color w:val="auto"/>
                <w:sz w:val="28"/>
                <w:szCs w:val="28"/>
                <w:highlight w:val="none"/>
                <w:u w:val="none"/>
                <w:lang w:val="en-US"/>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auto"/>
                <w:sz w:val="28"/>
                <w:szCs w:val="28"/>
                <w:highlight w:val="none"/>
                <w:u w:val="none"/>
              </w:rPr>
            </w:pPr>
            <w:r>
              <w:rPr>
                <w:rFonts w:hint="eastAsia" w:cs="仿宋_GB2312"/>
                <w:i w:val="0"/>
                <w:color w:val="auto"/>
                <w:kern w:val="0"/>
                <w:sz w:val="28"/>
                <w:szCs w:val="28"/>
                <w:highlight w:val="none"/>
                <w:u w:val="none"/>
                <w:lang w:val="en-US" w:eastAsia="zh-CN" w:bidi="ar"/>
              </w:rPr>
              <w:t>加强地表水体巡查，</w:t>
            </w:r>
            <w:r>
              <w:rPr>
                <w:rFonts w:hint="eastAsia" w:ascii="仿宋_GB2312" w:hAnsi="仿宋_GB2312" w:eastAsia="仿宋_GB2312" w:cs="仿宋_GB2312"/>
                <w:i w:val="0"/>
                <w:color w:val="auto"/>
                <w:kern w:val="0"/>
                <w:sz w:val="28"/>
                <w:szCs w:val="28"/>
                <w:highlight w:val="none"/>
                <w:u w:val="none"/>
                <w:lang w:val="en-US" w:eastAsia="zh-CN" w:bidi="ar"/>
              </w:rPr>
              <w:t>对</w:t>
            </w:r>
            <w:r>
              <w:rPr>
                <w:rFonts w:hint="eastAsia" w:cs="仿宋_GB2312"/>
                <w:i w:val="0"/>
                <w:color w:val="auto"/>
                <w:kern w:val="0"/>
                <w:sz w:val="28"/>
                <w:szCs w:val="28"/>
                <w:highlight w:val="none"/>
                <w:u w:val="none"/>
                <w:lang w:val="en-US" w:eastAsia="zh-CN" w:bidi="ar"/>
              </w:rPr>
              <w:t>发现的</w:t>
            </w:r>
            <w:r>
              <w:rPr>
                <w:rFonts w:hint="eastAsia" w:ascii="仿宋_GB2312" w:hAnsi="仿宋_GB2312" w:eastAsia="仿宋_GB2312" w:cs="仿宋_GB2312"/>
                <w:i w:val="0"/>
                <w:color w:val="auto"/>
                <w:kern w:val="0"/>
                <w:sz w:val="28"/>
                <w:szCs w:val="28"/>
                <w:highlight w:val="none"/>
                <w:u w:val="none"/>
                <w:lang w:val="en-US" w:eastAsia="zh-CN" w:bidi="ar"/>
              </w:rPr>
              <w:t>黑臭水体、劣Ⅴ类等问题，及时开展整改，确保动态清零。</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实施</w:t>
            </w:r>
          </w:p>
        </w:tc>
        <w:tc>
          <w:tcPr>
            <w:tcW w:w="2175"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_GB2312" w:hAnsi="仿宋_GB2312" w:eastAsia="仿宋_GB2312" w:cs="仿宋_GB2312"/>
                <w:color w:val="auto"/>
                <w:sz w:val="28"/>
                <w:szCs w:val="28"/>
                <w:highlight w:val="none"/>
                <w:lang w:eastAsia="zh-CN"/>
              </w:rPr>
            </w:pPr>
          </w:p>
        </w:tc>
        <w:tc>
          <w:tcPr>
            <w:tcW w:w="2357" w:type="dxa"/>
            <w:gridSpan w:val="2"/>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cs="仿宋_GB2312"/>
                <w:color w:val="auto"/>
                <w:kern w:val="2"/>
                <w:sz w:val="28"/>
                <w:szCs w:val="28"/>
                <w:highlight w:val="none"/>
                <w:lang w:val="en-US" w:eastAsia="zh-CN" w:bidi="ar-SA"/>
              </w:rPr>
            </w:pPr>
            <w:r>
              <w:rPr>
                <w:rFonts w:hint="eastAsia" w:cs="仿宋_GB2312"/>
                <w:color w:val="auto"/>
                <w:kern w:val="2"/>
                <w:sz w:val="28"/>
                <w:szCs w:val="28"/>
                <w:highlight w:val="none"/>
                <w:lang w:val="en-US" w:eastAsia="zh-CN" w:bidi="ar-SA"/>
              </w:rPr>
              <w:t>中关村密云园</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color w:val="auto"/>
                <w:sz w:val="28"/>
                <w:szCs w:val="28"/>
                <w:highlight w:val="none"/>
                <w:lang w:eastAsia="zh-CN"/>
              </w:rPr>
            </w:pPr>
            <w:r>
              <w:rPr>
                <w:rFonts w:hint="eastAsia" w:cs="仿宋_GB2312"/>
                <w:color w:val="auto"/>
                <w:kern w:val="2"/>
                <w:sz w:val="28"/>
                <w:szCs w:val="28"/>
                <w:highlight w:val="none"/>
                <w:lang w:val="en-US" w:eastAsia="zh-CN" w:bidi="ar-SA"/>
              </w:rPr>
              <w:t>管委会</w:t>
            </w:r>
          </w:p>
        </w:tc>
        <w:tc>
          <w:tcPr>
            <w:tcW w:w="2563" w:type="dxa"/>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b w:val="0"/>
                <w:bCs w:val="0"/>
                <w:i w:val="0"/>
                <w:iCs w:val="0"/>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val="0"/>
              <w:numPr>
                <w:ilvl w:val="0"/>
                <w:numId w:val="0"/>
              </w:numPr>
              <w:tabs>
                <w:tab w:val="left" w:pos="840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_GB2312" w:hAnsi="仿宋_GB2312" w:eastAsia="仿宋_GB2312"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lang w:val="en-US" w:eastAsia="zh-CN" w:bidi="ar"/>
              </w:rPr>
              <w:t>加强地表水体监测，</w:t>
            </w:r>
            <w:r>
              <w:rPr>
                <w:rFonts w:hint="eastAsia" w:ascii="仿宋_GB2312" w:hAnsi="仿宋_GB2312" w:eastAsia="仿宋_GB2312" w:cs="仿宋_GB2312"/>
                <w:i w:val="0"/>
                <w:color w:val="auto"/>
                <w:kern w:val="0"/>
                <w:sz w:val="28"/>
                <w:szCs w:val="28"/>
                <w:highlight w:val="none"/>
                <w:u w:val="none"/>
                <w:lang w:val="en-US" w:eastAsia="zh-CN" w:bidi="ar"/>
              </w:rPr>
              <w:t>第二、三季度每月开展黑臭水体水质监测</w:t>
            </w:r>
            <w:r>
              <w:rPr>
                <w:rFonts w:hint="eastAsia" w:cs="仿宋_GB2312"/>
                <w:i w:val="0"/>
                <w:color w:val="auto"/>
                <w:kern w:val="0"/>
                <w:sz w:val="28"/>
                <w:szCs w:val="28"/>
                <w:highlight w:val="none"/>
                <w:u w:val="none"/>
                <w:lang w:val="en-US" w:eastAsia="zh-CN" w:bidi="ar"/>
              </w:rPr>
              <w:t>。</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color w:val="auto"/>
                <w:sz w:val="28"/>
                <w:szCs w:val="28"/>
                <w:highlight w:val="none"/>
              </w:rPr>
              <w:t>实施</w:t>
            </w:r>
          </w:p>
        </w:tc>
        <w:tc>
          <w:tcPr>
            <w:tcW w:w="4532"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区生态环境局</w:t>
            </w:r>
          </w:p>
        </w:tc>
        <w:tc>
          <w:tcPr>
            <w:tcW w:w="2563" w:type="dxa"/>
            <w:tcBorders>
              <w:tl2br w:val="nil"/>
              <w:tr2bl w:val="nil"/>
            </w:tcBorders>
            <w:vAlign w:val="center"/>
          </w:tcPr>
          <w:p>
            <w:pPr>
              <w:keepNext w:val="0"/>
              <w:keepLines w:val="0"/>
              <w:pageBreakBefore w:val="0"/>
              <w:kinsoku/>
              <w:wordWrap/>
              <w:overflowPunct/>
              <w:topLinePunct w:val="0"/>
              <w:bidi w:val="0"/>
              <w:spacing w:line="320" w:lineRule="exact"/>
              <w:ind w:left="0" w:leftChars="0" w:right="0" w:rightChars="0"/>
              <w:jc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b w:val="0"/>
                <w:bCs w:val="0"/>
                <w:i w:val="0"/>
                <w:iCs w:val="0"/>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val="0"/>
              <w:numPr>
                <w:ilvl w:val="0"/>
                <w:numId w:val="0"/>
              </w:numPr>
              <w:tabs>
                <w:tab w:val="left" w:pos="8400"/>
              </w:tabs>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加强污染减排与生态扩容，防止劣Ⅴ类水体反弹。</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cs="仿宋_GB2312"/>
                <w:color w:val="auto"/>
                <w:kern w:val="2"/>
                <w:sz w:val="28"/>
                <w:szCs w:val="28"/>
                <w:highlight w:val="none"/>
                <w:lang w:val="en-US" w:eastAsia="zh-CN" w:bidi="ar-SA"/>
              </w:rPr>
              <w:t>区城市管理委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区住房城乡建设委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cs="仿宋_GB2312"/>
                <w:color w:val="auto"/>
                <w:kern w:val="2"/>
                <w:sz w:val="28"/>
                <w:szCs w:val="28"/>
                <w:highlight w:val="none"/>
                <w:lang w:val="en-US" w:eastAsia="zh-CN" w:bidi="ar-SA"/>
              </w:rPr>
              <w:t>中关村密云园管委会</w:t>
            </w:r>
          </w:p>
        </w:tc>
        <w:tc>
          <w:tcPr>
            <w:tcW w:w="2563" w:type="dxa"/>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0"/>
                <w:sz w:val="28"/>
                <w:szCs w:val="28"/>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4" w:hRule="atLeast"/>
          <w:tblHeader/>
        </w:trPr>
        <w:tc>
          <w:tcPr>
            <w:tcW w:w="509"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1</w:t>
            </w:r>
            <w:r>
              <w:rPr>
                <w:rFonts w:hint="eastAsia" w:cs="仿宋_GB2312"/>
                <w:i w:val="0"/>
                <w:color w:val="auto"/>
                <w:kern w:val="0"/>
                <w:sz w:val="28"/>
                <w:szCs w:val="28"/>
                <w:highlight w:val="none"/>
                <w:u w:val="none"/>
                <w:lang w:val="en-US" w:eastAsia="zh-CN" w:bidi="ar"/>
              </w:rPr>
              <w:t>1</w:t>
            </w: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深化流域</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生态补偿</w:t>
            </w: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cs="仿宋_GB2312"/>
                <w:i w:val="0"/>
                <w:color w:val="auto"/>
                <w:kern w:val="0"/>
                <w:sz w:val="28"/>
                <w:szCs w:val="28"/>
                <w:highlight w:val="none"/>
                <w:u w:val="none"/>
                <w:lang w:val="en-US" w:eastAsia="zh-CN" w:bidi="ar"/>
              </w:rPr>
              <w:t>配合实施密云水库上游流域横向生态保护补偿协议，开展新一轮密云水库上游潮白河流域水源涵养区横向生态保护补偿协议的研究。</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区</w:t>
            </w:r>
            <w:r>
              <w:rPr>
                <w:rFonts w:hint="eastAsia" w:ascii="仿宋_GB2312" w:hAnsi="仿宋_GB2312" w:eastAsia="仿宋_GB2312" w:cs="仿宋_GB2312"/>
                <w:b w:val="0"/>
                <w:bCs w:val="0"/>
                <w:color w:val="auto"/>
                <w:sz w:val="28"/>
                <w:szCs w:val="28"/>
                <w:highlight w:val="none"/>
              </w:rPr>
              <w:t>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i w:val="0"/>
                <w:color w:val="auto"/>
                <w:kern w:val="0"/>
                <w:sz w:val="28"/>
                <w:szCs w:val="28"/>
                <w:highlight w:val="none"/>
                <w:u w:val="none"/>
                <w:lang w:val="en-US" w:eastAsia="zh-CN" w:bidi="ar"/>
              </w:rPr>
            </w:pPr>
          </w:p>
        </w:tc>
        <w:tc>
          <w:tcPr>
            <w:tcW w:w="235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区</w:t>
            </w:r>
            <w:r>
              <w:rPr>
                <w:rFonts w:hint="eastAsia" w:ascii="仿宋_GB2312" w:hAnsi="仿宋_GB2312" w:eastAsia="仿宋_GB2312" w:cs="仿宋_GB2312"/>
                <w:b w:val="0"/>
                <w:bCs w:val="0"/>
                <w:color w:val="auto"/>
                <w:sz w:val="28"/>
                <w:szCs w:val="28"/>
                <w:highlight w:val="none"/>
              </w:rPr>
              <w:t>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区生态环境局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i w:val="0"/>
                <w:color w:val="auto"/>
                <w:kern w:val="0"/>
                <w:sz w:val="28"/>
                <w:szCs w:val="28"/>
                <w:highlight w:val="none"/>
                <w:u w:val="none"/>
                <w:lang w:val="en-US" w:eastAsia="zh-CN" w:bidi="ar"/>
              </w:rPr>
            </w:pPr>
          </w:p>
        </w:tc>
        <w:tc>
          <w:tcPr>
            <w:tcW w:w="2563"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cs="仿宋_GB2312"/>
                <w:b w:val="0"/>
                <w:bCs w:val="0"/>
                <w:color w:val="auto"/>
                <w:sz w:val="28"/>
                <w:szCs w:val="28"/>
                <w:highlight w:val="none"/>
                <w:lang w:val="en-US" w:eastAsia="zh-CN"/>
              </w:rPr>
              <w:t>区发展改革委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lang w:val="en-US" w:eastAsia="zh-CN" w:bidi="ar"/>
              </w:rPr>
              <w:t>落实《北京市水生态区域补偿暂行办法》《北京市水生态区域补偿金核算细则（试行）》《北京市密云区水生态区域补偿考核办法（试行）》，推进全区水生态环境质量持续改善。</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区</w:t>
            </w:r>
            <w:r>
              <w:rPr>
                <w:rFonts w:hint="eastAsia" w:ascii="仿宋_GB2312" w:hAnsi="仿宋_GB2312" w:eastAsia="仿宋_GB2312" w:cs="仿宋_GB2312"/>
                <w:b w:val="0"/>
                <w:bCs w:val="0"/>
                <w:color w:val="auto"/>
                <w:sz w:val="28"/>
                <w:szCs w:val="28"/>
                <w:highlight w:val="none"/>
              </w:rPr>
              <w:t>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lang w:val="en-US" w:eastAsia="zh-CN"/>
              </w:rPr>
            </w:pPr>
            <w:r>
              <w:rPr>
                <w:rFonts w:hint="eastAsia" w:cs="仿宋_GB2312"/>
                <w:b w:val="0"/>
                <w:bCs w:val="0"/>
                <w:color w:val="auto"/>
                <w:sz w:val="28"/>
                <w:szCs w:val="28"/>
                <w:highlight w:val="none"/>
                <w:lang w:eastAsia="zh-CN"/>
              </w:rPr>
              <w:t>区生态环境局</w:t>
            </w:r>
          </w:p>
        </w:tc>
        <w:tc>
          <w:tcPr>
            <w:tcW w:w="235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cs="仿宋_GB2312"/>
                <w:b w:val="0"/>
                <w:bCs w:val="0"/>
                <w:color w:val="auto"/>
                <w:sz w:val="28"/>
                <w:szCs w:val="28"/>
                <w:highlight w:val="none"/>
                <w:lang w:val="en-US" w:eastAsia="zh-CN"/>
              </w:rPr>
            </w:pPr>
            <w:r>
              <w:rPr>
                <w:rFonts w:hint="eastAsia" w:cs="仿宋_GB2312"/>
                <w:b w:val="0"/>
                <w:bCs w:val="0"/>
                <w:color w:val="auto"/>
                <w:sz w:val="28"/>
                <w:szCs w:val="28"/>
                <w:highlight w:val="none"/>
                <w:lang w:eastAsia="zh-CN"/>
              </w:rPr>
              <w:t>区生态环境局</w:t>
            </w:r>
            <w:r>
              <w:rPr>
                <w:rFonts w:hint="eastAsia" w:cs="仿宋_GB2312"/>
                <w:b w:val="0"/>
                <w:bCs w:val="0"/>
                <w:color w:val="auto"/>
                <w:sz w:val="28"/>
                <w:szCs w:val="28"/>
                <w:highlight w:val="none"/>
                <w:lang w:val="en-US" w:eastAsia="zh-CN"/>
              </w:rPr>
              <w:t xml:space="preserve"> </w:t>
            </w:r>
            <w:r>
              <w:rPr>
                <w:rFonts w:hint="eastAsia" w:cs="仿宋_GB2312"/>
                <w:b w:val="0"/>
                <w:bCs w:val="0"/>
                <w:color w:val="auto"/>
                <w:sz w:val="28"/>
                <w:szCs w:val="28"/>
                <w:highlight w:val="none"/>
                <w:lang w:eastAsia="zh-CN"/>
              </w:rPr>
              <w:t>《北京市</w:t>
            </w:r>
            <w:r>
              <w:rPr>
                <w:rFonts w:hint="eastAsia" w:cs="仿宋_GB2312"/>
                <w:b w:val="0"/>
                <w:bCs w:val="0"/>
                <w:color w:val="auto"/>
                <w:sz w:val="28"/>
                <w:szCs w:val="28"/>
                <w:highlight w:val="none"/>
                <w:lang w:val="en-US" w:eastAsia="zh-CN"/>
              </w:rPr>
              <w:t>密云区水生态区域补偿考核办法（试行）</w:t>
            </w:r>
            <w:r>
              <w:rPr>
                <w:rFonts w:hint="eastAsia" w:cs="仿宋_GB2312"/>
                <w:b w:val="0"/>
                <w:bCs w:val="0"/>
                <w:color w:val="auto"/>
                <w:sz w:val="28"/>
                <w:szCs w:val="28"/>
                <w:highlight w:val="none"/>
                <w:lang w:eastAsia="zh-CN"/>
              </w:rPr>
              <w:t>》</w:t>
            </w:r>
            <w:r>
              <w:rPr>
                <w:rFonts w:hint="eastAsia" w:cs="仿宋_GB2312"/>
                <w:b w:val="0"/>
                <w:bCs w:val="0"/>
                <w:color w:val="auto"/>
                <w:sz w:val="28"/>
                <w:szCs w:val="28"/>
                <w:highlight w:val="none"/>
                <w:lang w:val="en-US" w:eastAsia="zh-CN"/>
              </w:rPr>
              <w:t>中涉及的相关</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r>
              <w:rPr>
                <w:rFonts w:hint="eastAsia" w:cs="仿宋_GB2312"/>
                <w:b w:val="0"/>
                <w:bCs w:val="0"/>
                <w:color w:val="auto"/>
                <w:sz w:val="28"/>
                <w:szCs w:val="28"/>
                <w:highlight w:val="none"/>
                <w:lang w:val="en-US" w:eastAsia="zh-CN"/>
              </w:rPr>
              <w:t>部门</w:t>
            </w:r>
          </w:p>
        </w:tc>
        <w:tc>
          <w:tcPr>
            <w:tcW w:w="2563"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color w:val="auto"/>
                <w:sz w:val="28"/>
                <w:szCs w:val="28"/>
                <w:highlight w:val="none"/>
                <w:lang w:val="en-US" w:eastAsia="zh-Hans"/>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6" w:hRule="atLeast"/>
          <w:tblHeader/>
        </w:trPr>
        <w:tc>
          <w:tcPr>
            <w:tcW w:w="509"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1</w:t>
            </w:r>
            <w:r>
              <w:rPr>
                <w:rFonts w:hint="eastAsia" w:cs="仿宋_GB2312"/>
                <w:i w:val="0"/>
                <w:color w:val="auto"/>
                <w:kern w:val="0"/>
                <w:sz w:val="28"/>
                <w:szCs w:val="28"/>
                <w:highlight w:val="none"/>
                <w:u w:val="none"/>
                <w:lang w:val="en-US" w:eastAsia="zh-CN" w:bidi="ar"/>
              </w:rPr>
              <w:t>2</w:t>
            </w:r>
          </w:p>
        </w:tc>
        <w:tc>
          <w:tcPr>
            <w:tcW w:w="147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强化跨部门、跨区域监管</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执法</w:t>
            </w: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lang w:val="en-US" w:eastAsia="zh-CN" w:bidi="ar"/>
              </w:rPr>
              <w:t>巩固多部门联合执法机制，适时开展跨区域执法。以水环境问题为导向，重点开展流域“点穴”、饮用水水源地、入河排污口和农村污水处理设施等专项执法检查。</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CN"/>
              </w:rPr>
              <w:t>区</w:t>
            </w:r>
            <w:r>
              <w:rPr>
                <w:rFonts w:hint="eastAsia" w:ascii="仿宋_GB2312" w:hAnsi="仿宋_GB2312" w:eastAsia="仿宋_GB2312" w:cs="仿宋_GB2312"/>
                <w:color w:val="auto"/>
                <w:sz w:val="28"/>
                <w:szCs w:val="28"/>
                <w:lang w:val="en-US" w:eastAsia="zh-Hans"/>
              </w:rPr>
              <w:t>生态环境局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CN"/>
              </w:rPr>
              <w:t>区城管执法局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cs="仿宋_GB2312"/>
                <w:color w:val="auto"/>
                <w:sz w:val="28"/>
                <w:szCs w:val="28"/>
                <w:highlight w:val="none"/>
                <w:lang w:eastAsia="zh-CN"/>
              </w:rPr>
            </w:pPr>
            <w:r>
              <w:rPr>
                <w:rFonts w:hint="eastAsia" w:cs="仿宋_GB2312"/>
                <w:color w:val="auto"/>
                <w:sz w:val="28"/>
                <w:szCs w:val="28"/>
                <w:highlight w:val="none"/>
                <w:lang w:eastAsia="zh-CN"/>
              </w:rPr>
              <w:t>区农业农村局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密云水库综合执法大队</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i w:val="0"/>
                <w:color w:val="auto"/>
                <w:sz w:val="28"/>
                <w:szCs w:val="28"/>
                <w:highlight w:val="none"/>
                <w:u w:val="none"/>
              </w:rPr>
            </w:pPr>
            <w:r>
              <w:rPr>
                <w:rFonts w:hint="eastAsia" w:cs="仿宋_GB2312"/>
                <w:color w:val="auto"/>
                <w:sz w:val="28"/>
                <w:szCs w:val="28"/>
                <w:lang w:val="en-US" w:eastAsia="zh-CN"/>
              </w:rPr>
              <w:t>中关村密云园管委会</w:t>
            </w:r>
          </w:p>
        </w:tc>
        <w:tc>
          <w:tcPr>
            <w:tcW w:w="2563" w:type="dxa"/>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lang w:eastAsia="zh-CN"/>
              </w:rPr>
            </w:pPr>
            <w:r>
              <w:rPr>
                <w:rFonts w:hint="eastAsia" w:cs="仿宋_GB2312"/>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4"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lang w:val="en-US" w:eastAsia="zh-CN" w:bidi="ar"/>
              </w:rPr>
              <w:t>严厉打击向城市雨水管道排污及倾倒垃圾、向河道倾倒及填埋垃圾等违法行为，切实降低初期雨水污染对河流水质的影响。</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实施</w:t>
            </w:r>
          </w:p>
        </w:tc>
        <w:tc>
          <w:tcPr>
            <w:tcW w:w="4532"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区城管执法局</w:t>
            </w:r>
          </w:p>
          <w:p>
            <w:pPr>
              <w:keepNext w:val="0"/>
              <w:keepLines w:val="0"/>
              <w:pageBreakBefore w:val="0"/>
              <w:widowControl w:val="0"/>
              <w:kinsoku/>
              <w:wordWrap/>
              <w:overflowPunct/>
              <w:topLinePunct w:val="0"/>
              <w:autoSpaceDE w:val="0"/>
              <w:autoSpaceDN w:val="0"/>
              <w:bidi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相关镇街（地区）</w:t>
            </w:r>
          </w:p>
          <w:p>
            <w:pPr>
              <w:keepNext w:val="0"/>
              <w:keepLines w:val="0"/>
              <w:pageBreakBefore w:val="0"/>
              <w:widowControl w:val="0"/>
              <w:kinsoku/>
              <w:wordWrap/>
              <w:overflowPunct/>
              <w:topLinePunct w:val="0"/>
              <w:autoSpaceDE w:val="0"/>
              <w:autoSpaceDN w:val="0"/>
              <w:bidi w:val="0"/>
              <w:spacing w:line="320" w:lineRule="exact"/>
              <w:jc w:val="center"/>
              <w:textAlignment w:val="auto"/>
              <w:rPr>
                <w:rFonts w:hint="eastAsia" w:ascii="仿宋_GB2312" w:hAnsi="仿宋_GB2312" w:eastAsia="仿宋_GB2312" w:cs="仿宋_GB2312"/>
                <w:i w:val="0"/>
                <w:color w:val="auto"/>
                <w:sz w:val="28"/>
                <w:szCs w:val="28"/>
                <w:highlight w:val="none"/>
                <w:u w:val="none"/>
              </w:rPr>
            </w:pPr>
            <w:r>
              <w:rPr>
                <w:rFonts w:hint="eastAsia" w:cs="仿宋_GB2312"/>
                <w:color w:val="auto"/>
                <w:sz w:val="28"/>
                <w:szCs w:val="28"/>
                <w:highlight w:val="none"/>
                <w:lang w:val="en-US" w:eastAsia="zh-CN"/>
              </w:rPr>
              <w:t>中关村密云园管委会</w:t>
            </w:r>
          </w:p>
        </w:tc>
        <w:tc>
          <w:tcPr>
            <w:tcW w:w="2563" w:type="dxa"/>
            <w:tcBorders>
              <w:tl2br w:val="nil"/>
              <w:tr2bl w:val="nil"/>
            </w:tcBorders>
            <w:vAlign w:val="center"/>
          </w:tcPr>
          <w:p>
            <w:pPr>
              <w:keepNext w:val="0"/>
              <w:keepLines w:val="0"/>
              <w:pageBreakBefore w:val="0"/>
              <w:kinsoku/>
              <w:wordWrap/>
              <w:overflowPunct/>
              <w:topLinePunct w:val="0"/>
              <w:bidi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Hans"/>
              </w:rPr>
              <w:t>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8" w:hRule="atLeast"/>
          <w:tblHeader/>
        </w:trPr>
        <w:tc>
          <w:tcPr>
            <w:tcW w:w="5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1</w:t>
            </w:r>
            <w:r>
              <w:rPr>
                <w:rFonts w:hint="eastAsia" w:cs="仿宋_GB2312"/>
                <w:i w:val="0"/>
                <w:color w:val="auto"/>
                <w:kern w:val="0"/>
                <w:sz w:val="28"/>
                <w:szCs w:val="28"/>
                <w:highlight w:val="none"/>
                <w:u w:val="none"/>
                <w:lang w:val="en-US" w:eastAsia="zh-CN" w:bidi="ar"/>
              </w:rPr>
              <w:t>3</w:t>
            </w:r>
          </w:p>
        </w:tc>
        <w:tc>
          <w:tcPr>
            <w:tcW w:w="14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落实监督</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指导</w:t>
            </w: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持续完善水生态环境领域“三监联动”。聚焦饮用水水源地、重点河流、农村污水处理设施、汛期面源</w:t>
            </w:r>
            <w:r>
              <w:rPr>
                <w:rFonts w:hint="eastAsia" w:cs="仿宋_GB2312"/>
                <w:i w:val="0"/>
                <w:color w:val="auto"/>
                <w:kern w:val="0"/>
                <w:sz w:val="28"/>
                <w:szCs w:val="28"/>
                <w:highlight w:val="none"/>
                <w:u w:val="none"/>
                <w:lang w:val="en-US" w:eastAsia="zh-CN" w:bidi="ar"/>
              </w:rPr>
              <w:t>污染</w:t>
            </w:r>
            <w:r>
              <w:rPr>
                <w:rFonts w:hint="eastAsia" w:ascii="仿宋_GB2312" w:hAnsi="仿宋_GB2312" w:eastAsia="仿宋_GB2312" w:cs="仿宋_GB2312"/>
                <w:i w:val="0"/>
                <w:color w:val="auto"/>
                <w:kern w:val="0"/>
                <w:sz w:val="28"/>
                <w:szCs w:val="28"/>
                <w:highlight w:val="none"/>
                <w:u w:val="none"/>
                <w:lang w:val="en-US" w:eastAsia="zh-CN" w:bidi="ar"/>
              </w:rPr>
              <w:t>等重点区域和问题，加强指导帮扶，推动问题整改。</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4532"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区城管执法局</w:t>
            </w:r>
          </w:p>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密云水库综合执法大队</w:t>
            </w:r>
          </w:p>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Hans"/>
              </w:rPr>
            </w:pPr>
            <w:r>
              <w:rPr>
                <w:rFonts w:hint="eastAsia" w:cs="仿宋_GB2312"/>
                <w:color w:val="auto"/>
                <w:sz w:val="28"/>
                <w:szCs w:val="28"/>
                <w:highlight w:val="none"/>
                <w:lang w:val="en-US" w:eastAsia="zh-CN"/>
              </w:rPr>
              <w:t>中关村密云园管委会</w:t>
            </w:r>
          </w:p>
        </w:tc>
        <w:tc>
          <w:tcPr>
            <w:tcW w:w="2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15104" w:type="dxa"/>
            <w:gridSpan w:val="8"/>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四、水生态修复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tblHeader/>
        </w:trPr>
        <w:tc>
          <w:tcPr>
            <w:tcW w:w="5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lang w:val="en-US" w:eastAsia="zh-CN" w:bidi="ar"/>
              </w:rPr>
              <w:t>14</w:t>
            </w:r>
          </w:p>
        </w:tc>
        <w:tc>
          <w:tcPr>
            <w:tcW w:w="14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推进美丽河湖保护与建设</w:t>
            </w: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color="auto"/>
                <w:lang w:val="en-US" w:eastAsia="zh-CN" w:bidi="ar"/>
              </w:rPr>
              <w:t>配合</w:t>
            </w:r>
            <w:r>
              <w:rPr>
                <w:rFonts w:hint="eastAsia" w:ascii="仿宋_GB2312" w:hAnsi="仿宋_GB2312" w:eastAsia="仿宋_GB2312" w:cs="仿宋_GB2312"/>
                <w:i w:val="0"/>
                <w:color w:val="auto"/>
                <w:kern w:val="0"/>
                <w:sz w:val="28"/>
                <w:szCs w:val="28"/>
                <w:highlight w:val="none"/>
                <w:u w:val="none" w:color="auto"/>
                <w:lang w:val="en-US" w:eastAsia="zh-CN" w:bidi="ar"/>
              </w:rPr>
              <w:t>美丽河湖保护与建设工作，研究编制辖区重点河流、湖库美丽河湖保护与建设“一河一策”措施方案。</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tc>
        <w:tc>
          <w:tcPr>
            <w:tcW w:w="2563" w:type="dxa"/>
            <w:tcBorders>
              <w:tl2br w:val="nil"/>
              <w:tr2bl w:val="nil"/>
            </w:tcBorders>
            <w:vAlign w:val="center"/>
          </w:tcPr>
          <w:p>
            <w:pPr>
              <w:keepNext w:val="0"/>
              <w:keepLines w:val="0"/>
              <w:pageBreakBefore w:val="0"/>
              <w:kinsoku/>
              <w:wordWrap/>
              <w:overflowPunct/>
              <w:topLinePunct w:val="0"/>
              <w:bidi w:val="0"/>
              <w:snapToGrid w:val="0"/>
              <w:spacing w:line="320" w:lineRule="exact"/>
              <w:jc w:val="center"/>
              <w:rPr>
                <w:rFonts w:hint="eastAsia" w:ascii="仿宋_GB2312" w:hAnsi="仿宋_GB2312" w:eastAsia="仿宋_GB2312" w:cs="仿宋_GB2312"/>
                <w:i w:val="0"/>
                <w:color w:val="auto"/>
                <w:kern w:val="0"/>
                <w:sz w:val="28"/>
                <w:szCs w:val="28"/>
                <w:highlight w:val="none"/>
                <w:u w:val="none"/>
                <w:lang w:eastAsia="zh-CN" w:bidi="ar"/>
              </w:rPr>
            </w:pPr>
            <w:r>
              <w:rPr>
                <w:rFonts w:hint="eastAsia" w:cs="仿宋_GB2312"/>
                <w:i w:val="0"/>
                <w:color w:val="auto"/>
                <w:kern w:val="0"/>
                <w:sz w:val="28"/>
                <w:szCs w:val="28"/>
                <w:highlight w:val="none"/>
                <w:u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6" w:hRule="atLeast"/>
          <w:tblHeader/>
        </w:trPr>
        <w:tc>
          <w:tcPr>
            <w:tcW w:w="5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15</w:t>
            </w:r>
          </w:p>
        </w:tc>
        <w:tc>
          <w:tcPr>
            <w:tcW w:w="14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保障重点</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河流生态</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流量</w:t>
            </w:r>
          </w:p>
        </w:tc>
        <w:tc>
          <w:tcPr>
            <w:tcW w:w="49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统筹生活、生产、生态用水配置，鼓励再生水用于</w:t>
            </w:r>
            <w:r>
              <w:rPr>
                <w:rFonts w:hint="eastAsia" w:cs="仿宋_GB2312"/>
                <w:i w:val="0"/>
                <w:color w:val="auto"/>
                <w:kern w:val="0"/>
                <w:sz w:val="28"/>
                <w:szCs w:val="28"/>
                <w:highlight w:val="none"/>
                <w:u w:val="none"/>
                <w:lang w:val="en-US" w:eastAsia="zh-CN" w:bidi="ar"/>
              </w:rPr>
              <w:t>河道</w:t>
            </w:r>
            <w:r>
              <w:rPr>
                <w:rFonts w:hint="eastAsia" w:ascii="仿宋_GB2312" w:hAnsi="仿宋_GB2312" w:eastAsia="仿宋_GB2312" w:cs="仿宋_GB2312"/>
                <w:i w:val="0"/>
                <w:color w:val="auto"/>
                <w:kern w:val="0"/>
                <w:sz w:val="28"/>
                <w:szCs w:val="28"/>
                <w:highlight w:val="none"/>
                <w:u w:val="none"/>
                <w:lang w:val="en-US" w:eastAsia="zh-CN" w:bidi="ar"/>
              </w:rPr>
              <w:t>生态补水。</w:t>
            </w:r>
            <w:r>
              <w:rPr>
                <w:rFonts w:hint="eastAsia" w:ascii="仿宋_GB2312" w:hAnsi="仿宋_GB2312" w:eastAsia="仿宋_GB2312" w:cs="仿宋_GB2312"/>
                <w:i w:val="0"/>
                <w:color w:val="auto"/>
                <w:kern w:val="0"/>
                <w:sz w:val="28"/>
                <w:szCs w:val="28"/>
                <w:highlight w:val="none"/>
                <w:u w:val="none" w:color="auto"/>
                <w:lang w:val="en-US" w:eastAsia="zh-CN" w:bidi="ar"/>
              </w:rPr>
              <w:t>科学调配保障流域基本生态用水需求，</w:t>
            </w:r>
            <w:r>
              <w:rPr>
                <w:rFonts w:hint="eastAsia" w:cs="仿宋_GB2312"/>
                <w:i w:val="0"/>
                <w:color w:val="auto"/>
                <w:kern w:val="0"/>
                <w:sz w:val="28"/>
                <w:szCs w:val="28"/>
                <w:highlight w:val="none"/>
                <w:u w:val="none"/>
                <w:lang w:val="en-US" w:eastAsia="zh-CN" w:bidi="ar"/>
              </w:rPr>
              <w:t>持续</w:t>
            </w:r>
            <w:r>
              <w:rPr>
                <w:rFonts w:hint="eastAsia" w:ascii="仿宋_GB2312" w:hAnsi="仿宋_GB2312" w:eastAsia="仿宋_GB2312" w:cs="仿宋_GB2312"/>
                <w:i w:val="0"/>
                <w:color w:val="auto"/>
                <w:kern w:val="0"/>
                <w:sz w:val="28"/>
                <w:szCs w:val="28"/>
                <w:highlight w:val="none"/>
                <w:u w:val="none"/>
                <w:lang w:val="en-US" w:eastAsia="zh-CN" w:bidi="ar"/>
              </w:rPr>
              <w:t>实施潮白河流域生态补水，力争潮白河全年有水贯通。</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区水务局</w:t>
            </w:r>
          </w:p>
        </w:tc>
        <w:tc>
          <w:tcPr>
            <w:tcW w:w="2357"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区水务局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中关村密云园</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kinsoku/>
              <w:wordWrap/>
              <w:overflowPunct/>
              <w:topLinePunct w:val="0"/>
              <w:bidi w:val="0"/>
              <w:snapToGrid w:val="0"/>
              <w:spacing w:line="32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w:t>
            </w:r>
            <w:r>
              <w:rPr>
                <w:rFonts w:hint="eastAsia" w:ascii="仿宋_GB2312" w:hAnsi="仿宋_GB2312" w:eastAsia="仿宋_GB2312" w:cs="仿宋_GB2312"/>
                <w:color w:val="auto"/>
                <w:sz w:val="28"/>
                <w:szCs w:val="28"/>
                <w:highlight w:val="none"/>
              </w:rPr>
              <w:t>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tblHeader/>
        </w:trPr>
        <w:tc>
          <w:tcPr>
            <w:tcW w:w="5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lang w:val="en-US" w:eastAsia="zh-CN" w:bidi="ar"/>
              </w:rPr>
              <w:t>16</w:t>
            </w:r>
          </w:p>
        </w:tc>
        <w:tc>
          <w:tcPr>
            <w:tcW w:w="14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提升水生态系统</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健康</w:t>
            </w:r>
          </w:p>
        </w:tc>
        <w:tc>
          <w:tcPr>
            <w:tcW w:w="4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加强水土保护和清洁小流域建设，到2025年底，全区水土保持率</w:t>
            </w:r>
            <w:r>
              <w:rPr>
                <w:rFonts w:hint="eastAsia"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山区生态清洁小流域达标率</w:t>
            </w:r>
            <w:r>
              <w:rPr>
                <w:rFonts w:hint="eastAsia" w:cs="仿宋_GB2312"/>
                <w:color w:val="auto"/>
                <w:kern w:val="2"/>
                <w:sz w:val="28"/>
                <w:szCs w:val="28"/>
                <w:highlight w:val="none"/>
                <w:lang w:val="en-US" w:eastAsia="zh-CN" w:bidi="ar-SA"/>
              </w:rPr>
              <w:t>完成市级任务</w:t>
            </w:r>
            <w:r>
              <w:rPr>
                <w:rFonts w:hint="eastAsia" w:ascii="仿宋_GB2312" w:hAnsi="仿宋_GB2312" w:eastAsia="仿宋_GB2312" w:cs="仿宋_GB2312"/>
                <w:color w:val="auto"/>
                <w:kern w:val="2"/>
                <w:sz w:val="28"/>
                <w:szCs w:val="28"/>
                <w:highlight w:val="none"/>
                <w:lang w:val="en-US" w:eastAsia="zh-CN" w:bidi="ar-SA"/>
              </w:rPr>
              <w:t>。</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cs="仿宋_GB2312"/>
                <w:color w:val="auto"/>
                <w:sz w:val="28"/>
                <w:szCs w:val="28"/>
                <w:highlight w:val="none"/>
                <w:lang w:val="en-US" w:eastAsia="zh-CN"/>
              </w:rPr>
              <w:t>区水务局</w:t>
            </w:r>
          </w:p>
        </w:tc>
        <w:tc>
          <w:tcPr>
            <w:tcW w:w="25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cs="仿宋_GB2312"/>
                <w:color w:val="auto"/>
                <w:kern w:val="0"/>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blHeader/>
        </w:trPr>
        <w:tc>
          <w:tcPr>
            <w:tcW w:w="50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1</w:t>
            </w:r>
            <w:r>
              <w:rPr>
                <w:rFonts w:hint="eastAsia" w:cs="仿宋_GB2312"/>
                <w:i w:val="0"/>
                <w:color w:val="auto"/>
                <w:kern w:val="0"/>
                <w:sz w:val="28"/>
                <w:szCs w:val="28"/>
                <w:highlight w:val="none"/>
                <w:u w:val="none"/>
                <w:lang w:val="en-US" w:eastAsia="zh-CN" w:bidi="ar"/>
              </w:rPr>
              <w:t>7</w:t>
            </w:r>
          </w:p>
        </w:tc>
        <w:tc>
          <w:tcPr>
            <w:tcW w:w="14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加强生态环境监测</w:t>
            </w:r>
          </w:p>
        </w:tc>
        <w:tc>
          <w:tcPr>
            <w:tcW w:w="4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bidi="ar-SA"/>
              </w:rPr>
              <w:t>配合</w:t>
            </w:r>
            <w:r>
              <w:rPr>
                <w:rFonts w:hint="eastAsia" w:cs="仿宋_GB2312"/>
                <w:color w:val="auto"/>
                <w:kern w:val="2"/>
                <w:sz w:val="28"/>
                <w:szCs w:val="28"/>
                <w:highlight w:val="none"/>
                <w:lang w:val="en-US" w:eastAsia="zh-CN" w:bidi="ar-SA"/>
              </w:rPr>
              <w:t>市级部门</w:t>
            </w:r>
            <w:r>
              <w:rPr>
                <w:rFonts w:hint="eastAsia" w:ascii="仿宋_GB2312" w:hAnsi="仿宋_GB2312" w:eastAsia="仿宋_GB2312" w:cs="仿宋_GB2312"/>
                <w:color w:val="auto"/>
                <w:kern w:val="2"/>
                <w:sz w:val="28"/>
                <w:szCs w:val="28"/>
                <w:highlight w:val="none"/>
                <w:lang w:val="en-US" w:eastAsia="zh-CN" w:bidi="ar-SA"/>
              </w:rPr>
              <w:t>按照</w:t>
            </w:r>
            <w:r>
              <w:rPr>
                <w:rFonts w:hint="eastAsia" w:cs="仿宋_GB2312"/>
                <w:color w:val="auto"/>
                <w:kern w:val="2"/>
                <w:sz w:val="28"/>
                <w:szCs w:val="28"/>
                <w:highlight w:val="none"/>
                <w:lang w:val="en-US" w:eastAsia="zh-CN" w:bidi="ar-SA"/>
              </w:rPr>
              <w:t>本市</w:t>
            </w:r>
            <w:r>
              <w:rPr>
                <w:rFonts w:hint="eastAsia" w:ascii="仿宋_GB2312" w:hAnsi="仿宋_GB2312" w:eastAsia="仿宋_GB2312" w:cs="仿宋_GB2312"/>
                <w:color w:val="auto"/>
                <w:kern w:val="2"/>
                <w:sz w:val="28"/>
                <w:szCs w:val="28"/>
                <w:highlight w:val="none"/>
                <w:lang w:val="en-US" w:eastAsia="zh-CN" w:bidi="ar-SA"/>
              </w:rPr>
              <w:t>《河流和水库水生态质量监测与评价技术规范》，</w:t>
            </w:r>
            <w:r>
              <w:rPr>
                <w:rFonts w:hint="eastAsia" w:cs="仿宋_GB2312"/>
                <w:color w:val="auto"/>
                <w:kern w:val="2"/>
                <w:sz w:val="28"/>
                <w:szCs w:val="28"/>
                <w:highlight w:val="none"/>
                <w:lang w:val="en-US" w:eastAsia="zh-CN" w:bidi="ar-SA"/>
              </w:rPr>
              <w:t>开展本市</w:t>
            </w:r>
            <w:r>
              <w:rPr>
                <w:rFonts w:hint="eastAsia" w:ascii="仿宋_GB2312" w:hAnsi="仿宋_GB2312" w:eastAsia="仿宋_GB2312" w:cs="仿宋_GB2312"/>
                <w:color w:val="auto"/>
                <w:kern w:val="2"/>
                <w:sz w:val="28"/>
                <w:szCs w:val="28"/>
                <w:highlight w:val="none"/>
                <w:lang w:val="en-US" w:eastAsia="zh-CN" w:bidi="ar-SA"/>
              </w:rPr>
              <w:t>水生态环境状况监测评价。</w:t>
            </w:r>
          </w:p>
        </w:tc>
        <w:tc>
          <w:tcPr>
            <w:tcW w:w="105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实施</w:t>
            </w:r>
          </w:p>
        </w:tc>
        <w:tc>
          <w:tcPr>
            <w:tcW w:w="453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区生态环境</w:t>
            </w:r>
            <w:r>
              <w:rPr>
                <w:rFonts w:hint="eastAsia" w:cs="仿宋_GB2312"/>
                <w:color w:val="auto"/>
                <w:sz w:val="28"/>
                <w:szCs w:val="28"/>
                <w:highlight w:val="none"/>
                <w:lang w:val="en-US" w:eastAsia="zh-CN"/>
              </w:rPr>
              <w:t>局</w:t>
            </w:r>
          </w:p>
        </w:tc>
        <w:tc>
          <w:tcPr>
            <w:tcW w:w="25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cs="仿宋_GB2312"/>
                <w:color w:val="auto"/>
                <w:sz w:val="28"/>
                <w:szCs w:val="28"/>
                <w:highlight w:val="none"/>
                <w:u w:val="none" w:color="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15104" w:type="dxa"/>
            <w:gridSpan w:val="8"/>
            <w:tcBorders>
              <w:tl2br w:val="nil"/>
              <w:tr2bl w:val="nil"/>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8"/>
                <w:szCs w:val="28"/>
                <w:highlight w:val="none"/>
                <w:u w:val="none"/>
                <w:lang w:val="en-US" w:eastAsia="zh-CN"/>
              </w:rPr>
            </w:pPr>
            <w:r>
              <w:rPr>
                <w:rFonts w:hint="eastAsia" w:ascii="黑体" w:hAnsi="黑体" w:eastAsia="黑体" w:cs="黑体"/>
                <w:b w:val="0"/>
                <w:bCs w:val="0"/>
                <w:i w:val="0"/>
                <w:color w:val="auto"/>
                <w:kern w:val="0"/>
                <w:sz w:val="28"/>
                <w:szCs w:val="28"/>
                <w:highlight w:val="none"/>
                <w:u w:val="none"/>
                <w:lang w:val="en-US" w:eastAsia="zh-CN" w:bidi="ar"/>
              </w:rPr>
              <w:t>五、汛期污染防治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default" w:ascii="仿宋_GB2312" w:hAnsi="仿宋_GB2312" w:eastAsia="仿宋_GB2312" w:cs="仿宋_GB2312"/>
                <w:i w:val="0"/>
                <w:color w:val="auto"/>
                <w:sz w:val="28"/>
                <w:szCs w:val="28"/>
                <w:highlight w:val="none"/>
                <w:u w:val="none"/>
                <w:lang w:val="en-US" w:eastAsia="zh-CN"/>
              </w:rPr>
            </w:pPr>
            <w:r>
              <w:rPr>
                <w:rFonts w:hint="eastAsia" w:cs="仿宋_GB2312"/>
                <w:i w:val="0"/>
                <w:color w:val="auto"/>
                <w:sz w:val="28"/>
                <w:szCs w:val="28"/>
                <w:highlight w:val="none"/>
                <w:u w:val="none"/>
                <w:lang w:val="en-US" w:eastAsia="zh-CN"/>
              </w:rPr>
              <w:t>18</w:t>
            </w:r>
          </w:p>
        </w:tc>
        <w:tc>
          <w:tcPr>
            <w:tcW w:w="1472" w:type="dxa"/>
            <w:vMerge w:val="restart"/>
            <w:tcBorders>
              <w:tl2br w:val="nil"/>
              <w:tr2bl w:val="nil"/>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20" w:lineRule="exact"/>
              <w:ind w:left="119"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加强排查和分析</w:t>
            </w:r>
          </w:p>
          <w:p>
            <w:pPr>
              <w:pStyle w:val="15"/>
              <w:keepNext w:val="0"/>
              <w:keepLines w:val="0"/>
              <w:pageBreakBefore w:val="0"/>
              <w:widowControl w:val="0"/>
              <w:kinsoku/>
              <w:wordWrap/>
              <w:overflowPunct/>
              <w:topLinePunct w:val="0"/>
              <w:autoSpaceDE w:val="0"/>
              <w:autoSpaceDN w:val="0"/>
              <w:bidi w:val="0"/>
              <w:adjustRightInd/>
              <w:snapToGrid/>
              <w:spacing w:before="1" w:line="320" w:lineRule="exact"/>
              <w:ind w:left="119"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研判</w:t>
            </w:r>
          </w:p>
        </w:tc>
        <w:tc>
          <w:tcPr>
            <w:tcW w:w="4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加强各类风险隐患排查，聚焦重点区域、行业、企业，精准识别影响汛期水质和饮用水安全的主要污染源和各类水环境风险隐患，建立问题清单，推动突出问题整改。</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w:t>
            </w:r>
            <w:r>
              <w:rPr>
                <w:rFonts w:hint="eastAsia" w:cs="仿宋_GB2312"/>
                <w:color w:val="auto"/>
                <w:sz w:val="28"/>
                <w:szCs w:val="28"/>
                <w:highlight w:val="none"/>
                <w:lang w:eastAsia="zh-CN"/>
              </w:rPr>
              <w:t>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s="仿宋_GB2312"/>
                <w:color w:val="auto"/>
                <w:sz w:val="28"/>
                <w:szCs w:val="28"/>
                <w:highlight w:val="none"/>
                <w:lang w:eastAsia="zh-CN"/>
              </w:rPr>
            </w:pPr>
            <w:r>
              <w:rPr>
                <w:rFonts w:hint="eastAsia"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kern w:val="0"/>
                <w:sz w:val="28"/>
                <w:szCs w:val="28"/>
                <w:highlight w:val="none"/>
                <w:u w:val="none"/>
                <w:lang w:val="en-US" w:eastAsia="zh-CN" w:bidi="ar"/>
              </w:rPr>
            </w:pPr>
          </w:p>
        </w:tc>
        <w:tc>
          <w:tcPr>
            <w:tcW w:w="235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区</w:t>
            </w:r>
            <w:r>
              <w:rPr>
                <w:rFonts w:hint="eastAsia" w:cs="仿宋_GB2312"/>
                <w:color w:val="auto"/>
                <w:sz w:val="28"/>
                <w:szCs w:val="28"/>
                <w:highlight w:val="none"/>
                <w:lang w:eastAsia="zh-CN"/>
              </w:rPr>
              <w:t>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s="仿宋_GB2312"/>
                <w:color w:val="auto"/>
                <w:sz w:val="28"/>
                <w:szCs w:val="28"/>
                <w:highlight w:val="none"/>
                <w:lang w:eastAsia="zh-CN"/>
              </w:rPr>
            </w:pPr>
            <w:r>
              <w:rPr>
                <w:rFonts w:hint="eastAsia"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i w:val="0"/>
                <w:iCs w:val="0"/>
                <w:color w:val="auto"/>
                <w:sz w:val="28"/>
                <w:highlight w:val="none"/>
              </w:rPr>
            </w:pPr>
            <w:r>
              <w:rPr>
                <w:rFonts w:hint="eastAsia"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lang w:val="en-US" w:eastAsia="zh-Hans"/>
              </w:rPr>
            </w:pPr>
            <w:r>
              <w:rPr>
                <w:rFonts w:hint="eastAsia" w:cs="仿宋_GB2312"/>
                <w:color w:val="auto"/>
                <w:kern w:val="0"/>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default"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20" w:lineRule="exact"/>
              <w:ind w:left="120" w:leftChars="0" w:right="0" w:rightChars="0"/>
              <w:jc w:val="left"/>
              <w:textAlignment w:val="auto"/>
              <w:outlineLvl w:val="9"/>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加强汛期分析研判与应急处置，对湖泊水库蓝藻水华、汛期污染强度高值水体和存在风险隐患的饮用水水源及时预警，开展溯源排查，查清问题症结及原因，制定实施综合整治方案；对水质出现异常波动的，迅速采取有效处置措施。</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区</w:t>
            </w:r>
            <w:r>
              <w:rPr>
                <w:rFonts w:hint="eastAsia" w:cs="仿宋_GB2312"/>
                <w:color w:val="auto"/>
                <w:sz w:val="28"/>
                <w:szCs w:val="28"/>
                <w:highlight w:val="none"/>
                <w:lang w:eastAsia="zh-CN"/>
              </w:rPr>
              <w:t>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w:t>
            </w:r>
            <w:r>
              <w:rPr>
                <w:rFonts w:hint="eastAsia" w:cs="仿宋_GB2312"/>
                <w:color w:val="auto"/>
                <w:sz w:val="28"/>
                <w:szCs w:val="28"/>
                <w:highlight w:val="none"/>
                <w:lang w:eastAsia="zh-CN"/>
              </w:rPr>
              <w:t>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s="仿宋_GB2312"/>
                <w:color w:val="auto"/>
                <w:sz w:val="28"/>
                <w:szCs w:val="28"/>
                <w:highlight w:val="none"/>
                <w:lang w:eastAsia="zh-CN"/>
              </w:rPr>
            </w:pPr>
            <w:r>
              <w:rPr>
                <w:rFonts w:hint="eastAsia"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color w:val="auto"/>
                <w:kern w:val="0"/>
                <w:sz w:val="28"/>
                <w:szCs w:val="28"/>
                <w:highlight w:val="none"/>
                <w:u w:val="none"/>
                <w:lang w:val="en-US" w:eastAsia="zh-Hans" w:bidi="ar"/>
              </w:rPr>
            </w:pPr>
          </w:p>
        </w:tc>
        <w:tc>
          <w:tcPr>
            <w:tcW w:w="235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区</w:t>
            </w:r>
            <w:r>
              <w:rPr>
                <w:rFonts w:hint="eastAsia" w:cs="仿宋_GB2312"/>
                <w:color w:val="auto"/>
                <w:sz w:val="28"/>
                <w:szCs w:val="28"/>
                <w:highlight w:val="none"/>
                <w:lang w:eastAsia="zh-CN"/>
              </w:rPr>
              <w:t>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w:t>
            </w:r>
            <w:r>
              <w:rPr>
                <w:rFonts w:hint="eastAsia" w:cs="仿宋_GB2312"/>
                <w:color w:val="auto"/>
                <w:sz w:val="28"/>
                <w:szCs w:val="28"/>
                <w:highlight w:val="none"/>
                <w:lang w:eastAsia="zh-CN"/>
              </w:rPr>
              <w:t>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s="仿宋_GB2312"/>
                <w:color w:val="auto"/>
                <w:sz w:val="28"/>
                <w:szCs w:val="28"/>
                <w:highlight w:val="none"/>
                <w:lang w:eastAsia="zh-CN"/>
              </w:rPr>
            </w:pPr>
            <w:r>
              <w:rPr>
                <w:rFonts w:hint="eastAsia"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i w:val="0"/>
                <w:iCs w:val="0"/>
                <w:color w:val="auto"/>
                <w:sz w:val="28"/>
                <w:highlight w:val="none"/>
              </w:rPr>
            </w:pPr>
            <w:r>
              <w:rPr>
                <w:rFonts w:hint="eastAsia"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lang w:val="en-US" w:eastAsia="zh-Hans"/>
              </w:rPr>
            </w:pPr>
            <w:r>
              <w:rPr>
                <w:rFonts w:hint="eastAsia" w:cs="仿宋_GB2312"/>
                <w:color w:val="auto"/>
                <w:kern w:val="0"/>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default" w:ascii="仿宋_GB2312" w:hAnsi="仿宋_GB2312" w:eastAsia="仿宋_GB2312" w:cs="仿宋_GB2312"/>
                <w:i w:val="0"/>
                <w:color w:val="auto"/>
                <w:sz w:val="28"/>
                <w:szCs w:val="28"/>
                <w:highlight w:val="none"/>
                <w:u w:val="none"/>
                <w:lang w:val="en-US" w:eastAsia="zh-CN"/>
              </w:rPr>
            </w:pPr>
            <w:r>
              <w:rPr>
                <w:rFonts w:hint="eastAsia" w:cs="仿宋_GB2312"/>
                <w:i w:val="0"/>
                <w:color w:val="auto"/>
                <w:sz w:val="28"/>
                <w:szCs w:val="28"/>
                <w:highlight w:val="none"/>
                <w:u w:val="none"/>
                <w:lang w:val="en-US" w:eastAsia="zh-CN"/>
              </w:rPr>
              <w:t>19</w:t>
            </w:r>
          </w:p>
        </w:tc>
        <w:tc>
          <w:tcPr>
            <w:tcW w:w="1472" w:type="dxa"/>
            <w:vMerge w:val="restart"/>
            <w:tcBorders>
              <w:tl2br w:val="nil"/>
              <w:tr2bl w:val="nil"/>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20" w:lineRule="exact"/>
              <w:ind w:left="120"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提高溢流污染控制水平</w:t>
            </w:r>
          </w:p>
        </w:tc>
        <w:tc>
          <w:tcPr>
            <w:tcW w:w="4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组织开展雨污混接错接巡查整治。</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cs="仿宋_GB2312"/>
                <w:color w:val="auto"/>
                <w:kern w:val="0"/>
                <w:sz w:val="28"/>
                <w:szCs w:val="28"/>
                <w:highlight w:val="none"/>
                <w:lang w:eastAsia="zh-CN" w:bidi="ar"/>
              </w:rPr>
              <w:t>年底前</w:t>
            </w:r>
          </w:p>
        </w:tc>
        <w:tc>
          <w:tcPr>
            <w:tcW w:w="2175" w:type="dxa"/>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color w:val="auto"/>
                <w:lang w:val="en-US" w:eastAsia="zh-CN"/>
              </w:rPr>
            </w:pPr>
            <w:r>
              <w:rPr>
                <w:rFonts w:hint="eastAsia" w:ascii="仿宋_GB2312" w:hAnsi="仿宋_GB2312" w:eastAsia="仿宋_GB2312" w:cs="仿宋_GB2312"/>
                <w:color w:val="auto"/>
                <w:sz w:val="28"/>
                <w:szCs w:val="28"/>
                <w:highlight w:val="none"/>
                <w:lang w:eastAsia="zh-CN"/>
              </w:rPr>
              <w:t>区水务局</w:t>
            </w:r>
          </w:p>
        </w:tc>
        <w:tc>
          <w:tcPr>
            <w:tcW w:w="2357"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w w:val="90"/>
                <w:sz w:val="28"/>
                <w:szCs w:val="28"/>
                <w:highlight w:val="none"/>
                <w:lang w:val="en-US" w:eastAsia="zh-CN"/>
              </w:rPr>
            </w:pPr>
            <w:r>
              <w:rPr>
                <w:rFonts w:hint="eastAsia" w:ascii="仿宋_GB2312" w:hAnsi="仿宋_GB2312" w:eastAsia="仿宋_GB2312" w:cs="仿宋_GB2312"/>
                <w:color w:val="auto"/>
                <w:w w:val="90"/>
                <w:sz w:val="28"/>
                <w:szCs w:val="28"/>
                <w:highlight w:val="none"/>
                <w:lang w:val="en-US" w:eastAsia="zh-CN"/>
              </w:rPr>
              <w:t>区住房城乡建设委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color w:val="auto"/>
                <w:sz w:val="28"/>
                <w:szCs w:val="28"/>
                <w:highlight w:val="none"/>
                <w:lang w:eastAsia="zh-CN"/>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default"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20" w:lineRule="exact"/>
              <w:ind w:left="120" w:leftChars="0" w:right="0" w:rightChars="0"/>
              <w:jc w:val="left"/>
              <w:textAlignment w:val="auto"/>
              <w:outlineLvl w:val="9"/>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加强厂网联合调度，降雨前提前加大抽升处理，降低管网液位，减少溢流污染。</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9月</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color w:val="auto"/>
                <w:kern w:val="0"/>
                <w:sz w:val="28"/>
                <w:szCs w:val="28"/>
                <w:highlight w:val="none"/>
                <w:lang w:bidi="ar"/>
              </w:rPr>
              <w:t>底前</w:t>
            </w:r>
          </w:p>
        </w:tc>
        <w:tc>
          <w:tcPr>
            <w:tcW w:w="2175" w:type="dxa"/>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kern w:val="0"/>
                <w:sz w:val="28"/>
                <w:szCs w:val="28"/>
                <w:highlight w:val="none"/>
                <w:u w:val="none"/>
                <w:lang w:val="en-US" w:eastAsia="zh-Hans" w:bidi="ar"/>
              </w:rPr>
            </w:pPr>
            <w:r>
              <w:rPr>
                <w:rFonts w:hint="eastAsia" w:ascii="仿宋_GB2312" w:hAnsi="仿宋_GB2312" w:eastAsia="仿宋_GB2312" w:cs="仿宋_GB2312"/>
                <w:color w:val="auto"/>
                <w:sz w:val="28"/>
                <w:szCs w:val="28"/>
                <w:highlight w:val="none"/>
                <w:lang w:eastAsia="zh-CN"/>
              </w:rPr>
              <w:t>区水务局</w:t>
            </w:r>
          </w:p>
        </w:tc>
        <w:tc>
          <w:tcPr>
            <w:tcW w:w="2357"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i w:val="0"/>
                <w:iCs w:val="0"/>
                <w:color w:val="auto"/>
                <w:sz w:val="28"/>
                <w:highlight w:val="none"/>
              </w:rPr>
            </w:pPr>
            <w:r>
              <w:rPr>
                <w:rFonts w:hint="eastAsia"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kinsoku/>
              <w:wordWrap/>
              <w:overflowPunct/>
              <w:topLinePunct w:val="0"/>
              <w:bidi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cs="仿宋_GB2312"/>
                <w:i w:val="0"/>
                <w:color w:val="auto"/>
                <w:sz w:val="28"/>
                <w:szCs w:val="28"/>
                <w:highlight w:val="none"/>
                <w:u w:val="none"/>
                <w:lang w:val="en-US" w:eastAsia="zh-CN"/>
              </w:rPr>
              <w:t>20</w:t>
            </w:r>
          </w:p>
        </w:tc>
        <w:tc>
          <w:tcPr>
            <w:tcW w:w="147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en-US" w:bidi="ar-SA"/>
              </w:rPr>
            </w:pPr>
            <w:r>
              <w:rPr>
                <w:rFonts w:hint="eastAsia" w:ascii="仿宋_GB2312" w:hAnsi="仿宋_GB2312" w:eastAsia="仿宋_GB2312" w:cs="仿宋_GB2312"/>
                <w:i w:val="0"/>
                <w:color w:val="auto"/>
                <w:kern w:val="0"/>
                <w:sz w:val="28"/>
                <w:szCs w:val="28"/>
                <w:highlight w:val="none"/>
                <w:u w:val="none"/>
                <w:lang w:val="en-US" w:eastAsia="zh-CN" w:bidi="ar"/>
              </w:rPr>
              <w:t>持续开展“清管行动”</w:t>
            </w:r>
          </w:p>
        </w:tc>
        <w:tc>
          <w:tcPr>
            <w:tcW w:w="49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_GB2312" w:hAnsi="仿宋_GB2312" w:eastAsia="仿宋_GB2312" w:cs="仿宋_GB2312"/>
                <w:color w:val="auto"/>
                <w:kern w:val="2"/>
                <w:sz w:val="28"/>
                <w:szCs w:val="28"/>
                <w:highlight w:val="none"/>
                <w:lang w:val="en-US" w:eastAsia="en-US" w:bidi="ar-SA"/>
              </w:rPr>
            </w:pPr>
            <w:r>
              <w:rPr>
                <w:rFonts w:hint="eastAsia" w:ascii="仿宋_GB2312" w:hAnsi="仿宋_GB2312" w:eastAsia="仿宋_GB2312" w:cs="仿宋_GB2312"/>
                <w:color w:val="auto"/>
                <w:kern w:val="2"/>
                <w:sz w:val="28"/>
                <w:szCs w:val="28"/>
                <w:highlight w:val="none"/>
                <w:lang w:val="en-US" w:eastAsia="zh-CN" w:bidi="ar-SA"/>
              </w:rPr>
              <w:t>汛期前对雨水管涵、雨污合流管涵、雨水口</w:t>
            </w:r>
            <w:r>
              <w:rPr>
                <w:rFonts w:hint="eastAsia"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雨箅子</w:t>
            </w:r>
            <w:r>
              <w:rPr>
                <w:rFonts w:hint="eastAsia"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等进行全面清掏并加大巡查、清理力度。</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9月</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仿宋_GB2312" w:hAnsi="仿宋_GB2312" w:eastAsia="仿宋_GB2312" w:cs="仿宋_GB2312"/>
                <w:i w:val="0"/>
                <w:color w:val="auto"/>
                <w:sz w:val="28"/>
                <w:szCs w:val="28"/>
                <w:highlight w:val="none"/>
                <w:u w:val="none"/>
                <w:lang w:val="en-US" w:eastAsia="en-US" w:bidi="ar-SA"/>
              </w:rPr>
            </w:pPr>
            <w:r>
              <w:rPr>
                <w:rFonts w:hint="eastAsia" w:ascii="仿宋_GB2312" w:hAnsi="仿宋_GB2312" w:eastAsia="仿宋_GB2312" w:cs="仿宋_GB2312"/>
                <w:color w:val="auto"/>
                <w:kern w:val="0"/>
                <w:sz w:val="28"/>
                <w:szCs w:val="28"/>
                <w:highlight w:val="none"/>
                <w:lang w:bidi="ar"/>
              </w:rPr>
              <w:t>底前</w:t>
            </w:r>
          </w:p>
        </w:tc>
        <w:tc>
          <w:tcPr>
            <w:tcW w:w="2175" w:type="dxa"/>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cs="仿宋_GB2312"/>
                <w:color w:val="auto"/>
                <w:sz w:val="28"/>
                <w:szCs w:val="28"/>
                <w:highlight w:val="none"/>
                <w:lang w:eastAsia="zh-CN"/>
              </w:rPr>
              <w:t>区城市管理委</w:t>
            </w:r>
            <w:r>
              <w:rPr>
                <w:rFonts w:hint="eastAsia" w:ascii="仿宋_GB2312" w:hAnsi="仿宋_GB2312" w:eastAsia="仿宋_GB2312" w:cs="仿宋_GB2312"/>
                <w:color w:val="auto"/>
                <w:sz w:val="28"/>
                <w:szCs w:val="28"/>
                <w:highlight w:val="none"/>
                <w:lang w:eastAsia="zh-CN"/>
              </w:rPr>
              <w:t>区水务局</w:t>
            </w:r>
          </w:p>
        </w:tc>
        <w:tc>
          <w:tcPr>
            <w:tcW w:w="2357"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eastAsia="zh-CN"/>
              </w:rPr>
              <w:t>区城市管理委</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lang w:val="en-US" w:eastAsia="en-US" w:bidi="ar-SA"/>
              </w:rPr>
            </w:pPr>
            <w:r>
              <w:rPr>
                <w:rFonts w:hint="eastAsia"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区公路分局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cs="仿宋_GB2312"/>
                <w:i w:val="0"/>
                <w:color w:val="auto"/>
                <w:sz w:val="28"/>
                <w:szCs w:val="28"/>
                <w:highlight w:val="none"/>
                <w:u w:val="none"/>
                <w:lang w:val="en-US" w:eastAsia="zh-CN"/>
              </w:rPr>
              <w:t>21</w:t>
            </w:r>
          </w:p>
        </w:tc>
        <w:tc>
          <w:tcPr>
            <w:tcW w:w="147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cs="仿宋_GB2312"/>
                <w:i w:val="0"/>
                <w:color w:val="auto"/>
                <w:sz w:val="28"/>
                <w:szCs w:val="28"/>
                <w:highlight w:val="none"/>
                <w:u w:val="none"/>
                <w:lang w:eastAsia="zh-CN"/>
              </w:rPr>
              <w:t>强化监督管理</w:t>
            </w:r>
          </w:p>
        </w:tc>
        <w:tc>
          <w:tcPr>
            <w:tcW w:w="4978"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ind w:left="0" w:leftChars="0" w:right="0" w:rightChars="0"/>
              <w:jc w:val="left"/>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强化汛期河湖水环境精细化管理，雨前对马路边沟、无水支流沟渠等开展垃圾杂物清理。雨后对国市考断面所在水体及时清理垃圾、漂浮物。开展雨后入河排口排污检查，严厉打击污水直排、借雨偷排行为。优化道路保洁作业模式，避免影响水环境。</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sz w:val="28"/>
                <w:szCs w:val="28"/>
                <w:highlight w:val="none"/>
                <w:u w:val="none"/>
                <w:lang w:val="en-US" w:eastAsia="en-US" w:bidi="ar-SA"/>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kinsoku/>
              <w:wordWrap/>
              <w:overflowPunct/>
              <w:topLinePunct w:val="0"/>
              <w:bidi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Hans" w:bidi="ar-SA"/>
              </w:rPr>
            </w:pPr>
            <w:r>
              <w:rPr>
                <w:rFonts w:hint="eastAsia" w:cs="仿宋_GB2312"/>
                <w:color w:val="auto"/>
                <w:sz w:val="28"/>
                <w:szCs w:val="28"/>
                <w:highlight w:val="none"/>
                <w:lang w:eastAsia="zh-CN"/>
              </w:rPr>
              <w:t>区城市管理委</w:t>
            </w:r>
          </w:p>
        </w:tc>
        <w:tc>
          <w:tcPr>
            <w:tcW w:w="2357"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cs="仿宋_GB2312"/>
                <w:color w:val="auto"/>
                <w:sz w:val="28"/>
                <w:szCs w:val="28"/>
                <w:highlight w:val="none"/>
                <w:lang w:eastAsia="zh-CN"/>
              </w:rPr>
            </w:pPr>
            <w:r>
              <w:rPr>
                <w:rFonts w:hint="eastAsia" w:cs="仿宋_GB2312"/>
                <w:color w:val="auto"/>
                <w:sz w:val="28"/>
                <w:szCs w:val="28"/>
                <w:highlight w:val="none"/>
                <w:lang w:eastAsia="zh-CN"/>
              </w:rPr>
              <w:t>区水务局</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cs="仿宋_GB2312"/>
                <w:color w:val="auto"/>
                <w:sz w:val="28"/>
                <w:szCs w:val="28"/>
                <w:highlight w:val="none"/>
                <w:lang w:val="en-US" w:eastAsia="zh-CN"/>
              </w:rPr>
            </w:pPr>
            <w:r>
              <w:rPr>
                <w:rFonts w:hint="eastAsia" w:cs="仿宋_GB2312"/>
                <w:color w:val="auto"/>
                <w:sz w:val="28"/>
                <w:szCs w:val="28"/>
                <w:highlight w:val="none"/>
                <w:lang w:eastAsia="zh-CN"/>
              </w:rPr>
              <w:t>区城市管理委</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i w:val="0"/>
                <w:color w:val="auto"/>
                <w:sz w:val="28"/>
                <w:szCs w:val="28"/>
                <w:highlight w:val="none"/>
                <w:u w:val="none"/>
                <w:lang w:val="en-US" w:eastAsia="zh-Hans" w:bidi="ar-SA"/>
              </w:rPr>
            </w:pPr>
            <w:r>
              <w:rPr>
                <w:rFonts w:hint="eastAsia" w:cs="仿宋_GB2312"/>
                <w:color w:val="auto"/>
                <w:sz w:val="28"/>
                <w:szCs w:val="28"/>
                <w:highlight w:val="none"/>
                <w:lang w:val="en-US" w:eastAsia="zh-CN"/>
              </w:rPr>
              <w:t>管委会</w:t>
            </w:r>
          </w:p>
        </w:tc>
        <w:tc>
          <w:tcPr>
            <w:tcW w:w="2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color w:val="auto"/>
                <w:sz w:val="28"/>
                <w:szCs w:val="28"/>
                <w:highlight w:val="none"/>
                <w:lang w:eastAsia="zh-CN"/>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default" w:cs="仿宋_GB2312"/>
                <w:i w:val="0"/>
                <w:color w:val="auto"/>
                <w:sz w:val="28"/>
                <w:szCs w:val="28"/>
                <w:highlight w:val="none"/>
                <w:u w:val="none"/>
                <w:lang w:val="en-US" w:eastAsia="zh-CN"/>
              </w:rPr>
            </w:pPr>
            <w:r>
              <w:rPr>
                <w:rFonts w:hint="eastAsia" w:cs="仿宋_GB2312"/>
                <w:i w:val="0"/>
                <w:color w:val="auto"/>
                <w:sz w:val="28"/>
                <w:szCs w:val="28"/>
                <w:highlight w:val="none"/>
                <w:u w:val="none"/>
                <w:lang w:val="en-US" w:eastAsia="zh-CN"/>
              </w:rPr>
              <w:t>22</w:t>
            </w:r>
          </w:p>
        </w:tc>
        <w:tc>
          <w:tcPr>
            <w:tcW w:w="147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cs="仿宋_GB2312"/>
                <w:i w:val="0"/>
                <w:color w:val="auto"/>
                <w:sz w:val="28"/>
                <w:szCs w:val="28"/>
                <w:highlight w:val="none"/>
                <w:u w:val="none"/>
                <w:lang w:eastAsia="zh-CN"/>
              </w:rPr>
            </w:pPr>
            <w:r>
              <w:rPr>
                <w:rFonts w:hint="eastAsia" w:cs="仿宋_GB2312"/>
                <w:i w:val="0"/>
                <w:color w:val="auto"/>
                <w:sz w:val="28"/>
                <w:szCs w:val="28"/>
                <w:highlight w:val="none"/>
                <w:u w:val="none"/>
                <w:lang w:eastAsia="zh-CN"/>
              </w:rPr>
              <w:t>高水位</w:t>
            </w:r>
          </w:p>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cs="仿宋_GB2312"/>
                <w:i w:val="0"/>
                <w:color w:val="auto"/>
                <w:sz w:val="28"/>
                <w:szCs w:val="28"/>
                <w:highlight w:val="none"/>
                <w:u w:val="none"/>
                <w:lang w:eastAsia="zh-CN"/>
              </w:rPr>
            </w:pPr>
            <w:r>
              <w:rPr>
                <w:rFonts w:hint="eastAsia" w:cs="仿宋_GB2312"/>
                <w:i w:val="0"/>
                <w:color w:val="auto"/>
                <w:sz w:val="28"/>
                <w:szCs w:val="28"/>
                <w:highlight w:val="none"/>
                <w:u w:val="none"/>
                <w:lang w:eastAsia="zh-CN"/>
              </w:rPr>
              <w:t>运行管理</w:t>
            </w:r>
          </w:p>
        </w:tc>
        <w:tc>
          <w:tcPr>
            <w:tcW w:w="4978" w:type="dxa"/>
            <w:tcBorders>
              <w:tl2br w:val="nil"/>
              <w:tr2bl w:val="nil"/>
            </w:tcBorders>
            <w:vAlign w:val="center"/>
          </w:tcPr>
          <w:p>
            <w:pPr>
              <w:keepNext w:val="0"/>
              <w:keepLines w:val="0"/>
              <w:pageBreakBefore w:val="0"/>
              <w:kinsoku/>
              <w:wordWrap/>
              <w:overflowPunct/>
              <w:topLinePunct w:val="0"/>
              <w:bidi w:val="0"/>
              <w:adjustRightInd w:val="0"/>
              <w:snapToGrid w:val="0"/>
              <w:spacing w:line="320" w:lineRule="exact"/>
              <w:ind w:left="0" w:leftChars="0" w:right="0" w:rightChars="0"/>
              <w:jc w:val="left"/>
              <w:rPr>
                <w:rFonts w:hint="eastAsia" w:ascii="仿宋_GB2312" w:hAnsi="仿宋_GB2312" w:eastAsia="仿宋_GB2312"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lang w:val="en-US" w:eastAsia="zh-CN" w:bidi="ar"/>
              </w:rPr>
              <w:t>贯彻《密云水库高水位运行工作方案》，各部门针对高水位运行存在的风险，落实对应工作措施。</w:t>
            </w:r>
          </w:p>
        </w:tc>
        <w:tc>
          <w:tcPr>
            <w:tcW w:w="10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10" w:leftChars="-50" w:right="-110"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cs="仿宋_GB2312"/>
                <w:i w:val="0"/>
                <w:color w:val="auto"/>
                <w:kern w:val="0"/>
                <w:sz w:val="28"/>
                <w:szCs w:val="28"/>
                <w:highlight w:val="none"/>
                <w:u w:val="none"/>
                <w:lang w:val="en-US" w:eastAsia="zh-CN" w:bidi="ar"/>
              </w:rPr>
              <w:t>实施</w:t>
            </w:r>
          </w:p>
        </w:tc>
        <w:tc>
          <w:tcPr>
            <w:tcW w:w="217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区</w:t>
            </w:r>
            <w:r>
              <w:rPr>
                <w:rFonts w:hint="eastAsia" w:ascii="仿宋_GB2312" w:hAnsi="仿宋_GB2312" w:eastAsia="仿宋_GB2312" w:cs="仿宋_GB2312"/>
                <w:b w:val="0"/>
                <w:bCs w:val="0"/>
                <w:color w:val="auto"/>
                <w:sz w:val="28"/>
                <w:szCs w:val="28"/>
                <w:highlight w:val="none"/>
              </w:rPr>
              <w:t>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仿宋_GB2312" w:hAnsi="仿宋_GB2312" w:eastAsia="仿宋_GB2312" w:cs="仿宋_GB2312"/>
                <w:i w:val="0"/>
                <w:color w:val="auto"/>
                <w:kern w:val="0"/>
                <w:sz w:val="28"/>
                <w:szCs w:val="28"/>
                <w:highlight w:val="none"/>
                <w:u w:val="none"/>
                <w:lang w:val="en-US" w:eastAsia="zh-CN" w:bidi="ar"/>
              </w:rPr>
            </w:pPr>
          </w:p>
        </w:tc>
        <w:tc>
          <w:tcPr>
            <w:tcW w:w="4920" w:type="dxa"/>
            <w:gridSpan w:val="3"/>
            <w:tcBorders>
              <w:tl2br w:val="nil"/>
              <w:tr2bl w:val="nil"/>
            </w:tcBorders>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lang w:val="en-US" w:eastAsia="zh-CN"/>
              </w:rPr>
            </w:pPr>
            <w:r>
              <w:rPr>
                <w:rFonts w:hint="eastAsia" w:cs="仿宋_GB2312"/>
                <w:i w:val="0"/>
                <w:color w:val="auto"/>
                <w:kern w:val="0"/>
                <w:sz w:val="28"/>
                <w:szCs w:val="28"/>
                <w:highlight w:val="none"/>
                <w:u w:val="none"/>
                <w:lang w:val="en-US" w:eastAsia="zh-CN" w:bidi="ar"/>
              </w:rPr>
              <w:t>《密云水库高水位运行工作方案》中涉及的相关部门</w:t>
            </w:r>
          </w:p>
        </w:tc>
      </w:tr>
    </w:tbl>
    <w:p>
      <w:pPr>
        <w:keepNext w:val="0"/>
        <w:keepLines w:val="0"/>
        <w:pageBreakBefore w:val="0"/>
        <w:widowControl w:val="0"/>
        <w:kinsoku/>
        <w:wordWrap/>
        <w:overflowPunct/>
        <w:topLinePunct w:val="0"/>
        <w:autoSpaceDE w:val="0"/>
        <w:autoSpaceDN/>
        <w:bidi w:val="0"/>
        <w:snapToGrid w:val="0"/>
        <w:spacing w:before="0" w:after="0" w:line="320" w:lineRule="exact"/>
        <w:ind w:left="0" w:right="0"/>
        <w:jc w:val="both"/>
        <w:rPr>
          <w:rFonts w:hint="eastAsia" w:ascii="黑体" w:hAnsi="黑体" w:eastAsia="黑体" w:cs="黑体"/>
          <w:color w:val="FF0000"/>
          <w:spacing w:val="0"/>
          <w:sz w:val="32"/>
          <w:szCs w:val="32"/>
          <w:lang w:val="en-US" w:eastAsia="zh-CN" w:bidi="ar-SA"/>
        </w:rPr>
      </w:pPr>
    </w:p>
    <w:p>
      <w:pPr>
        <w:pStyle w:val="3"/>
        <w:keepNext w:val="0"/>
        <w:keepLines w:val="0"/>
        <w:pageBreakBefore w:val="0"/>
        <w:kinsoku/>
        <w:wordWrap/>
        <w:overflowPunct/>
        <w:topLinePunct w:val="0"/>
        <w:bidi w:val="0"/>
        <w:spacing w:line="320" w:lineRule="exact"/>
        <w:rPr>
          <w:rFonts w:hint="eastAsia" w:ascii="黑体" w:hAnsi="黑体" w:eastAsia="黑体" w:cs="黑体"/>
          <w:color w:val="FF0000"/>
          <w:spacing w:val="0"/>
          <w:sz w:val="32"/>
          <w:szCs w:val="32"/>
          <w:lang w:val="en-US" w:eastAsia="zh-CN" w:bidi="ar-SA"/>
        </w:rPr>
      </w:pPr>
    </w:p>
    <w:p>
      <w:pPr>
        <w:pStyle w:val="4"/>
        <w:keepNext w:val="0"/>
        <w:keepLines w:val="0"/>
        <w:pageBreakBefore w:val="0"/>
        <w:kinsoku/>
        <w:wordWrap/>
        <w:overflowPunct/>
        <w:topLinePunct w:val="0"/>
        <w:bidi w:val="0"/>
        <w:spacing w:line="320" w:lineRule="exact"/>
        <w:rPr>
          <w:rFonts w:hint="eastAsia" w:ascii="黑体" w:hAnsi="黑体" w:eastAsia="黑体" w:cs="黑体"/>
          <w:color w:val="FF0000"/>
          <w:spacing w:val="0"/>
          <w:sz w:val="32"/>
          <w:szCs w:val="32"/>
          <w:lang w:val="en-US" w:eastAsia="zh-CN" w:bidi="ar-SA"/>
        </w:rPr>
      </w:pPr>
    </w:p>
    <w:p>
      <w:pPr>
        <w:rPr>
          <w:rFonts w:hint="eastAsia" w:ascii="黑体" w:hAnsi="黑体" w:eastAsia="黑体" w:cs="黑体"/>
          <w:color w:val="FF0000"/>
          <w:spacing w:val="0"/>
          <w:sz w:val="32"/>
          <w:szCs w:val="32"/>
          <w:lang w:val="en-US" w:eastAsia="zh-CN" w:bidi="ar-SA"/>
        </w:rPr>
      </w:pPr>
    </w:p>
    <w:p>
      <w:pPr>
        <w:pStyle w:val="3"/>
        <w:rPr>
          <w:rFonts w:hint="eastAsia" w:ascii="黑体" w:hAnsi="黑体" w:eastAsia="黑体" w:cs="黑体"/>
          <w:color w:val="FF0000"/>
          <w:spacing w:val="0"/>
          <w:sz w:val="32"/>
          <w:szCs w:val="32"/>
          <w:lang w:val="en-US" w:eastAsia="zh-CN" w:bidi="ar-SA"/>
        </w:rPr>
      </w:pPr>
    </w:p>
    <w:p>
      <w:pPr>
        <w:rPr>
          <w:rFonts w:hint="eastAsia" w:ascii="黑体" w:hAnsi="黑体" w:eastAsia="黑体" w:cs="黑体"/>
          <w:color w:val="FF0000"/>
          <w:spacing w:val="0"/>
          <w:sz w:val="32"/>
          <w:szCs w:val="32"/>
          <w:lang w:val="en-US" w:eastAsia="zh-CN" w:bidi="ar-SA"/>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4"/>
        <w:ind w:left="0" w:leftChars="0" w:firstLine="0" w:firstLineChars="0"/>
        <w:rPr>
          <w:rFonts w:hint="eastAsia" w:ascii="黑体" w:hAnsi="黑体" w:eastAsia="黑体" w:cs="黑体"/>
          <w:color w:val="FF0000"/>
          <w:spacing w:val="0"/>
          <w:sz w:val="32"/>
          <w:szCs w:val="32"/>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val="0"/>
        <w:autoSpaceDN/>
        <w:bidi w:val="0"/>
        <w:snapToGrid w:val="0"/>
        <w:spacing w:before="0" w:after="0" w:line="240" w:lineRule="auto"/>
        <w:ind w:left="0" w:right="0"/>
        <w:jc w:val="both"/>
        <w:rPr>
          <w:rFonts w:hint="eastAsia" w:ascii="黑体" w:hAnsi="黑体" w:eastAsia="黑体" w:cs="黑体"/>
          <w:color w:val="auto"/>
          <w:spacing w:val="0"/>
          <w:sz w:val="32"/>
          <w:szCs w:val="32"/>
          <w:lang w:val="en-US" w:eastAsia="zh-CN" w:bidi="ar-SA"/>
        </w:rPr>
      </w:pPr>
      <w:r>
        <w:rPr>
          <w:rFonts w:hint="eastAsia" w:ascii="黑体" w:hAnsi="黑体" w:eastAsia="黑体" w:cs="黑体"/>
          <w:color w:val="auto"/>
          <w:spacing w:val="0"/>
          <w:sz w:val="32"/>
          <w:szCs w:val="32"/>
          <w:lang w:val="en-US" w:eastAsia="zh-CN" w:bidi="ar-SA"/>
        </w:rPr>
        <w:t>附件3</w:t>
      </w:r>
    </w:p>
    <w:p>
      <w:pPr>
        <w:pStyle w:val="3"/>
        <w:snapToGrid w:val="0"/>
        <w:spacing w:after="157" w:afterLines="50" w:line="640" w:lineRule="exact"/>
        <w:jc w:val="center"/>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北京市密云区净土保卫战2025年行动计划</w:t>
      </w:r>
    </w:p>
    <w:tbl>
      <w:tblPr>
        <w:tblStyle w:val="11"/>
        <w:tblW w:w="14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398"/>
        <w:gridCol w:w="4545"/>
        <w:gridCol w:w="1095"/>
        <w:gridCol w:w="1935"/>
        <w:gridCol w:w="2220"/>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07" w:type="dxa"/>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序号</w:t>
            </w:r>
          </w:p>
        </w:tc>
        <w:tc>
          <w:tcPr>
            <w:tcW w:w="1398" w:type="dxa"/>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重点</w:t>
            </w:r>
          </w:p>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任务</w:t>
            </w:r>
          </w:p>
        </w:tc>
        <w:tc>
          <w:tcPr>
            <w:tcW w:w="4545" w:type="dxa"/>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工作措施</w:t>
            </w:r>
          </w:p>
        </w:tc>
        <w:tc>
          <w:tcPr>
            <w:tcW w:w="1095" w:type="dxa"/>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完成</w:t>
            </w:r>
          </w:p>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时限</w:t>
            </w:r>
          </w:p>
        </w:tc>
        <w:tc>
          <w:tcPr>
            <w:tcW w:w="1935" w:type="dxa"/>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牵头部门</w:t>
            </w:r>
          </w:p>
        </w:tc>
        <w:tc>
          <w:tcPr>
            <w:tcW w:w="2220" w:type="dxa"/>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主责单位</w:t>
            </w:r>
          </w:p>
        </w:tc>
        <w:tc>
          <w:tcPr>
            <w:tcW w:w="2559" w:type="dxa"/>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59" w:type="dxa"/>
            <w:gridSpan w:val="7"/>
            <w:noWrap w:val="0"/>
            <w:vAlign w:val="center"/>
          </w:tcPr>
          <w:p>
            <w:pPr>
              <w:keepNext w:val="0"/>
              <w:keepLines w:val="0"/>
              <w:pageBreakBefore w:val="0"/>
              <w:widowControl/>
              <w:kinsoku/>
              <w:wordWrap/>
              <w:overflowPunct/>
              <w:topLinePunct w:val="0"/>
              <w:autoSpaceDE/>
              <w:autoSpaceDN/>
              <w:bidi w:val="0"/>
              <w:snapToGrid w:val="0"/>
              <w:spacing w:line="320" w:lineRule="exact"/>
              <w:ind w:left="-110" w:leftChars="-50" w:right="-110" w:rightChars="-50"/>
              <w:jc w:val="center"/>
              <w:textAlignment w:val="auto"/>
              <w:outlineLvl w:val="9"/>
              <w:rPr>
                <w:rFonts w:ascii="宋体" w:hAnsi="宋体" w:cs="宋体"/>
                <w:kern w:val="0"/>
                <w:szCs w:val="21"/>
              </w:rPr>
            </w:pPr>
            <w:r>
              <w:rPr>
                <w:rFonts w:hint="eastAsia" w:ascii="黑体" w:hAnsi="黑体" w:eastAsia="黑体" w:cs="黑体"/>
                <w:color w:val="auto"/>
                <w:spacing w:val="0"/>
                <w:kern w:val="0"/>
                <w:sz w:val="28"/>
                <w:szCs w:val="28"/>
                <w:highlight w:val="none"/>
                <w:lang w:eastAsia="en-US"/>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1</w:t>
            </w:r>
          </w:p>
        </w:tc>
        <w:tc>
          <w:tcPr>
            <w:tcW w:w="1398"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目标</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任务</w:t>
            </w:r>
          </w:p>
        </w:tc>
        <w:tc>
          <w:tcPr>
            <w:tcW w:w="454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建设用地和农用地土壤环境风险得到</w:t>
            </w:r>
            <w:r>
              <w:rPr>
                <w:rFonts w:hint="eastAsia" w:ascii="仿宋_GB2312" w:hAnsi="仿宋_GB2312" w:eastAsia="仿宋_GB2312" w:cs="仿宋_GB2312"/>
                <w:color w:val="auto"/>
                <w:spacing w:val="0"/>
                <w:kern w:val="0"/>
                <w:sz w:val="28"/>
                <w:szCs w:val="28"/>
                <w:highlight w:val="none"/>
                <w:lang w:eastAsia="zh-CN"/>
              </w:rPr>
              <w:t>有效</w:t>
            </w:r>
            <w:r>
              <w:rPr>
                <w:rFonts w:hint="eastAsia" w:ascii="仿宋_GB2312" w:hAnsi="仿宋_GB2312" w:eastAsia="仿宋_GB2312" w:cs="仿宋_GB2312"/>
                <w:color w:val="auto"/>
                <w:spacing w:val="0"/>
                <w:kern w:val="0"/>
                <w:sz w:val="28"/>
                <w:szCs w:val="28"/>
                <w:highlight w:val="none"/>
                <w:lang w:eastAsia="en-US"/>
              </w:rPr>
              <w:t>管控，土壤环境质量保持良好。</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z w:val="28"/>
                <w:szCs w:val="28"/>
                <w:highlight w:val="none"/>
                <w:lang w:val="en-US" w:eastAsia="zh-CN"/>
              </w:rPr>
              <w:t>市规划自然资源委密云分局</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市规划自然资源委密云分局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相关镇街（地区）中关村密云园</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区国资委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cs="仿宋_GB2312"/>
                <w:color w:val="auto"/>
                <w:spacing w:val="0"/>
                <w:kern w:val="0"/>
                <w:sz w:val="28"/>
                <w:szCs w:val="28"/>
                <w:highlight w:val="none"/>
                <w:lang w:val="en-US" w:eastAsia="zh-CN"/>
              </w:rPr>
              <w:t>城市管理</w:t>
            </w:r>
            <w:r>
              <w:rPr>
                <w:rFonts w:hint="eastAsia" w:ascii="仿宋_GB2312" w:hAnsi="仿宋_GB2312" w:eastAsia="仿宋_GB2312" w:cs="仿宋_GB2312"/>
                <w:color w:val="auto"/>
                <w:spacing w:val="0"/>
                <w:kern w:val="0"/>
                <w:sz w:val="28"/>
                <w:szCs w:val="28"/>
                <w:highlight w:val="none"/>
                <w:lang w:eastAsia="zh-CN"/>
              </w:rPr>
              <w:t>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59"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110" w:leftChars="-50" w:right="-110" w:rightChars="-50"/>
              <w:jc w:val="center"/>
              <w:textAlignment w:val="auto"/>
              <w:outlineLvl w:val="9"/>
              <w:rPr>
                <w:rFonts w:ascii="宋体" w:hAnsi="宋体" w:cs="宋体"/>
                <w:kern w:val="0"/>
                <w:szCs w:val="21"/>
              </w:rPr>
            </w:pPr>
            <w:r>
              <w:rPr>
                <w:rFonts w:hint="eastAsia" w:ascii="仿宋_GB2312" w:hAnsi="仿宋_GB2312" w:eastAsia="仿宋_GB2312" w:cs="仿宋_GB2312"/>
                <w:color w:val="auto"/>
                <w:spacing w:val="0"/>
                <w:kern w:val="0"/>
                <w:sz w:val="28"/>
                <w:szCs w:val="28"/>
                <w:highlight w:val="none"/>
                <w:lang w:eastAsia="zh-CN"/>
              </w:rPr>
              <w:t xml:space="preserve"> </w:t>
            </w:r>
            <w:r>
              <w:rPr>
                <w:rFonts w:hint="eastAsia" w:ascii="黑体" w:hAnsi="黑体" w:eastAsia="黑体" w:cs="黑体"/>
                <w:color w:val="auto"/>
                <w:spacing w:val="0"/>
                <w:kern w:val="0"/>
                <w:sz w:val="28"/>
                <w:szCs w:val="28"/>
                <w:highlight w:val="none"/>
                <w:lang w:eastAsia="en-US"/>
              </w:rPr>
              <w:t>二、有效保障建设用地安全利用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6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2</w:t>
            </w:r>
          </w:p>
        </w:tc>
        <w:tc>
          <w:tcPr>
            <w:tcW w:w="139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持续开展土壤污染防治现状调查</w:t>
            </w:r>
          </w:p>
        </w:tc>
        <w:tc>
          <w:tcPr>
            <w:tcW w:w="454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全面管控优先监管地块。开展关停退出工业企业原址用地筛查，3月底、9月底更新优先监管地块清单，</w:t>
            </w:r>
            <w:r>
              <w:rPr>
                <w:rFonts w:hint="eastAsia" w:ascii="仿宋_GB2312" w:hAnsi="仿宋_GB2312" w:eastAsia="仿宋_GB2312" w:cs="仿宋_GB2312"/>
                <w:color w:val="auto"/>
                <w:spacing w:val="0"/>
                <w:kern w:val="0"/>
                <w:sz w:val="28"/>
                <w:szCs w:val="28"/>
                <w:highlight w:val="none"/>
                <w:lang w:val="en-US" w:eastAsia="zh-CN"/>
              </w:rPr>
              <w:t>按照生态环境部新技术指南开展、完善重点监测；</w:t>
            </w:r>
            <w:r>
              <w:rPr>
                <w:rFonts w:hint="eastAsia" w:ascii="仿宋_GB2312" w:hAnsi="仿宋_GB2312" w:eastAsia="仿宋_GB2312" w:cs="仿宋_GB2312"/>
                <w:color w:val="auto"/>
                <w:spacing w:val="0"/>
                <w:kern w:val="0"/>
                <w:sz w:val="28"/>
                <w:szCs w:val="28"/>
                <w:highlight w:val="none"/>
                <w:lang w:eastAsia="en-US"/>
              </w:rPr>
              <w:t>根据重点监测评估</w:t>
            </w:r>
            <w:r>
              <w:rPr>
                <w:rFonts w:hint="eastAsia" w:ascii="仿宋_GB2312" w:hAnsi="仿宋_GB2312" w:eastAsia="仿宋_GB2312" w:cs="仿宋_GB2312"/>
                <w:color w:val="auto"/>
                <w:spacing w:val="0"/>
                <w:kern w:val="0"/>
                <w:sz w:val="28"/>
                <w:szCs w:val="28"/>
                <w:highlight w:val="none"/>
                <w:lang w:val="en-US" w:eastAsia="zh-CN"/>
              </w:rPr>
              <w:t>结果</w:t>
            </w:r>
            <w:r>
              <w:rPr>
                <w:rFonts w:hint="eastAsia" w:ascii="仿宋_GB2312" w:hAnsi="仿宋_GB2312" w:eastAsia="仿宋_GB2312" w:cs="仿宋_GB2312"/>
                <w:color w:val="auto"/>
                <w:spacing w:val="0"/>
                <w:kern w:val="0"/>
                <w:sz w:val="28"/>
                <w:szCs w:val="28"/>
                <w:highlight w:val="none"/>
                <w:lang w:eastAsia="en-US"/>
              </w:rPr>
              <w:t>，督促土壤污染责任人或土地使用权人完成制度控制、工程控制等措施，并通过环境监测监控污染扩散和对周边敏感目标的影响。优先监管地块污染管控率</w:t>
            </w:r>
            <w:r>
              <w:rPr>
                <w:rFonts w:hint="eastAsia" w:ascii="仿宋_GB2312" w:hAnsi="仿宋_GB2312" w:eastAsia="仿宋_GB2312" w:cs="仿宋_GB2312"/>
                <w:color w:val="auto"/>
                <w:spacing w:val="0"/>
                <w:kern w:val="0"/>
                <w:sz w:val="28"/>
                <w:szCs w:val="28"/>
                <w:highlight w:val="none"/>
                <w:lang w:val="en-US" w:eastAsia="zh-CN"/>
              </w:rPr>
              <w:t>≥95%。</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市规划自然资源委密云分局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w w:val="80"/>
                <w:kern w:val="0"/>
                <w:sz w:val="28"/>
                <w:szCs w:val="28"/>
                <w:highlight w:val="none"/>
                <w:lang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07" w:type="dxa"/>
            <w:vMerge w:val="continue"/>
            <w:noWrap w:val="0"/>
            <w:vAlign w:val="center"/>
          </w:tcPr>
          <w:p>
            <w:pPr>
              <w:keepNext w:val="0"/>
              <w:keepLines w:val="0"/>
              <w:pageBreakBefore w:val="0"/>
              <w:kinsoku/>
              <w:wordWrap/>
              <w:overflowPunct/>
              <w:topLinePunct w:val="0"/>
              <w:autoSpaceDE/>
              <w:autoSpaceDN/>
              <w:bidi w:val="0"/>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398" w:type="dxa"/>
            <w:vMerge w:val="continue"/>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en-US" w:bidi="ar-SA"/>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宋体" w:hAnsi="宋体" w:eastAsia="宋体" w:cs="宋体"/>
                <w:szCs w:val="21"/>
                <w:lang w:eastAsia="zh-CN"/>
              </w:rPr>
            </w:pPr>
            <w:r>
              <w:rPr>
                <w:rFonts w:hint="eastAsia" w:ascii="仿宋_GB2312" w:hAnsi="仿宋_GB2312" w:eastAsia="仿宋_GB2312" w:cs="仿宋_GB2312"/>
                <w:color w:val="auto"/>
                <w:spacing w:val="0"/>
                <w:kern w:val="0"/>
                <w:sz w:val="28"/>
                <w:szCs w:val="28"/>
                <w:highlight w:val="none"/>
                <w:lang w:eastAsia="en-US"/>
              </w:rPr>
              <w:t>持续推进土壤环境现状数据汇集</w:t>
            </w:r>
            <w:r>
              <w:rPr>
                <w:rFonts w:hint="eastAsia" w:cs="仿宋_GB2312"/>
                <w:color w:val="auto"/>
                <w:spacing w:val="0"/>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val="en-US" w:eastAsia="zh-CN"/>
              </w:rPr>
              <w:t>基本</w:t>
            </w:r>
            <w:r>
              <w:rPr>
                <w:rFonts w:hint="eastAsia" w:ascii="仿宋_GB2312" w:hAnsi="仿宋_GB2312" w:eastAsia="仿宋_GB2312" w:cs="仿宋_GB2312"/>
                <w:color w:val="auto"/>
                <w:spacing w:val="0"/>
                <w:kern w:val="0"/>
                <w:sz w:val="28"/>
                <w:szCs w:val="28"/>
                <w:highlight w:val="none"/>
                <w:lang w:eastAsia="en-US"/>
              </w:rPr>
              <w:t>建立新、改、扩建建设项目土壤环境现状调查成果台账。</w:t>
            </w:r>
          </w:p>
        </w:tc>
        <w:tc>
          <w:tcPr>
            <w:tcW w:w="1095" w:type="dxa"/>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55" w:type="dxa"/>
            <w:gridSpan w:val="2"/>
            <w:noWrap w:val="0"/>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559"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607"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3</w:t>
            </w:r>
          </w:p>
        </w:tc>
        <w:tc>
          <w:tcPr>
            <w:tcW w:w="1398"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加强工业企业土壤污染源头防控</w:t>
            </w: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强化相关行业企业管理。</w:t>
            </w:r>
            <w:r>
              <w:rPr>
                <w:rFonts w:hint="eastAsia" w:ascii="仿宋_GB2312" w:hAnsi="仿宋_GB2312" w:eastAsia="仿宋_GB2312" w:cs="仿宋_GB2312"/>
                <w:color w:val="auto"/>
                <w:spacing w:val="0"/>
                <w:kern w:val="0"/>
                <w:sz w:val="28"/>
                <w:szCs w:val="28"/>
                <w:highlight w:val="none"/>
                <w:lang w:val="en-US" w:eastAsia="zh-CN"/>
              </w:rPr>
              <w:t>督促北京新能源汽车股份有限公司北京分公司开展</w:t>
            </w:r>
            <w:r>
              <w:rPr>
                <w:rFonts w:hint="eastAsia" w:ascii="仿宋_GB2312" w:hAnsi="仿宋_GB2312" w:eastAsia="仿宋_GB2312" w:cs="仿宋_GB2312"/>
                <w:color w:val="auto"/>
                <w:spacing w:val="0"/>
                <w:kern w:val="0"/>
                <w:sz w:val="28"/>
                <w:szCs w:val="28"/>
                <w:highlight w:val="none"/>
                <w:lang w:eastAsia="en-US"/>
              </w:rPr>
              <w:t>土壤气和地下水监测。</w:t>
            </w:r>
            <w:r>
              <w:rPr>
                <w:rFonts w:hint="eastAsia" w:ascii="仿宋_GB2312" w:hAnsi="仿宋_GB2312" w:eastAsia="仿宋_GB2312" w:cs="仿宋_GB2312"/>
                <w:color w:val="auto"/>
                <w:spacing w:val="0"/>
                <w:kern w:val="0"/>
                <w:sz w:val="28"/>
                <w:szCs w:val="28"/>
                <w:highlight w:val="none"/>
                <w:lang w:val="en-US" w:eastAsia="en-US"/>
              </w:rPr>
              <w:t>组织已投产的</w:t>
            </w:r>
            <w:r>
              <w:rPr>
                <w:rFonts w:hint="eastAsia" w:ascii="仿宋_GB2312" w:hAnsi="仿宋_GB2312" w:eastAsia="仿宋_GB2312" w:cs="仿宋_GB2312"/>
                <w:color w:val="auto"/>
                <w:spacing w:val="0"/>
                <w:kern w:val="0"/>
                <w:sz w:val="28"/>
                <w:szCs w:val="28"/>
                <w:highlight w:val="none"/>
                <w:lang w:eastAsia="en-US"/>
              </w:rPr>
              <w:t>化工、电子、制药、汽车制造行业企业完成土壤污染隐患排查</w:t>
            </w:r>
            <w:r>
              <w:rPr>
                <w:rFonts w:hint="eastAsia" w:ascii="仿宋_GB2312" w:hAnsi="仿宋_GB2312" w:eastAsia="仿宋_GB2312" w:cs="仿宋_GB2312"/>
                <w:color w:val="auto"/>
                <w:spacing w:val="0"/>
                <w:kern w:val="0"/>
                <w:sz w:val="28"/>
                <w:szCs w:val="28"/>
                <w:highlight w:val="none"/>
                <w:lang w:val="en" w:eastAsia="en-US"/>
              </w:rPr>
              <w:t>,实现</w:t>
            </w:r>
            <w:r>
              <w:rPr>
                <w:rFonts w:hint="eastAsia" w:ascii="仿宋_GB2312" w:hAnsi="仿宋_GB2312" w:eastAsia="仿宋_GB2312" w:cs="仿宋_GB2312"/>
                <w:color w:val="auto"/>
                <w:spacing w:val="0"/>
                <w:kern w:val="0"/>
                <w:sz w:val="28"/>
                <w:szCs w:val="28"/>
                <w:highlight w:val="none"/>
                <w:lang w:eastAsia="en-US"/>
              </w:rPr>
              <w:t>全覆盖，根据排查结果整改提升。开展已关闭加油站土壤污染风险摸底排查，逐步消除风险隐患。</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220"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w w:val="80"/>
                <w:kern w:val="0"/>
                <w:sz w:val="28"/>
                <w:szCs w:val="28"/>
                <w:highlight w:val="none"/>
                <w:lang w:eastAsia="zh-CN"/>
              </w:rPr>
              <w:t>区经济和信息化局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kinsoku/>
              <w:wordWrap/>
              <w:overflowPunct/>
              <w:topLinePunct w:val="0"/>
              <w:bidi w:val="0"/>
              <w:adjustRightInd/>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市规划自然资源委密云分局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强化重点单位环境管理。更新</w:t>
            </w:r>
            <w:r>
              <w:rPr>
                <w:rFonts w:hint="eastAsia" w:ascii="仿宋_GB2312" w:hAnsi="仿宋_GB2312" w:eastAsia="仿宋_GB2312" w:cs="仿宋_GB2312"/>
                <w:color w:val="auto"/>
                <w:spacing w:val="0"/>
                <w:kern w:val="0"/>
                <w:sz w:val="28"/>
                <w:szCs w:val="28"/>
                <w:highlight w:val="none"/>
                <w:lang w:eastAsia="zh-CN"/>
              </w:rPr>
              <w:t>土壤污染重点监管</w:t>
            </w:r>
            <w:r>
              <w:rPr>
                <w:rFonts w:hint="eastAsia" w:ascii="仿宋_GB2312" w:hAnsi="仿宋_GB2312" w:eastAsia="仿宋_GB2312" w:cs="仿宋_GB2312"/>
                <w:color w:val="auto"/>
                <w:spacing w:val="0"/>
                <w:kern w:val="0"/>
                <w:sz w:val="28"/>
                <w:szCs w:val="28"/>
                <w:highlight w:val="none"/>
                <w:lang w:eastAsia="en-US"/>
              </w:rPr>
              <w:t>单位名录，应纳尽纳。督促土壤重点单位按照排污许可证规定和标准规范落实控制有毒有害物质排放、土壤污染隐患排查、自行监测等要求。完善重点场所和设施设备清单，全面查清隐患并落实整改，隐患排查整改合格率达到90%以上。以优化提升监测方案为重点，提升自行监测工作质量。</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220"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w w:val="80"/>
                <w:kern w:val="0"/>
                <w:sz w:val="28"/>
                <w:szCs w:val="28"/>
                <w:highlight w:val="none"/>
                <w:lang w:eastAsia="zh-CN"/>
              </w:rPr>
              <w:t>区经济和信息化局</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7" w:type="dxa"/>
            <w:vMerge w:val="restart"/>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lang w:eastAsia="en-US"/>
              </w:rPr>
              <w:t>3</w:t>
            </w:r>
          </w:p>
        </w:tc>
        <w:tc>
          <w:tcPr>
            <w:tcW w:w="1398" w:type="dxa"/>
            <w:vMerge w:val="restart"/>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lang w:eastAsia="en-US"/>
              </w:rPr>
              <w:t>加强工业企业土壤污染源头防控</w:t>
            </w:r>
          </w:p>
        </w:tc>
        <w:tc>
          <w:tcPr>
            <w:tcW w:w="4545" w:type="dxa"/>
            <w:noWrap w:val="0"/>
            <w:vAlign w:val="center"/>
          </w:tcPr>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按照生态环境部新技术指南，编制土壤重点单位周边土壤和地下水监测方案。对地下水迁移影响型土壤重点单位周边开展土壤和地下水监测。</w:t>
            </w:r>
          </w:p>
        </w:tc>
        <w:tc>
          <w:tcPr>
            <w:tcW w:w="109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55" w:type="dxa"/>
            <w:gridSpan w:val="2"/>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559"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607" w:type="dxa"/>
            <w:vMerge w:val="continue"/>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398" w:type="dxa"/>
            <w:vMerge w:val="continue"/>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预防工业园区土壤环境污染。</w:t>
            </w:r>
            <w:r>
              <w:rPr>
                <w:rFonts w:hint="eastAsia" w:cs="仿宋_GB2312"/>
                <w:color w:val="auto"/>
                <w:spacing w:val="0"/>
                <w:kern w:val="0"/>
                <w:sz w:val="28"/>
                <w:szCs w:val="28"/>
                <w:highlight w:val="none"/>
                <w:lang w:val="en-US" w:eastAsia="zh-CN"/>
              </w:rPr>
              <w:t>督促</w:t>
            </w:r>
            <w:r>
              <w:rPr>
                <w:rFonts w:hint="eastAsia" w:ascii="仿宋_GB2312" w:hAnsi="仿宋_GB2312" w:eastAsia="仿宋_GB2312" w:cs="仿宋_GB2312"/>
                <w:color w:val="auto"/>
                <w:spacing w:val="0"/>
                <w:kern w:val="0"/>
                <w:sz w:val="28"/>
                <w:szCs w:val="28"/>
                <w:highlight w:val="none"/>
                <w:lang w:eastAsia="en-US"/>
              </w:rPr>
              <w:t>市级以上工业园区管理机构按照土壤污染防治方案,开展土壤和地下水监测、结果评价及风险防控。</w:t>
            </w:r>
          </w:p>
        </w:tc>
        <w:tc>
          <w:tcPr>
            <w:tcW w:w="109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220"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中关村密云园</w:t>
            </w:r>
          </w:p>
          <w:p>
            <w:pPr>
              <w:keepNext w:val="0"/>
              <w:keepLines w:val="0"/>
              <w:pageBreakBefore w:val="0"/>
              <w:widowControl/>
              <w:kinsoku/>
              <w:wordWrap/>
              <w:overflowPunct/>
              <w:topLinePunct w:val="0"/>
              <w:bidi w:val="0"/>
              <w:adjustRightInd/>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w w:val="80"/>
                <w:kern w:val="0"/>
                <w:sz w:val="28"/>
                <w:szCs w:val="28"/>
                <w:highlight w:val="none"/>
                <w:lang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vMerge w:val="restart"/>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4</w:t>
            </w:r>
          </w:p>
        </w:tc>
        <w:tc>
          <w:tcPr>
            <w:tcW w:w="1398" w:type="dxa"/>
            <w:vMerge w:val="restart"/>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科学管控建设用地风险</w:t>
            </w:r>
          </w:p>
        </w:tc>
        <w:tc>
          <w:tcPr>
            <w:tcW w:w="4545" w:type="dxa"/>
            <w:noWrap w:val="0"/>
            <w:vAlign w:val="center"/>
          </w:tcPr>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科学实施土壤污染风险管控、修复，强化土壤污染风险管控和修复过程监督管理。</w:t>
            </w:r>
          </w:p>
        </w:tc>
        <w:tc>
          <w:tcPr>
            <w:tcW w:w="109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tc>
        <w:tc>
          <w:tcPr>
            <w:tcW w:w="2220"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市规划自然资源委密云分局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w w:val="80"/>
                <w:kern w:val="0"/>
                <w:sz w:val="28"/>
                <w:szCs w:val="28"/>
                <w:highlight w:val="none"/>
                <w:lang w:eastAsia="zh-CN"/>
              </w:rPr>
              <w:t>区住房城乡建设委</w:t>
            </w:r>
          </w:p>
        </w:tc>
        <w:tc>
          <w:tcPr>
            <w:tcW w:w="2559"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kinsoku/>
              <w:wordWrap/>
              <w:overflowPunct/>
              <w:topLinePunct w:val="0"/>
              <w:bidi w:val="0"/>
              <w:adjustRightInd/>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7" w:type="dxa"/>
            <w:vMerge w:val="continue"/>
            <w:noWrap w:val="0"/>
            <w:vAlign w:val="center"/>
          </w:tcPr>
          <w:p>
            <w:pPr>
              <w:keepNext w:val="0"/>
              <w:keepLines w:val="0"/>
              <w:pageBreakBefore w:val="0"/>
              <w:widowControl/>
              <w:kinsoku/>
              <w:wordWrap/>
              <w:overflowPunct/>
              <w:topLinePunct w:val="0"/>
              <w:bidi w:val="0"/>
              <w:adjustRightInd/>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1398" w:type="dxa"/>
            <w:vMerge w:val="continue"/>
            <w:noWrap w:val="0"/>
            <w:vAlign w:val="center"/>
          </w:tcPr>
          <w:p>
            <w:pPr>
              <w:keepNext w:val="0"/>
              <w:keepLines w:val="0"/>
              <w:pageBreakBefore w:val="0"/>
              <w:widowControl/>
              <w:kinsoku/>
              <w:wordWrap/>
              <w:overflowPunct/>
              <w:topLinePunct w:val="0"/>
              <w:bidi w:val="0"/>
              <w:adjustRightInd/>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加强修复过程监督管理。针对开挖深度较大的修复项目，加强土壤污染治理监督检查</w:t>
            </w:r>
            <w:r>
              <w:rPr>
                <w:rFonts w:hint="eastAsia" w:ascii="仿宋_GB2312" w:hAnsi="仿宋_GB2312" w:eastAsia="仿宋_GB2312" w:cs="仿宋_GB2312"/>
                <w:color w:val="auto"/>
                <w:spacing w:val="0"/>
                <w:kern w:val="0"/>
                <w:sz w:val="28"/>
                <w:szCs w:val="28"/>
                <w:highlight w:val="none"/>
                <w:lang w:val="en-US" w:eastAsia="zh-CN"/>
              </w:rPr>
              <w:t>和</w:t>
            </w:r>
            <w:r>
              <w:rPr>
                <w:rFonts w:hint="eastAsia" w:ascii="仿宋_GB2312" w:hAnsi="仿宋_GB2312" w:eastAsia="仿宋_GB2312" w:cs="仿宋_GB2312"/>
                <w:color w:val="auto"/>
                <w:spacing w:val="0"/>
                <w:kern w:val="0"/>
                <w:sz w:val="28"/>
                <w:szCs w:val="28"/>
                <w:highlight w:val="none"/>
                <w:lang w:eastAsia="en-US"/>
              </w:rPr>
              <w:t>施工安全监督检查。</w:t>
            </w:r>
          </w:p>
        </w:tc>
        <w:tc>
          <w:tcPr>
            <w:tcW w:w="109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55" w:type="dxa"/>
            <w:gridSpan w:val="2"/>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区住房城乡建设委</w:t>
            </w:r>
          </w:p>
        </w:tc>
        <w:tc>
          <w:tcPr>
            <w:tcW w:w="2559"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kinsoku/>
              <w:wordWrap/>
              <w:overflowPunct/>
              <w:topLinePunct w:val="0"/>
              <w:bidi w:val="0"/>
              <w:adjustRightInd/>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5</w:t>
            </w:r>
          </w:p>
        </w:tc>
        <w:tc>
          <w:tcPr>
            <w:tcW w:w="1398"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完善建设用地再开发利用监管机制</w:t>
            </w:r>
          </w:p>
        </w:tc>
        <w:tc>
          <w:tcPr>
            <w:tcW w:w="4545" w:type="dxa"/>
            <w:noWrap w:val="0"/>
            <w:vAlign w:val="center"/>
          </w:tcPr>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加强联动，落实“先调查、先治理、再供地（出让、划拨、协议出让）”的原则，保障“净地”出让。</w:t>
            </w:r>
          </w:p>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重点建设用地安全利用率达到100%，或者达到95%以上且当年依法处罚、整改到位。</w:t>
            </w:r>
          </w:p>
        </w:tc>
        <w:tc>
          <w:tcPr>
            <w:tcW w:w="109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市规划自然资源委密云分局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市规划自然资源委密云分局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w w:val="80"/>
                <w:kern w:val="0"/>
                <w:sz w:val="28"/>
                <w:szCs w:val="28"/>
                <w:highlight w:val="none"/>
                <w:lang w:eastAsia="zh-CN"/>
              </w:rPr>
              <w:t>区住房城乡建设委</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kinsoku/>
              <w:wordWrap/>
              <w:overflowPunct/>
              <w:topLinePunct w:val="0"/>
              <w:bidi w:val="0"/>
              <w:adjustRightInd/>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59" w:type="dxa"/>
            <w:gridSpan w:val="7"/>
            <w:noWrap w:val="0"/>
            <w:vAlign w:val="center"/>
          </w:tcPr>
          <w:p>
            <w:pPr>
              <w:keepNext w:val="0"/>
              <w:keepLines w:val="0"/>
              <w:pageBreakBefore w:val="0"/>
              <w:kinsoku/>
              <w:wordWrap/>
              <w:overflowPunct/>
              <w:topLinePunct w:val="0"/>
              <w:autoSpaceDE/>
              <w:autoSpaceDN/>
              <w:bidi w:val="0"/>
              <w:snapToGrid w:val="0"/>
              <w:spacing w:line="320" w:lineRule="exact"/>
              <w:ind w:left="-110" w:leftChars="-50" w:right="-110" w:rightChars="-50"/>
              <w:jc w:val="center"/>
              <w:textAlignment w:val="auto"/>
              <w:outlineLvl w:val="9"/>
              <w:rPr>
                <w:rFonts w:ascii="宋体" w:hAnsi="宋体" w:cs="宋体"/>
                <w:kern w:val="0"/>
                <w:szCs w:val="21"/>
              </w:rPr>
            </w:pPr>
            <w:r>
              <w:rPr>
                <w:rFonts w:hint="eastAsia" w:ascii="黑体" w:hAnsi="黑体" w:eastAsia="黑体" w:cs="黑体"/>
                <w:color w:val="auto"/>
                <w:spacing w:val="0"/>
                <w:kern w:val="0"/>
                <w:sz w:val="28"/>
                <w:szCs w:val="28"/>
                <w:highlight w:val="none"/>
                <w:lang w:eastAsia="en-US"/>
              </w:rPr>
              <w:t>三、有效保障农用地安全利用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607" w:type="dxa"/>
            <w:vMerge w:val="restart"/>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6</w:t>
            </w:r>
          </w:p>
        </w:tc>
        <w:tc>
          <w:tcPr>
            <w:tcW w:w="1398" w:type="dxa"/>
            <w:vMerge w:val="restart"/>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深入推进农用地分类管理</w:t>
            </w:r>
          </w:p>
        </w:tc>
        <w:tc>
          <w:tcPr>
            <w:tcW w:w="4545" w:type="dxa"/>
            <w:noWrap w:val="0"/>
            <w:vAlign w:val="center"/>
          </w:tcPr>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更新农用地类别。根据土地利用变更、土壤和农产品协同监测结果等，完成一轮耕地、园地土壤环境质量类别调整，更新清单</w:t>
            </w:r>
            <w:r>
              <w:rPr>
                <w:rFonts w:hint="eastAsia" w:ascii="仿宋_GB2312" w:hAnsi="仿宋_GB2312" w:eastAsia="仿宋_GB2312" w:cs="仿宋_GB2312"/>
                <w:color w:val="auto"/>
                <w:spacing w:val="0"/>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val="en-US" w:eastAsia="zh-CN"/>
              </w:rPr>
              <w:t>并</w:t>
            </w:r>
            <w:r>
              <w:rPr>
                <w:rFonts w:hint="eastAsia" w:ascii="仿宋_GB2312" w:hAnsi="仿宋_GB2312" w:eastAsia="仿宋_GB2312" w:cs="仿宋_GB2312"/>
                <w:color w:val="auto"/>
                <w:spacing w:val="0"/>
                <w:kern w:val="0"/>
                <w:sz w:val="28"/>
                <w:szCs w:val="28"/>
                <w:highlight w:val="none"/>
                <w:lang w:eastAsia="en-US"/>
              </w:rPr>
              <w:t>继续实施耕地、园地分类管理。</w:t>
            </w:r>
          </w:p>
        </w:tc>
        <w:tc>
          <w:tcPr>
            <w:tcW w:w="109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tc>
        <w:tc>
          <w:tcPr>
            <w:tcW w:w="2220"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市规划自然资源委密云分局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607" w:type="dxa"/>
            <w:vMerge w:val="continue"/>
            <w:noWrap w:val="0"/>
            <w:vAlign w:val="center"/>
          </w:tcPr>
          <w:p>
            <w:pPr>
              <w:keepNext w:val="0"/>
              <w:keepLines w:val="0"/>
              <w:pageBreakBefore w:val="0"/>
              <w:widowControl/>
              <w:kinsoku/>
              <w:wordWrap/>
              <w:overflowPunct/>
              <w:topLinePunct w:val="0"/>
              <w:bidi w:val="0"/>
              <w:adjustRightInd/>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1398" w:type="dxa"/>
            <w:vMerge w:val="continue"/>
            <w:noWrap w:val="0"/>
            <w:vAlign w:val="center"/>
          </w:tcPr>
          <w:p>
            <w:pPr>
              <w:keepNext w:val="0"/>
              <w:keepLines w:val="0"/>
              <w:pageBreakBefore w:val="0"/>
              <w:widowControl/>
              <w:kinsoku/>
              <w:wordWrap/>
              <w:overflowPunct/>
              <w:topLinePunct w:val="0"/>
              <w:bidi w:val="0"/>
              <w:adjustRightInd/>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开展协同监测。落实重点耕地、园地土壤和食用农产品（</w:t>
            </w:r>
            <w:r>
              <w:rPr>
                <w:rFonts w:hint="eastAsia" w:ascii="仿宋_GB2312" w:hAnsi="仿宋_GB2312" w:eastAsia="仿宋_GB2312" w:cs="仿宋_GB2312"/>
                <w:color w:val="auto"/>
                <w:spacing w:val="0"/>
                <w:kern w:val="0"/>
                <w:sz w:val="28"/>
                <w:szCs w:val="28"/>
                <w:highlight w:val="none"/>
                <w:lang w:val="en-US" w:eastAsia="zh-CN"/>
              </w:rPr>
              <w:t>林产</w:t>
            </w:r>
            <w:r>
              <w:rPr>
                <w:rFonts w:hint="eastAsia" w:ascii="仿宋_GB2312" w:hAnsi="仿宋_GB2312" w:eastAsia="仿宋_GB2312" w:cs="仿宋_GB2312"/>
                <w:color w:val="auto"/>
                <w:spacing w:val="0"/>
                <w:kern w:val="0"/>
                <w:sz w:val="28"/>
                <w:szCs w:val="28"/>
                <w:highlight w:val="none"/>
                <w:lang w:eastAsia="en-US"/>
              </w:rPr>
              <w:t>品）协同监测。</w:t>
            </w:r>
          </w:p>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val="en-US" w:eastAsia="zh-CN"/>
              </w:rPr>
              <w:t>受污染耕地</w:t>
            </w:r>
            <w:r>
              <w:rPr>
                <w:rFonts w:hint="eastAsia" w:ascii="仿宋_GB2312" w:hAnsi="仿宋_GB2312" w:eastAsia="仿宋_GB2312" w:cs="仿宋_GB2312"/>
                <w:color w:val="auto"/>
                <w:spacing w:val="0"/>
                <w:kern w:val="0"/>
                <w:sz w:val="28"/>
                <w:szCs w:val="28"/>
                <w:highlight w:val="none"/>
                <w:lang w:eastAsia="en-US"/>
              </w:rPr>
              <w:t>安全利用率达到100%</w:t>
            </w:r>
            <w:r>
              <w:rPr>
                <w:rFonts w:hint="eastAsia" w:ascii="仿宋_GB2312" w:hAnsi="仿宋_GB2312" w:eastAsia="仿宋_GB2312" w:cs="仿宋_GB2312"/>
                <w:color w:val="auto"/>
                <w:spacing w:val="0"/>
                <w:kern w:val="0"/>
                <w:sz w:val="28"/>
                <w:szCs w:val="28"/>
                <w:highlight w:val="none"/>
                <w:lang w:eastAsia="zh-CN"/>
              </w:rPr>
              <w:t>。</w:t>
            </w:r>
          </w:p>
        </w:tc>
        <w:tc>
          <w:tcPr>
            <w:tcW w:w="109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tc>
        <w:tc>
          <w:tcPr>
            <w:tcW w:w="2220"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vMerge w:val="continue"/>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398" w:type="dxa"/>
            <w:vMerge w:val="continue"/>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完成重金属污染溯源。完成重点区域耕地、园地土壤重金属污染溯源全覆盖，</w:t>
            </w:r>
            <w:r>
              <w:rPr>
                <w:rFonts w:hint="eastAsia" w:ascii="仿宋_GB2312" w:hAnsi="仿宋_GB2312" w:eastAsia="仿宋_GB2312" w:cs="仿宋_GB2312"/>
                <w:color w:val="auto"/>
                <w:spacing w:val="0"/>
                <w:kern w:val="0"/>
                <w:sz w:val="28"/>
                <w:szCs w:val="28"/>
                <w:highlight w:val="none"/>
                <w:lang w:val="en-US" w:eastAsia="zh-CN"/>
              </w:rPr>
              <w:t>根据溯源结果</w:t>
            </w:r>
            <w:r>
              <w:rPr>
                <w:rFonts w:hint="eastAsia" w:ascii="仿宋_GB2312" w:hAnsi="仿宋_GB2312" w:eastAsia="仿宋_GB2312" w:cs="仿宋_GB2312"/>
                <w:color w:val="auto"/>
                <w:spacing w:val="0"/>
                <w:kern w:val="0"/>
                <w:sz w:val="28"/>
                <w:szCs w:val="28"/>
                <w:highlight w:val="none"/>
                <w:lang w:eastAsia="en-US"/>
              </w:rPr>
              <w:t>制定整治计划。</w:t>
            </w:r>
          </w:p>
        </w:tc>
        <w:tc>
          <w:tcPr>
            <w:tcW w:w="109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220"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vMerge w:val="continue"/>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398" w:type="dxa"/>
            <w:vMerge w:val="continue"/>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防控涉重金属重点行业污染。完成涉重金属行业企业、含电镀工序企业排查，防止污染农用地。</w:t>
            </w:r>
          </w:p>
        </w:tc>
        <w:tc>
          <w:tcPr>
            <w:tcW w:w="109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220"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w w:val="80"/>
                <w:kern w:val="0"/>
                <w:sz w:val="28"/>
                <w:szCs w:val="28"/>
                <w:highlight w:val="none"/>
                <w:lang w:eastAsia="zh-CN"/>
              </w:rPr>
              <w:t>区经济和信息化局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kinsoku/>
              <w:wordWrap/>
              <w:overflowPunct/>
              <w:topLinePunct w:val="0"/>
              <w:bidi w:val="0"/>
              <w:adjustRightInd/>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7</w:t>
            </w:r>
          </w:p>
        </w:tc>
        <w:tc>
          <w:tcPr>
            <w:tcW w:w="1398"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促进农用地土壤质量提升</w:t>
            </w:r>
          </w:p>
        </w:tc>
        <w:tc>
          <w:tcPr>
            <w:tcW w:w="4545" w:type="dxa"/>
            <w:noWrap w:val="0"/>
            <w:vAlign w:val="center"/>
          </w:tcPr>
          <w:p>
            <w:pPr>
              <w:keepNext w:val="0"/>
              <w:keepLines w:val="0"/>
              <w:pageBreakBefore w:val="0"/>
              <w:widowControl/>
              <w:kinsoku/>
              <w:wordWrap/>
              <w:overflowPunct/>
              <w:topLinePunct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按计划完成</w:t>
            </w:r>
            <w:r>
              <w:rPr>
                <w:rFonts w:hint="eastAsia" w:ascii="仿宋_GB2312" w:hAnsi="仿宋_GB2312" w:eastAsia="仿宋_GB2312" w:cs="仿宋_GB2312"/>
                <w:color w:val="auto"/>
                <w:spacing w:val="0"/>
                <w:kern w:val="0"/>
                <w:sz w:val="28"/>
                <w:szCs w:val="28"/>
                <w:highlight w:val="none"/>
                <w:lang w:eastAsia="en-US"/>
              </w:rPr>
              <w:t>高标准农田建设，农田节水灌溉工程建设和节水改造，推广水肥一体化等节水</w:t>
            </w:r>
            <w:r>
              <w:rPr>
                <w:rFonts w:hint="eastAsia" w:ascii="仿宋_GB2312" w:hAnsi="仿宋_GB2312" w:eastAsia="仿宋_GB2312" w:cs="仿宋_GB2312"/>
                <w:color w:val="auto"/>
                <w:spacing w:val="0"/>
                <w:kern w:val="0"/>
                <w:sz w:val="28"/>
                <w:szCs w:val="28"/>
                <w:highlight w:val="none"/>
                <w:lang w:val="en-US" w:eastAsia="zh-CN"/>
              </w:rPr>
              <w:t>、抗旱</w:t>
            </w:r>
            <w:r>
              <w:rPr>
                <w:rFonts w:hint="eastAsia" w:ascii="仿宋_GB2312" w:hAnsi="仿宋_GB2312" w:eastAsia="仿宋_GB2312" w:cs="仿宋_GB2312"/>
                <w:color w:val="auto"/>
                <w:spacing w:val="0"/>
                <w:kern w:val="0"/>
                <w:sz w:val="28"/>
                <w:szCs w:val="28"/>
                <w:highlight w:val="none"/>
                <w:lang w:eastAsia="en-US"/>
              </w:rPr>
              <w:t>技术</w:t>
            </w:r>
            <w:r>
              <w:rPr>
                <w:rFonts w:hint="eastAsia" w:ascii="仿宋_GB2312" w:hAnsi="仿宋_GB2312" w:eastAsia="仿宋_GB2312" w:cs="仿宋_GB2312"/>
                <w:color w:val="auto"/>
                <w:spacing w:val="0"/>
                <w:kern w:val="0"/>
                <w:sz w:val="28"/>
                <w:szCs w:val="28"/>
                <w:highlight w:val="none"/>
                <w:lang w:val="en-US" w:eastAsia="zh-CN"/>
              </w:rPr>
              <w:t>。农田灌溉用水有效利用系数达到0.753。</w:t>
            </w:r>
          </w:p>
        </w:tc>
        <w:tc>
          <w:tcPr>
            <w:tcW w:w="109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水务局</w:t>
            </w:r>
          </w:p>
        </w:tc>
        <w:tc>
          <w:tcPr>
            <w:tcW w:w="2220"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水务局</w:t>
            </w:r>
          </w:p>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tc>
        <w:tc>
          <w:tcPr>
            <w:tcW w:w="2559" w:type="dxa"/>
            <w:noWrap w:val="0"/>
            <w:vAlign w:val="center"/>
          </w:tcPr>
          <w:p>
            <w:pPr>
              <w:keepNext w:val="0"/>
              <w:keepLines w:val="0"/>
              <w:pageBreakBefore w:val="0"/>
              <w:widowControl/>
              <w:kinsoku/>
              <w:wordWrap/>
              <w:overflowPunct/>
              <w:topLinePunct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8</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398"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加强面源污染治理</w:t>
            </w:r>
          </w:p>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val="en-US" w:eastAsia="zh-CN"/>
              </w:rPr>
              <w:t>治理农业面源污染。</w:t>
            </w:r>
            <w:r>
              <w:rPr>
                <w:rFonts w:hint="eastAsia" w:ascii="仿宋_GB2312" w:hAnsi="仿宋_GB2312" w:eastAsia="仿宋_GB2312" w:cs="仿宋_GB2312"/>
                <w:color w:val="auto"/>
                <w:spacing w:val="0"/>
                <w:kern w:val="0"/>
                <w:sz w:val="28"/>
                <w:szCs w:val="28"/>
                <w:highlight w:val="none"/>
                <w:lang w:eastAsia="en-US"/>
              </w:rPr>
              <w:t>扎实推进农药化肥减量化，测土配方施肥技术覆盖率保持在98%以上，主要粮食作物化肥利用率达到43%以上，农药利用率保持在45%以上，主要农作物病虫害绿色防控覆盖率达到77%以上，小麦玉米粮食作物统防统治覆盖率达到56%以上。深化农膜和农药包装废弃物回收处置，农膜回收率达到95%以上，农药包装废弃物回收率达到90%以上，地膜残留量实现零增长，继续抓好全生物降解地膜示范推广</w:t>
            </w:r>
            <w:r>
              <w:rPr>
                <w:rFonts w:hint="eastAsia" w:ascii="仿宋_GB2312" w:hAnsi="仿宋_GB2312" w:eastAsia="仿宋_GB2312" w:cs="仿宋_GB2312"/>
                <w:color w:val="auto"/>
                <w:spacing w:val="0"/>
                <w:kern w:val="0"/>
                <w:sz w:val="28"/>
                <w:szCs w:val="28"/>
                <w:highlight w:val="none"/>
                <w:lang w:eastAsia="zh-CN"/>
              </w:rPr>
              <w:t>。</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tc>
        <w:tc>
          <w:tcPr>
            <w:tcW w:w="2220"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治理园林绿化面源污染</w:t>
            </w:r>
            <w:r>
              <w:rPr>
                <w:rFonts w:hint="eastAsia" w:ascii="仿宋_GB2312" w:hAnsi="仿宋_GB2312" w:eastAsia="仿宋_GB2312" w:cs="仿宋_GB2312"/>
                <w:color w:val="auto"/>
                <w:spacing w:val="0"/>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eastAsia="en-US"/>
              </w:rPr>
              <w:t>分类分区分级推进园林绿化农药减量，完成绿色防治技术示范</w:t>
            </w:r>
            <w:r>
              <w:rPr>
                <w:rFonts w:hint="eastAsia" w:ascii="仿宋_GB2312" w:hAnsi="仿宋_GB2312" w:eastAsia="仿宋_GB2312" w:cs="仿宋_GB2312"/>
                <w:color w:val="auto"/>
                <w:spacing w:val="0"/>
                <w:kern w:val="0"/>
                <w:sz w:val="28"/>
                <w:szCs w:val="28"/>
                <w:highlight w:val="none"/>
                <w:lang w:val="en-US" w:eastAsia="zh-CN"/>
              </w:rPr>
              <w:t>545</w:t>
            </w:r>
            <w:r>
              <w:rPr>
                <w:rFonts w:hint="eastAsia" w:ascii="仿宋_GB2312" w:hAnsi="仿宋_GB2312" w:eastAsia="仿宋_GB2312" w:cs="仿宋_GB2312"/>
                <w:color w:val="auto"/>
                <w:spacing w:val="0"/>
                <w:kern w:val="0"/>
                <w:sz w:val="28"/>
                <w:szCs w:val="28"/>
                <w:highlight w:val="none"/>
                <w:lang w:eastAsia="en-US"/>
              </w:rPr>
              <w:t>亩</w:t>
            </w:r>
            <w:r>
              <w:rPr>
                <w:rFonts w:hint="eastAsia" w:ascii="仿宋_GB2312" w:hAnsi="仿宋_GB2312" w:eastAsia="仿宋_GB2312" w:cs="仿宋_GB2312"/>
                <w:color w:val="auto"/>
                <w:spacing w:val="0"/>
                <w:kern w:val="0"/>
                <w:sz w:val="28"/>
                <w:szCs w:val="28"/>
                <w:highlight w:val="none"/>
                <w:lang w:eastAsia="zh-CN"/>
              </w:rPr>
              <w:t>。</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tc>
        <w:tc>
          <w:tcPr>
            <w:tcW w:w="2220"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循环利用农林种植生产废弃物。推进农作物秸秆循环利用，全</w:t>
            </w:r>
            <w:r>
              <w:rPr>
                <w:rFonts w:hint="eastAsia" w:ascii="仿宋_GB2312" w:hAnsi="仿宋_GB2312" w:eastAsia="仿宋_GB2312" w:cs="仿宋_GB2312"/>
                <w:color w:val="auto"/>
                <w:spacing w:val="0"/>
                <w:kern w:val="0"/>
                <w:sz w:val="28"/>
                <w:szCs w:val="28"/>
                <w:highlight w:val="none"/>
                <w:lang w:val="en-US" w:eastAsia="zh-CN"/>
              </w:rPr>
              <w:t>区</w:t>
            </w:r>
            <w:r>
              <w:rPr>
                <w:rFonts w:hint="eastAsia" w:ascii="仿宋_GB2312" w:hAnsi="仿宋_GB2312" w:eastAsia="仿宋_GB2312" w:cs="仿宋_GB2312"/>
                <w:color w:val="auto"/>
                <w:spacing w:val="0"/>
                <w:kern w:val="0"/>
                <w:sz w:val="28"/>
                <w:szCs w:val="28"/>
                <w:highlight w:val="none"/>
                <w:lang w:eastAsia="en-US"/>
              </w:rPr>
              <w:t>秸秆综合利用率保持在99%以上。</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2220"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资源化利用畜禽粪污。全</w:t>
            </w:r>
            <w:r>
              <w:rPr>
                <w:rFonts w:hint="eastAsia" w:ascii="仿宋_GB2312" w:hAnsi="仿宋_GB2312" w:eastAsia="仿宋_GB2312" w:cs="仿宋_GB2312"/>
                <w:color w:val="auto"/>
                <w:spacing w:val="0"/>
                <w:kern w:val="0"/>
                <w:sz w:val="28"/>
                <w:szCs w:val="28"/>
                <w:highlight w:val="none"/>
                <w:lang w:val="en-US" w:eastAsia="zh-CN"/>
              </w:rPr>
              <w:t>区</w:t>
            </w:r>
            <w:r>
              <w:rPr>
                <w:rFonts w:hint="eastAsia" w:ascii="仿宋_GB2312" w:hAnsi="仿宋_GB2312" w:eastAsia="仿宋_GB2312" w:cs="仿宋_GB2312"/>
                <w:color w:val="auto"/>
                <w:spacing w:val="0"/>
                <w:kern w:val="0"/>
                <w:sz w:val="28"/>
                <w:szCs w:val="28"/>
                <w:highlight w:val="none"/>
                <w:lang w:eastAsia="en-US"/>
              </w:rPr>
              <w:t>规模养殖场粪污处理设施装备配套率持续保持100%，畜禽粪污综合利用率9</w:t>
            </w:r>
            <w:r>
              <w:rPr>
                <w:rFonts w:hint="eastAsia" w:ascii="仿宋_GB2312" w:hAnsi="仿宋_GB2312" w:eastAsia="仿宋_GB2312" w:cs="仿宋_GB2312"/>
                <w:color w:val="auto"/>
                <w:spacing w:val="0"/>
                <w:kern w:val="0"/>
                <w:sz w:val="28"/>
                <w:szCs w:val="28"/>
                <w:highlight w:val="none"/>
                <w:lang w:val="en-US" w:eastAsia="zh-CN"/>
              </w:rPr>
              <w:t>5</w:t>
            </w:r>
            <w:r>
              <w:rPr>
                <w:rFonts w:hint="eastAsia" w:ascii="仿宋_GB2312" w:hAnsi="仿宋_GB2312" w:eastAsia="仿宋_GB2312" w:cs="仿宋_GB2312"/>
                <w:color w:val="auto"/>
                <w:spacing w:val="0"/>
                <w:kern w:val="0"/>
                <w:sz w:val="28"/>
                <w:szCs w:val="28"/>
                <w:highlight w:val="none"/>
                <w:lang w:eastAsia="en-US"/>
              </w:rPr>
              <w:t>%以上。</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tc>
        <w:tc>
          <w:tcPr>
            <w:tcW w:w="2220"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607"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lang w:eastAsia="en-US"/>
              </w:rPr>
              <w:t>9</w:t>
            </w:r>
          </w:p>
        </w:tc>
        <w:tc>
          <w:tcPr>
            <w:tcW w:w="1398"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lang w:eastAsia="en-US"/>
              </w:rPr>
              <w:t>推进农村环境整治</w:t>
            </w: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深入推进农村环境整治。完成</w:t>
            </w:r>
            <w:r>
              <w:rPr>
                <w:rFonts w:hint="eastAsia" w:ascii="仿宋_GB2312" w:hAnsi="仿宋_GB2312" w:eastAsia="仿宋_GB2312" w:cs="仿宋_GB2312"/>
                <w:color w:val="auto"/>
                <w:spacing w:val="0"/>
                <w:kern w:val="0"/>
                <w:sz w:val="28"/>
                <w:szCs w:val="28"/>
                <w:highlight w:val="none"/>
                <w:lang w:val="en-US" w:eastAsia="zh-CN"/>
              </w:rPr>
              <w:t>27个</w:t>
            </w:r>
            <w:r>
              <w:rPr>
                <w:rFonts w:hint="eastAsia" w:ascii="仿宋_GB2312" w:hAnsi="仿宋_GB2312" w:eastAsia="仿宋_GB2312" w:cs="仿宋_GB2312"/>
                <w:color w:val="auto"/>
                <w:spacing w:val="0"/>
                <w:kern w:val="0"/>
                <w:sz w:val="28"/>
                <w:szCs w:val="28"/>
                <w:highlight w:val="none"/>
                <w:lang w:eastAsia="en-US"/>
              </w:rPr>
              <w:t>农村环境整治任务，持续巩固整治成效，实现“三基本”。落实农村环境整治常态化摸排调研要求，对发现的问题，要及时组织核实整改。</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水务局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cs="仿宋_GB2312"/>
                <w:color w:val="auto"/>
                <w:spacing w:val="0"/>
                <w:kern w:val="0"/>
                <w:sz w:val="28"/>
                <w:szCs w:val="28"/>
                <w:highlight w:val="none"/>
                <w:lang w:val="en-US" w:eastAsia="zh-CN"/>
              </w:rPr>
              <w:t>城市管理</w:t>
            </w:r>
            <w:r>
              <w:rPr>
                <w:rFonts w:hint="eastAsia" w:ascii="仿宋_GB2312" w:hAnsi="仿宋_GB2312" w:eastAsia="仿宋_GB2312" w:cs="仿宋_GB2312"/>
                <w:color w:val="auto"/>
                <w:spacing w:val="0"/>
                <w:kern w:val="0"/>
                <w:sz w:val="28"/>
                <w:szCs w:val="28"/>
                <w:highlight w:val="none"/>
                <w:lang w:eastAsia="en-US"/>
              </w:rPr>
              <w:t>委</w:t>
            </w:r>
          </w:p>
        </w:tc>
        <w:tc>
          <w:tcPr>
            <w:tcW w:w="2220"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水务局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cs="仿宋_GB2312"/>
                <w:color w:val="auto"/>
                <w:spacing w:val="0"/>
                <w:kern w:val="0"/>
                <w:sz w:val="28"/>
                <w:szCs w:val="28"/>
                <w:highlight w:val="none"/>
                <w:lang w:val="en-US" w:eastAsia="zh-CN"/>
              </w:rPr>
              <w:t>城市管理</w:t>
            </w:r>
            <w:r>
              <w:rPr>
                <w:rFonts w:hint="eastAsia" w:ascii="仿宋_GB2312" w:hAnsi="仿宋_GB2312" w:eastAsia="仿宋_GB2312" w:cs="仿宋_GB2312"/>
                <w:color w:val="auto"/>
                <w:spacing w:val="0"/>
                <w:kern w:val="0"/>
                <w:sz w:val="28"/>
                <w:szCs w:val="28"/>
                <w:highlight w:val="none"/>
                <w:lang w:eastAsia="en-US"/>
              </w:rPr>
              <w:t>委</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强化农村黑臭水体治理。区生态环境局将市生态环境局反馈的疑似问题水体清单与区水务局、区农业农村局共享，区水务局负责组织推进河湖水系范围内、区农业农村局负责组织推进河湖水系范围外的农村黑臭水体治理。</w:t>
            </w:r>
          </w:p>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各相关部门建立闭环工作机制，组织排查问题线索，动态更新监管清单，制定治理方案，分级分类开展治理及成效自评，实施挂账销号，强化长效管护，对发现的问题组织整改，严防返黑返臭。</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区水务局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区农业农村局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2220"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区水务局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区农业农村局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相关镇</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val="en-US" w:eastAsia="zh-CN"/>
              </w:rPr>
              <w:t>区</w:t>
            </w:r>
            <w:r>
              <w:rPr>
                <w:rFonts w:hint="eastAsia" w:cs="仿宋_GB2312"/>
                <w:color w:val="auto"/>
                <w:spacing w:val="0"/>
                <w:kern w:val="0"/>
                <w:sz w:val="28"/>
                <w:szCs w:val="28"/>
                <w:highlight w:val="none"/>
                <w:lang w:val="en-US" w:eastAsia="zh-CN"/>
              </w:rPr>
              <w:t>城市管理</w:t>
            </w:r>
            <w:r>
              <w:rPr>
                <w:rFonts w:hint="eastAsia" w:ascii="仿宋_GB2312" w:hAnsi="仿宋_GB2312" w:eastAsia="仿宋_GB2312" w:cs="仿宋_GB2312"/>
                <w:color w:val="auto"/>
                <w:spacing w:val="0"/>
                <w:kern w:val="0"/>
                <w:sz w:val="28"/>
                <w:szCs w:val="28"/>
                <w:highlight w:val="none"/>
                <w:lang w:val="en-US" w:eastAsia="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59" w:type="dxa"/>
            <w:gridSpan w:val="7"/>
            <w:noWrap w:val="0"/>
            <w:vAlign w:val="center"/>
          </w:tcPr>
          <w:p>
            <w:pPr>
              <w:keepNext w:val="0"/>
              <w:keepLines w:val="0"/>
              <w:pageBreakBefore w:val="0"/>
              <w:kinsoku/>
              <w:wordWrap/>
              <w:overflowPunct/>
              <w:topLinePunct w:val="0"/>
              <w:autoSpaceDE/>
              <w:autoSpaceDN/>
              <w:bidi w:val="0"/>
              <w:adjustRightInd w:val="0"/>
              <w:snapToGrid w:val="0"/>
              <w:spacing w:line="320" w:lineRule="exact"/>
              <w:ind w:left="-110" w:leftChars="-50" w:right="-110" w:rightChars="-50"/>
              <w:jc w:val="center"/>
              <w:textAlignment w:val="auto"/>
              <w:outlineLvl w:val="9"/>
              <w:rPr>
                <w:rFonts w:ascii="宋体" w:hAnsi="宋体" w:cs="宋体"/>
                <w:szCs w:val="21"/>
              </w:rPr>
            </w:pPr>
            <w:r>
              <w:rPr>
                <w:rFonts w:hint="eastAsia" w:ascii="黑体" w:hAnsi="黑体" w:eastAsia="黑体" w:cs="黑体"/>
                <w:color w:val="auto"/>
                <w:spacing w:val="0"/>
                <w:kern w:val="0"/>
                <w:sz w:val="28"/>
                <w:szCs w:val="28"/>
                <w:highlight w:val="none"/>
                <w:lang w:eastAsia="en-US"/>
              </w:rPr>
              <w:t>四、持续完善未利用地保护管理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607"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10</w:t>
            </w:r>
          </w:p>
        </w:tc>
        <w:tc>
          <w:tcPr>
            <w:tcW w:w="1398"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完善未利用地闭合管控</w:t>
            </w: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更新未利用地地块管理台账，完善对未利用地的监督管理。</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市规划自然资源委密云分局</w:t>
            </w:r>
          </w:p>
        </w:tc>
        <w:tc>
          <w:tcPr>
            <w:tcW w:w="2220"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市规划自然资源委密云分局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相关镇街（地区）</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07"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11</w:t>
            </w:r>
          </w:p>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398"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防控未利用地土壤污染</w:t>
            </w:r>
          </w:p>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加强未利用地保护。组织对滩涂、沼泽等未利用地定期开展巡查，推进未利用地土壤环境监测。巡查检查、监测等发现</w:t>
            </w:r>
            <w:r>
              <w:rPr>
                <w:rFonts w:hint="eastAsia" w:cs="仿宋_GB2312"/>
                <w:color w:val="auto"/>
                <w:spacing w:val="0"/>
                <w:kern w:val="0"/>
                <w:sz w:val="28"/>
                <w:szCs w:val="28"/>
                <w:highlight w:val="none"/>
                <w:lang w:val="en-US" w:eastAsia="zh-CN"/>
              </w:rPr>
              <w:t>存在</w:t>
            </w:r>
            <w:r>
              <w:rPr>
                <w:rFonts w:hint="eastAsia" w:ascii="仿宋_GB2312" w:hAnsi="仿宋_GB2312" w:eastAsia="仿宋_GB2312" w:cs="仿宋_GB2312"/>
                <w:color w:val="auto"/>
                <w:spacing w:val="0"/>
                <w:kern w:val="0"/>
                <w:sz w:val="28"/>
                <w:szCs w:val="28"/>
                <w:highlight w:val="none"/>
                <w:lang w:val="en-US" w:eastAsia="zh-CN"/>
              </w:rPr>
              <w:t>土壤污染风险的，采取有效措施防控风险并控制开发利用。未利用地被污染的，督促土壤污染责任人清除污染、实施修复。</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市规划自然资源委密云分局</w:t>
            </w:r>
          </w:p>
        </w:tc>
        <w:tc>
          <w:tcPr>
            <w:tcW w:w="2220"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市规划自然资源委密云分局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相关镇街（地区）</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w:t>
            </w:r>
            <w:r>
              <w:rPr>
                <w:rFonts w:hint="eastAsia" w:cs="仿宋_GB2312"/>
                <w:color w:val="auto"/>
                <w:spacing w:val="0"/>
                <w:kern w:val="0"/>
                <w:sz w:val="28"/>
                <w:szCs w:val="28"/>
                <w:highlight w:val="none"/>
                <w:lang w:val="en-US" w:eastAsia="zh-CN"/>
              </w:rPr>
              <w:t>城市管理</w:t>
            </w:r>
            <w:r>
              <w:rPr>
                <w:rFonts w:hint="eastAsia" w:ascii="仿宋_GB2312" w:hAnsi="仿宋_GB2312" w:eastAsia="仿宋_GB2312" w:cs="仿宋_GB2312"/>
                <w:color w:val="auto"/>
                <w:spacing w:val="0"/>
                <w:kern w:val="0"/>
                <w:sz w:val="28"/>
                <w:szCs w:val="28"/>
                <w:highlight w:val="none"/>
                <w:lang w:val="en-US" w:eastAsia="zh-CN"/>
              </w:rPr>
              <w:t>委</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607"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39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督促原尾矿库运营、管理单位履行防治土壤污染的法定义务，完成一轮土壤污染隐患排查，存在隐患的及时采取措施。</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区国资委</w:t>
            </w:r>
          </w:p>
        </w:tc>
        <w:tc>
          <w:tcPr>
            <w:tcW w:w="2220"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区国资委</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w w:val="80"/>
                <w:kern w:val="0"/>
                <w:sz w:val="28"/>
                <w:szCs w:val="28"/>
                <w:highlight w:val="none"/>
                <w:lang w:val="en-US" w:eastAsia="zh-CN"/>
              </w:rPr>
            </w:pPr>
            <w:r>
              <w:rPr>
                <w:rFonts w:hint="eastAsia" w:ascii="仿宋_GB2312" w:hAnsi="仿宋_GB2312" w:eastAsia="仿宋_GB2312" w:cs="仿宋_GB2312"/>
                <w:color w:val="auto"/>
                <w:spacing w:val="0"/>
                <w:w w:val="80"/>
                <w:kern w:val="0"/>
                <w:sz w:val="28"/>
                <w:szCs w:val="28"/>
                <w:highlight w:val="none"/>
                <w:lang w:val="en-US" w:eastAsia="zh-CN"/>
              </w:rPr>
              <w:t>密云生态发展集团</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607"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39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建立健全原尾矿库地下水监测体系。督促云冶、首云等原尾矿库管理单位，规范设置地下水监测井，开展地下水水质监测。</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区国资委</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220"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区国资委</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lang w:val="en-US" w:eastAsia="zh-CN"/>
              </w:rPr>
            </w:pPr>
            <w:r>
              <w:rPr>
                <w:rFonts w:hint="eastAsia" w:ascii="仿宋_GB2312" w:hAnsi="仿宋_GB2312" w:eastAsia="仿宋_GB2312" w:cs="仿宋_GB2312"/>
                <w:color w:val="auto"/>
                <w:spacing w:val="0"/>
                <w:w w:val="80"/>
                <w:kern w:val="0"/>
                <w:sz w:val="28"/>
                <w:szCs w:val="28"/>
                <w:highlight w:val="none"/>
                <w:lang w:val="en-US" w:eastAsia="zh-CN"/>
              </w:rPr>
              <w:t>密云生态发展集团</w:t>
            </w:r>
            <w:r>
              <w:rPr>
                <w:rFonts w:hint="eastAsia" w:ascii="仿宋_GB2312" w:hAnsi="仿宋_GB2312" w:eastAsia="仿宋_GB2312" w:cs="仿宋_GB2312"/>
                <w:color w:val="auto"/>
                <w:spacing w:val="0"/>
                <w:kern w:val="0"/>
                <w:sz w:val="28"/>
                <w:szCs w:val="28"/>
                <w:highlight w:val="none"/>
                <w:lang w:val="en-US"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607"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398"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加强原尾矿库安全管理。按“一库一策”要求制定并落实有关安全管理措施，定期开展巡查和专项检查，汛期加密检查，防止发生溃坝、垮坝等可能污染土壤的事故。</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区国资委</w:t>
            </w:r>
          </w:p>
        </w:tc>
        <w:tc>
          <w:tcPr>
            <w:tcW w:w="2220"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区国资委</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w w:val="80"/>
                <w:kern w:val="0"/>
                <w:sz w:val="28"/>
                <w:szCs w:val="28"/>
                <w:highlight w:val="none"/>
                <w:lang w:val="en-US" w:eastAsia="zh-CN"/>
              </w:rPr>
              <w:t>密云生态发展集团</w:t>
            </w:r>
            <w:r>
              <w:rPr>
                <w:rFonts w:hint="eastAsia" w:ascii="仿宋_GB2312" w:hAnsi="仿宋_GB2312" w:eastAsia="仿宋_GB2312" w:cs="仿宋_GB2312"/>
                <w:color w:val="auto"/>
                <w:spacing w:val="0"/>
                <w:kern w:val="0"/>
                <w:sz w:val="28"/>
                <w:szCs w:val="28"/>
                <w:highlight w:val="none"/>
                <w:lang w:val="en-US"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市规划自然资源委密云分局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59" w:type="dxa"/>
            <w:gridSpan w:val="7"/>
            <w:noWrap w:val="0"/>
            <w:vAlign w:val="center"/>
          </w:tcPr>
          <w:p>
            <w:pPr>
              <w:keepNext w:val="0"/>
              <w:keepLines w:val="0"/>
              <w:pageBreakBefore w:val="0"/>
              <w:kinsoku/>
              <w:wordWrap/>
              <w:overflowPunct/>
              <w:topLinePunct w:val="0"/>
              <w:autoSpaceDE/>
              <w:autoSpaceDN/>
              <w:bidi w:val="0"/>
              <w:adjustRightInd w:val="0"/>
              <w:snapToGrid w:val="0"/>
              <w:spacing w:line="320" w:lineRule="exact"/>
              <w:ind w:left="-110" w:leftChars="-50" w:right="-110" w:rightChars="-50"/>
              <w:jc w:val="center"/>
              <w:textAlignment w:val="auto"/>
              <w:outlineLvl w:val="9"/>
              <w:rPr>
                <w:rFonts w:ascii="黑体" w:hAnsi="黑体" w:eastAsia="黑体" w:cs="黑体"/>
                <w:szCs w:val="21"/>
              </w:rPr>
            </w:pPr>
            <w:r>
              <w:rPr>
                <w:rFonts w:hint="eastAsia" w:ascii="黑体" w:hAnsi="黑体" w:eastAsia="黑体" w:cs="黑体"/>
                <w:color w:val="auto"/>
                <w:spacing w:val="0"/>
                <w:kern w:val="0"/>
                <w:sz w:val="28"/>
                <w:szCs w:val="28"/>
                <w:highlight w:val="none"/>
                <w:lang w:eastAsia="zh-CN"/>
              </w:rPr>
              <w:t>五</w:t>
            </w:r>
            <w:r>
              <w:rPr>
                <w:rFonts w:hint="eastAsia" w:ascii="黑体" w:hAnsi="黑体" w:eastAsia="黑体" w:cs="黑体"/>
                <w:color w:val="auto"/>
                <w:spacing w:val="0"/>
                <w:kern w:val="0"/>
                <w:sz w:val="28"/>
                <w:szCs w:val="28"/>
                <w:highlight w:val="none"/>
                <w:lang w:eastAsia="en-US"/>
              </w:rPr>
              <w:t>、加强固体废物管理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07"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12</w:t>
            </w:r>
          </w:p>
        </w:tc>
        <w:tc>
          <w:tcPr>
            <w:tcW w:w="1398"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提升危险废物收运处置能力</w:t>
            </w: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完善“小箱进大箱”等工作机制，健全小微医疗机构医废收运体系。</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区卫生健康委</w:t>
            </w:r>
          </w:p>
        </w:tc>
        <w:tc>
          <w:tcPr>
            <w:tcW w:w="2220"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区卫生健康委</w:t>
            </w:r>
          </w:p>
          <w:p>
            <w:pPr>
              <w:keepNext w:val="0"/>
              <w:keepLines w:val="0"/>
              <w:pageBreakBefore w:val="0"/>
              <w:widowControl/>
              <w:kinsoku/>
              <w:wordWrap/>
              <w:overflowPunct/>
              <w:topLinePunct w:val="0"/>
              <w:bidi w:val="0"/>
              <w:snapToGrid w:val="0"/>
              <w:spacing w:line="320" w:lineRule="exact"/>
              <w:jc w:val="center"/>
              <w:textAlignment w:val="auto"/>
              <w:rPr>
                <w:rFonts w:hint="eastAsia"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区城市管理委</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区交通局</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default" w:ascii="仿宋_GB2312" w:hAnsi="仿宋_GB2312" w:eastAsia="仿宋_GB2312" w:cs="仿宋_GB2312"/>
                <w:color w:val="auto"/>
                <w:spacing w:val="0"/>
                <w:kern w:val="0"/>
                <w:sz w:val="28"/>
                <w:szCs w:val="28"/>
                <w:highlight w:val="none"/>
                <w:lang w:val="en-US" w:eastAsia="zh-CN"/>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鼓励依托园区等危废暂存设施，开展服务小微产废单位的危废收集转运试点。</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220"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中关村密云园</w:t>
            </w:r>
          </w:p>
          <w:p>
            <w:pPr>
              <w:keepNext w:val="0"/>
              <w:keepLines w:val="0"/>
              <w:pageBreakBefore w:val="0"/>
              <w:widowControl/>
              <w:kinsoku/>
              <w:wordWrap/>
              <w:overflowPunct/>
              <w:topLinePunct w:val="0"/>
              <w:bidi w:val="0"/>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w:t>
            </w:r>
            <w:r>
              <w:rPr>
                <w:rFonts w:hint="eastAsia" w:cs="仿宋_GB2312"/>
                <w:color w:val="auto"/>
                <w:spacing w:val="0"/>
                <w:kern w:val="0"/>
                <w:sz w:val="28"/>
                <w:szCs w:val="28"/>
                <w:highlight w:val="none"/>
                <w:lang w:val="en-US" w:eastAsia="zh-CN"/>
              </w:rPr>
              <w:t>发展改革</w:t>
            </w:r>
            <w:r>
              <w:rPr>
                <w:rFonts w:hint="eastAsia" w:ascii="仿宋_GB2312" w:hAnsi="仿宋_GB2312" w:eastAsia="仿宋_GB2312" w:cs="仿宋_GB2312"/>
                <w:color w:val="auto"/>
                <w:spacing w:val="0"/>
                <w:kern w:val="0"/>
                <w:sz w:val="28"/>
                <w:szCs w:val="28"/>
                <w:highlight w:val="none"/>
                <w:lang w:val="en-US" w:eastAsia="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bidi="ar-SA"/>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开展危险废物规范化管理评估，对涉危废企业开展规范化管理排查、建立问题清单、提出整改意见、核查整改落实。</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2"/>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13</w:t>
            </w:r>
          </w:p>
        </w:tc>
        <w:tc>
          <w:tcPr>
            <w:tcW w:w="1398"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推动“无废城市”建设</w:t>
            </w: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落实《北京市密云区“十四五”时期“无废城市”建设实施方案》文件要求，持续推进“无废城市”建设。在农业领域，开展“无废农场”等“无废细胞”建设，推广农业绿色发展；在生活领域，实施重点行业减塑行动、规范建筑垃圾收集处置利用、创建“无废小区”“无废商超”等“无废细胞”，深入宣传无废理念；在工业领域，推进工业企业开展绿色生产、推动关停矿山开展绿色生态修复；在文旅领域，创建一批“无废旅游”示范单位、建设低碳旅游示范基地、发展绿色智慧旅游，促进文旅产业发展。</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220"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环境污染防治工作小组成员单位</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14</w:t>
            </w:r>
          </w:p>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398"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lang w:val="en-US" w:eastAsia="zh-CN"/>
              </w:rPr>
              <w:t>加强新污染物治理</w:t>
            </w: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完成2025年度化学物质环境信息统计调查工作。</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3月底</w:t>
            </w:r>
          </w:p>
        </w:tc>
        <w:tc>
          <w:tcPr>
            <w:tcW w:w="4155" w:type="dxa"/>
            <w:gridSpan w:val="2"/>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规范抗生素类药品使用管理。加强抗菌药物临床应用管理，开展抗菌药物及细菌耐药</w:t>
            </w:r>
            <w:r>
              <w:rPr>
                <w:rFonts w:hint="eastAsia" w:cs="仿宋_GB2312"/>
                <w:color w:val="auto"/>
                <w:spacing w:val="0"/>
                <w:kern w:val="0"/>
                <w:sz w:val="28"/>
                <w:szCs w:val="28"/>
                <w:highlight w:val="none"/>
                <w:lang w:val="en-US" w:eastAsia="zh-CN"/>
              </w:rPr>
              <w:t>性</w:t>
            </w:r>
            <w:r>
              <w:rPr>
                <w:rFonts w:hint="eastAsia" w:ascii="仿宋_GB2312" w:hAnsi="仿宋_GB2312" w:eastAsia="仿宋_GB2312" w:cs="仿宋_GB2312"/>
                <w:color w:val="auto"/>
                <w:spacing w:val="0"/>
                <w:kern w:val="0"/>
                <w:sz w:val="28"/>
                <w:szCs w:val="28"/>
                <w:highlight w:val="none"/>
                <w:lang w:val="en-US" w:eastAsia="zh-CN"/>
              </w:rPr>
              <w:t>监测；严格落实零售药店凭处方销售处方药类抗菌药物。</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2"/>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区卫生健康委</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区市场监管局</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实施兽用抗菌药使用减量化行动；开展兽药质量监督抽检、动物源细菌耐药性监测；强化兽药使用监督管理，提升养殖环节规范用药水平。</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2"/>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区农业农村局</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严格管控具有环境持久性、生物累积性等特性的高毒高风险农药及助剂。推广应用高效低风险农药，稳步推进高毒高风险农药淘汰和替代。开展农药使用风险隐患排查，提高使用者科学安全用药意识和水平。</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2"/>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区农业农村局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区园林绿化局</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持续推进涉优先控制化学品、重点管控新污染物企业全面实施强制清洁生产审核。组织开展涉优先控制化学品、重点管控新污染物企业以及新化学物质环境管理登记</w:t>
            </w:r>
            <w:r>
              <w:rPr>
                <w:rFonts w:hint="eastAsia" w:cs="仿宋_GB2312"/>
                <w:color w:val="auto"/>
                <w:spacing w:val="0"/>
                <w:kern w:val="0"/>
                <w:sz w:val="28"/>
                <w:szCs w:val="28"/>
                <w:highlight w:val="none"/>
                <w:lang w:val="en-US" w:eastAsia="zh-CN"/>
              </w:rPr>
              <w:t>专项</w:t>
            </w:r>
            <w:r>
              <w:rPr>
                <w:rFonts w:hint="eastAsia" w:ascii="仿宋_GB2312" w:hAnsi="仿宋_GB2312" w:eastAsia="仿宋_GB2312" w:cs="仿宋_GB2312"/>
                <w:color w:val="auto"/>
                <w:spacing w:val="0"/>
                <w:kern w:val="0"/>
                <w:sz w:val="28"/>
                <w:szCs w:val="28"/>
                <w:highlight w:val="none"/>
                <w:lang w:val="en-US" w:eastAsia="zh-CN"/>
              </w:rPr>
              <w:t>执法检查。探索开展重点管控新污染物环境风险管控措施落实情况跨部门联合检查。</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2"/>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区市场监管局</w:t>
            </w:r>
          </w:p>
          <w:p>
            <w:pPr>
              <w:keepNext w:val="0"/>
              <w:keepLines w:val="0"/>
              <w:pageBreakBefore w:val="0"/>
              <w:widowControl/>
              <w:kinsoku/>
              <w:wordWrap/>
              <w:overflowPunct/>
              <w:topLinePunct w:val="0"/>
              <w:bidi w:val="0"/>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区住房城乡建设委</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区农业农村局</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default" w:ascii="仿宋_GB2312" w:hAnsi="仿宋_GB2312" w:eastAsia="仿宋_GB2312" w:cs="仿宋_GB2312"/>
                <w:color w:val="auto"/>
                <w:spacing w:val="0"/>
                <w:kern w:val="0"/>
                <w:sz w:val="28"/>
                <w:szCs w:val="28"/>
                <w:highlight w:val="none"/>
                <w:lang w:val="en-US" w:eastAsia="zh-CN"/>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配合市市场监管局加强产品新污染物含量检测。配合市市场监管局开展学生用品产品质量监督抽查，依据《学生用品的安全通用要求》（GB21027-2020）强制性国家标准，对修正液、修正带等产品</w:t>
            </w:r>
            <w:r>
              <w:rPr>
                <w:rFonts w:hint="eastAsia" w:cs="仿宋_GB2312"/>
                <w:color w:val="auto"/>
                <w:spacing w:val="0"/>
                <w:kern w:val="0"/>
                <w:sz w:val="28"/>
                <w:szCs w:val="28"/>
                <w:highlight w:val="none"/>
                <w:lang w:val="en-US" w:eastAsia="zh-CN"/>
              </w:rPr>
              <w:t>中的</w:t>
            </w:r>
            <w:r>
              <w:rPr>
                <w:rFonts w:hint="eastAsia" w:ascii="仿宋_GB2312" w:hAnsi="仿宋_GB2312" w:eastAsia="仿宋_GB2312" w:cs="仿宋_GB2312"/>
                <w:color w:val="auto"/>
                <w:spacing w:val="0"/>
                <w:kern w:val="0"/>
                <w:sz w:val="28"/>
                <w:szCs w:val="28"/>
                <w:highlight w:val="none"/>
                <w:lang w:val="en-US" w:eastAsia="zh-CN"/>
              </w:rPr>
              <w:t>氯代烃等有害物质</w:t>
            </w:r>
            <w:r>
              <w:rPr>
                <w:rFonts w:hint="eastAsia" w:cs="仿宋_GB2312"/>
                <w:color w:val="auto"/>
                <w:spacing w:val="0"/>
                <w:kern w:val="0"/>
                <w:sz w:val="28"/>
                <w:szCs w:val="28"/>
                <w:highlight w:val="none"/>
                <w:lang w:val="en-US" w:eastAsia="zh-CN"/>
              </w:rPr>
              <w:t>进行</w:t>
            </w:r>
            <w:r>
              <w:rPr>
                <w:rFonts w:hint="eastAsia" w:ascii="仿宋_GB2312" w:hAnsi="仿宋_GB2312" w:eastAsia="仿宋_GB2312" w:cs="仿宋_GB2312"/>
                <w:color w:val="auto"/>
                <w:spacing w:val="0"/>
                <w:kern w:val="0"/>
                <w:sz w:val="28"/>
                <w:szCs w:val="28"/>
                <w:highlight w:val="none"/>
                <w:lang w:val="en-US" w:eastAsia="zh-CN"/>
              </w:rPr>
              <w:t>限量检测，对抽查发现的不合格产品依法进行处理。</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2"/>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区市场监管局</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59" w:type="dxa"/>
            <w:gridSpan w:val="7"/>
            <w:noWrap w:val="0"/>
            <w:vAlign w:val="center"/>
          </w:tcPr>
          <w:p>
            <w:pPr>
              <w:keepNext w:val="0"/>
              <w:keepLines w:val="0"/>
              <w:pageBreakBefore w:val="0"/>
              <w:kinsoku/>
              <w:wordWrap/>
              <w:overflowPunct/>
              <w:topLinePunct w:val="0"/>
              <w:autoSpaceDE/>
              <w:autoSpaceDN/>
              <w:bidi w:val="0"/>
              <w:adjustRightInd w:val="0"/>
              <w:snapToGrid w:val="0"/>
              <w:spacing w:line="320" w:lineRule="exact"/>
              <w:ind w:left="-110" w:leftChars="-50" w:right="-110" w:rightChars="-50"/>
              <w:jc w:val="center"/>
              <w:textAlignment w:val="auto"/>
              <w:outlineLvl w:val="9"/>
              <w:rPr>
                <w:rFonts w:ascii="宋体" w:hAnsi="宋体" w:cs="宋体"/>
                <w:szCs w:val="21"/>
              </w:rPr>
            </w:pPr>
            <w:r>
              <w:rPr>
                <w:rFonts w:hint="eastAsia" w:ascii="黑体" w:hAnsi="黑体" w:eastAsia="黑体" w:cs="黑体"/>
                <w:color w:val="auto"/>
                <w:spacing w:val="0"/>
                <w:kern w:val="0"/>
                <w:sz w:val="28"/>
                <w:szCs w:val="28"/>
                <w:highlight w:val="none"/>
                <w:lang w:eastAsia="zh-CN"/>
              </w:rPr>
              <w:t>六</w:t>
            </w:r>
            <w:r>
              <w:rPr>
                <w:rFonts w:hint="eastAsia" w:ascii="黑体" w:hAnsi="黑体" w:eastAsia="黑体" w:cs="黑体"/>
                <w:color w:val="auto"/>
                <w:spacing w:val="0"/>
                <w:kern w:val="0"/>
                <w:sz w:val="28"/>
                <w:szCs w:val="28"/>
                <w:highlight w:val="none"/>
                <w:lang w:eastAsia="en-US"/>
              </w:rPr>
              <w:t>、完善土壤污染防治体系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607"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15</w:t>
            </w:r>
          </w:p>
        </w:tc>
        <w:tc>
          <w:tcPr>
            <w:tcW w:w="1398" w:type="dxa"/>
            <w:vMerge w:val="restart"/>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完善管理体系</w:t>
            </w: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共享土壤污染防治信息。涉及用途变更为住宅</w:t>
            </w:r>
            <w:r>
              <w:rPr>
                <w:rFonts w:hint="eastAsia" w:cs="仿宋_GB2312"/>
                <w:color w:val="auto"/>
                <w:spacing w:val="0"/>
                <w:kern w:val="0"/>
                <w:sz w:val="28"/>
                <w:szCs w:val="28"/>
                <w:highlight w:val="none"/>
                <w:lang w:val="en-US" w:eastAsia="zh-CN"/>
              </w:rPr>
              <w:t>或</w:t>
            </w:r>
            <w:r>
              <w:rPr>
                <w:rFonts w:hint="eastAsia" w:ascii="仿宋_GB2312" w:hAnsi="仿宋_GB2312" w:eastAsia="仿宋_GB2312" w:cs="仿宋_GB2312"/>
                <w:color w:val="auto"/>
                <w:spacing w:val="0"/>
                <w:kern w:val="0"/>
                <w:sz w:val="28"/>
                <w:szCs w:val="28"/>
                <w:highlight w:val="none"/>
                <w:lang w:val="en-US" w:eastAsia="zh-CN"/>
              </w:rPr>
              <w:t>公共管理与公共服务用地的、重点行业企业生产经营用地用途变更或者土地使用权收回</w:t>
            </w:r>
            <w:r>
              <w:rPr>
                <w:rFonts w:hint="eastAsia" w:cs="仿宋_GB2312"/>
                <w:color w:val="auto"/>
                <w:spacing w:val="0"/>
                <w:kern w:val="0"/>
                <w:sz w:val="28"/>
                <w:szCs w:val="28"/>
                <w:highlight w:val="none"/>
                <w:lang w:val="en-US" w:eastAsia="zh-CN"/>
              </w:rPr>
              <w:t>及</w:t>
            </w:r>
            <w:r>
              <w:rPr>
                <w:rFonts w:hint="eastAsia" w:ascii="仿宋_GB2312" w:hAnsi="仿宋_GB2312" w:eastAsia="仿宋_GB2312" w:cs="仿宋_GB2312"/>
                <w:color w:val="auto"/>
                <w:spacing w:val="0"/>
                <w:kern w:val="0"/>
                <w:sz w:val="28"/>
                <w:szCs w:val="28"/>
                <w:highlight w:val="none"/>
                <w:lang w:val="en-US" w:eastAsia="zh-CN"/>
              </w:rPr>
              <w:t>转让的，共享相关信息。</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2"/>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市规划自然资源委密云分局</w:t>
            </w:r>
          </w:p>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7"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default" w:ascii="仿宋_GB2312" w:hAnsi="仿宋_GB2312" w:eastAsia="仿宋_GB2312" w:cs="仿宋_GB2312"/>
                <w:color w:val="auto"/>
                <w:spacing w:val="0"/>
                <w:kern w:val="0"/>
                <w:sz w:val="28"/>
                <w:szCs w:val="28"/>
                <w:highlight w:val="none"/>
                <w:lang w:val="en-US" w:eastAsia="zh-CN"/>
              </w:rPr>
            </w:pPr>
          </w:p>
        </w:tc>
        <w:tc>
          <w:tcPr>
            <w:tcW w:w="1398" w:type="dxa"/>
            <w:vMerge w:val="continue"/>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rPr>
              <w:t>按季度开展</w:t>
            </w:r>
            <w:r>
              <w:rPr>
                <w:rFonts w:hint="eastAsia" w:ascii="仿宋_GB2312" w:hAnsi="仿宋_GB2312" w:eastAsia="仿宋_GB2312" w:cs="仿宋_GB2312"/>
                <w:color w:val="auto"/>
                <w:spacing w:val="0"/>
                <w:kern w:val="0"/>
                <w:sz w:val="28"/>
                <w:szCs w:val="28"/>
                <w:highlight w:val="none"/>
                <w:lang w:val="en-US" w:eastAsia="zh-CN"/>
              </w:rPr>
              <w:t>部门</w:t>
            </w:r>
            <w:r>
              <w:rPr>
                <w:rFonts w:hint="eastAsia" w:ascii="仿宋_GB2312" w:hAnsi="仿宋_GB2312" w:eastAsia="仿宋_GB2312" w:cs="仿宋_GB2312"/>
                <w:color w:val="auto"/>
                <w:spacing w:val="0"/>
                <w:kern w:val="0"/>
                <w:sz w:val="28"/>
                <w:szCs w:val="28"/>
                <w:highlight w:val="none"/>
              </w:rPr>
              <w:t>评价。依据《土壤污染治理效果评价办法（试行）》，从土壤改良及监测达标、重点任务落实情况、推动提高绿色发展水平三方面，按季度评价</w:t>
            </w:r>
            <w:r>
              <w:rPr>
                <w:rFonts w:hint="eastAsia" w:ascii="仿宋_GB2312" w:hAnsi="仿宋_GB2312" w:eastAsia="仿宋_GB2312" w:cs="仿宋_GB2312"/>
                <w:color w:val="auto"/>
                <w:spacing w:val="0"/>
                <w:kern w:val="0"/>
                <w:sz w:val="28"/>
                <w:szCs w:val="28"/>
                <w:highlight w:val="none"/>
                <w:lang w:val="en-US" w:eastAsia="zh-CN"/>
              </w:rPr>
              <w:t>各相关部门</w:t>
            </w:r>
            <w:r>
              <w:rPr>
                <w:rFonts w:hint="eastAsia" w:ascii="仿宋_GB2312" w:hAnsi="仿宋_GB2312" w:eastAsia="仿宋_GB2312" w:cs="仿宋_GB2312"/>
                <w:color w:val="auto"/>
                <w:spacing w:val="0"/>
                <w:kern w:val="0"/>
                <w:sz w:val="28"/>
                <w:szCs w:val="28"/>
                <w:highlight w:val="none"/>
              </w:rPr>
              <w:t>土壤污染治理效果。</w:t>
            </w:r>
          </w:p>
        </w:tc>
        <w:tc>
          <w:tcPr>
            <w:tcW w:w="109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220"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环境污染防控工作小组成员单位</w:t>
            </w:r>
          </w:p>
        </w:tc>
        <w:tc>
          <w:tcPr>
            <w:tcW w:w="2559" w:type="dxa"/>
            <w:noWrap w:val="0"/>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bl>
    <w:p>
      <w:pPr>
        <w:pStyle w:val="3"/>
        <w:rPr>
          <w:rFonts w:hint="eastAsia"/>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p>
    <w:p>
      <w:pPr>
        <w:pStyle w:val="3"/>
        <w:keepNext w:val="0"/>
        <w:keepLines w:val="0"/>
        <w:pageBreakBefore w:val="0"/>
        <w:kinsoku/>
        <w:wordWrap/>
        <w:overflowPunct/>
        <w:topLinePunct w:val="0"/>
        <w:autoSpaceDN/>
        <w:bidi w:val="0"/>
        <w:snapToGrid w:val="0"/>
        <w:spacing w:line="240" w:lineRule="auto"/>
        <w:jc w:val="both"/>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附件4</w:t>
      </w:r>
    </w:p>
    <w:p>
      <w:pPr>
        <w:keepNext w:val="0"/>
        <w:keepLines w:val="0"/>
        <w:pageBreakBefore w:val="0"/>
        <w:widowControl w:val="0"/>
        <w:kinsoku/>
        <w:wordWrap/>
        <w:overflowPunct/>
        <w:topLinePunct w:val="0"/>
        <w:autoSpaceDE w:val="0"/>
        <w:autoSpaceDN/>
        <w:bidi w:val="0"/>
        <w:snapToGrid w:val="0"/>
        <w:spacing w:before="0" w:after="0" w:line="240" w:lineRule="auto"/>
        <w:ind w:left="0" w:right="0"/>
        <w:jc w:val="center"/>
        <w:rPr>
          <w:rFonts w:hint="eastAsia" w:ascii="方正小标宋简体" w:hAnsi="方正小标宋简体" w:eastAsia="方正小标宋简体" w:cs="方正小标宋简体"/>
          <w:color w:val="auto"/>
          <w:spacing w:val="0"/>
          <w:sz w:val="44"/>
          <w:szCs w:val="44"/>
          <w:lang w:val="en-US" w:eastAsia="zh-CN" w:bidi="ar-SA"/>
        </w:rPr>
      </w:pPr>
      <w:r>
        <w:rPr>
          <w:rFonts w:hint="eastAsia" w:ascii="方正小标宋简体" w:hAnsi="方正小标宋简体" w:eastAsia="方正小标宋简体" w:cs="方正小标宋简体"/>
          <w:color w:val="auto"/>
          <w:spacing w:val="0"/>
          <w:sz w:val="44"/>
          <w:szCs w:val="44"/>
          <w:lang w:val="en-US" w:eastAsia="zh-CN" w:bidi="ar-SA"/>
        </w:rPr>
        <w:t>北京市密云区应对气候变化</w:t>
      </w:r>
      <w:r>
        <w:rPr>
          <w:rFonts w:hint="eastAsia" w:ascii="方正小标宋简体" w:hAnsi="方正小标宋简体" w:eastAsia="方正小标宋简体" w:cs="方正小标宋简体"/>
          <w:color w:val="auto"/>
          <w:spacing w:val="0"/>
          <w:sz w:val="44"/>
          <w:szCs w:val="44"/>
          <w:lang w:val="en-US" w:eastAsia="en-US" w:bidi="ar-SA"/>
        </w:rPr>
        <w:t>202</w:t>
      </w:r>
      <w:r>
        <w:rPr>
          <w:rFonts w:hint="eastAsia" w:ascii="方正小标宋简体" w:hAnsi="方正小标宋简体" w:eastAsia="方正小标宋简体" w:cs="方正小标宋简体"/>
          <w:color w:val="auto"/>
          <w:spacing w:val="0"/>
          <w:sz w:val="44"/>
          <w:szCs w:val="44"/>
          <w:lang w:val="en" w:eastAsia="zh-CN" w:bidi="ar-SA"/>
        </w:rPr>
        <w:t>5</w:t>
      </w:r>
      <w:r>
        <w:rPr>
          <w:rFonts w:hint="eastAsia" w:ascii="方正小标宋简体" w:hAnsi="方正小标宋简体" w:eastAsia="方正小标宋简体" w:cs="方正小标宋简体"/>
          <w:color w:val="auto"/>
          <w:spacing w:val="0"/>
          <w:sz w:val="44"/>
          <w:szCs w:val="44"/>
          <w:lang w:val="en-US" w:eastAsia="en-US" w:bidi="ar-SA"/>
        </w:rPr>
        <w:t>年</w:t>
      </w:r>
      <w:r>
        <w:rPr>
          <w:rFonts w:hint="eastAsia" w:ascii="方正小标宋简体" w:hAnsi="方正小标宋简体" w:eastAsia="方正小标宋简体" w:cs="方正小标宋简体"/>
          <w:color w:val="auto"/>
          <w:spacing w:val="0"/>
          <w:sz w:val="44"/>
          <w:szCs w:val="44"/>
          <w:lang w:val="en-US" w:eastAsia="zh-CN" w:bidi="ar-SA"/>
        </w:rPr>
        <w:t>行动计划</w:t>
      </w:r>
    </w:p>
    <w:tbl>
      <w:tblPr>
        <w:tblStyle w:val="11"/>
        <w:tblW w:w="14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80"/>
        <w:gridCol w:w="5782"/>
        <w:gridCol w:w="937"/>
        <w:gridCol w:w="2123"/>
        <w:gridCol w:w="3"/>
        <w:gridCol w:w="2047"/>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40" w:type="dxa"/>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序号</w:t>
            </w:r>
          </w:p>
        </w:tc>
        <w:tc>
          <w:tcPr>
            <w:tcW w:w="1080" w:type="dxa"/>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重点</w:t>
            </w:r>
          </w:p>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任务</w:t>
            </w:r>
          </w:p>
        </w:tc>
        <w:tc>
          <w:tcPr>
            <w:tcW w:w="5782" w:type="dxa"/>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工作措施</w:t>
            </w:r>
          </w:p>
        </w:tc>
        <w:tc>
          <w:tcPr>
            <w:tcW w:w="937" w:type="dxa"/>
            <w:tcBorders>
              <w:tl2br w:val="nil"/>
              <w:tr2bl w:val="nil"/>
            </w:tcBorders>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完成</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时限</w:t>
            </w:r>
          </w:p>
        </w:tc>
        <w:tc>
          <w:tcPr>
            <w:tcW w:w="2126"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牵头部门</w:t>
            </w:r>
          </w:p>
        </w:tc>
        <w:tc>
          <w:tcPr>
            <w:tcW w:w="2047" w:type="dxa"/>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主责单位</w:t>
            </w:r>
          </w:p>
        </w:tc>
        <w:tc>
          <w:tcPr>
            <w:tcW w:w="2330"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42" w:type="dxa"/>
            <w:gridSpan w:val="8"/>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b/>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1</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温室气体排放控制目标</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i w:val="0"/>
                <w:caps w:val="0"/>
                <w:color w:val="auto"/>
                <w:spacing w:val="0"/>
                <w:kern w:val="0"/>
                <w:sz w:val="28"/>
                <w:szCs w:val="28"/>
                <w:highlight w:val="none"/>
                <w:lang w:val="en-US" w:eastAsia="en-US" w:bidi="ar"/>
              </w:rPr>
              <w:t>全区碳排放强度累计下降、碳排放总量控制目标达到市级要求</w:t>
            </w:r>
            <w:r>
              <w:rPr>
                <w:rFonts w:hint="eastAsia" w:ascii="仿宋_GB2312" w:hAnsi="仿宋_GB2312" w:eastAsia="仿宋_GB2312" w:cs="仿宋_GB2312"/>
                <w:i w:val="0"/>
                <w:caps w:val="0"/>
                <w:color w:val="auto"/>
                <w:spacing w:val="0"/>
                <w:kern w:val="0"/>
                <w:sz w:val="28"/>
                <w:szCs w:val="28"/>
                <w:highlight w:val="none"/>
                <w:lang w:val="en-US" w:eastAsia="zh-CN" w:bidi="ar"/>
              </w:rPr>
              <w:t>。</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区住房城乡建设委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42" w:type="dxa"/>
            <w:gridSpan w:val="8"/>
            <w:tcBorders>
              <w:tl2br w:val="nil"/>
              <w:tr2bl w:val="nil"/>
            </w:tcBorders>
            <w:vAlign w:val="center"/>
          </w:tcPr>
          <w:p>
            <w:pPr>
              <w:keepNext w:val="0"/>
              <w:keepLines w:val="0"/>
              <w:pageBreakBefore w:val="0"/>
              <w:widowControl w:val="0"/>
              <w:tabs>
                <w:tab w:val="left" w:pos="10459"/>
              </w:tabs>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二、完善应对气候变化综合管理体系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2</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构建碳达峰碳中和体系</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jc w:val="left"/>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b w:val="0"/>
                <w:bCs w:val="0"/>
                <w:color w:val="auto"/>
                <w:kern w:val="0"/>
                <w:sz w:val="28"/>
                <w:szCs w:val="28"/>
                <w:highlight w:val="none"/>
                <w:lang w:eastAsia="zh-CN"/>
              </w:rPr>
              <w:t>深化落实</w:t>
            </w:r>
            <w:r>
              <w:rPr>
                <w:rFonts w:hint="eastAsia" w:ascii="仿宋_GB2312" w:hAnsi="仿宋_GB2312" w:eastAsia="仿宋_GB2312" w:cs="仿宋_GB2312"/>
                <w:b w:val="0"/>
                <w:bCs w:val="0"/>
                <w:color w:val="auto"/>
                <w:kern w:val="0"/>
                <w:sz w:val="28"/>
                <w:szCs w:val="28"/>
                <w:highlight w:val="none"/>
                <w:lang w:eastAsia="en-US"/>
              </w:rPr>
              <w:t>《</w:t>
            </w:r>
            <w:r>
              <w:rPr>
                <w:rFonts w:hint="eastAsia" w:ascii="仿宋_GB2312" w:hAnsi="仿宋_GB2312" w:eastAsia="仿宋_GB2312" w:cs="仿宋_GB2312"/>
                <w:b w:val="0"/>
                <w:bCs w:val="0"/>
                <w:color w:val="auto"/>
                <w:kern w:val="0"/>
                <w:sz w:val="28"/>
                <w:szCs w:val="28"/>
                <w:highlight w:val="none"/>
                <w:lang w:val="en-US" w:eastAsia="zh-CN"/>
              </w:rPr>
              <w:t>北京市</w:t>
            </w:r>
            <w:r>
              <w:rPr>
                <w:rFonts w:hint="eastAsia" w:ascii="仿宋_GB2312" w:hAnsi="仿宋_GB2312" w:eastAsia="仿宋_GB2312" w:cs="仿宋_GB2312"/>
                <w:b w:val="0"/>
                <w:bCs w:val="0"/>
                <w:color w:val="auto"/>
                <w:kern w:val="0"/>
                <w:sz w:val="28"/>
                <w:szCs w:val="28"/>
                <w:highlight w:val="none"/>
                <w:lang w:eastAsia="en-US"/>
              </w:rPr>
              <w:t>密云区碳达峰实施方案》</w:t>
            </w:r>
            <w:r>
              <w:rPr>
                <w:rFonts w:hint="eastAsia" w:ascii="仿宋_GB2312" w:hAnsi="仿宋_GB2312" w:eastAsia="仿宋_GB2312" w:cs="仿宋_GB2312"/>
                <w:b w:val="0"/>
                <w:bCs w:val="0"/>
                <w:color w:val="auto"/>
                <w:kern w:val="0"/>
                <w:sz w:val="28"/>
                <w:szCs w:val="28"/>
                <w:highlight w:val="none"/>
                <w:lang w:eastAsia="zh-CN"/>
              </w:rPr>
              <w:t>。</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长期</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实施</w:t>
            </w:r>
          </w:p>
        </w:tc>
        <w:tc>
          <w:tcPr>
            <w:tcW w:w="2126" w:type="dxa"/>
            <w:gridSpan w:val="2"/>
            <w:tcBorders>
              <w:right w:val="single" w:color="000000"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047" w:type="dxa"/>
            <w:tcBorders>
              <w:left w:val="single" w:color="000000"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区商务局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区机关事务管理服务中心</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穆家峪镇政府</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spacing w:val="-28"/>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中关村密云园管委会</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28"/>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区住房城乡建设委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区委组织部</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区园林绿化局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区科委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区统计局</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cs="仿宋_GB2312"/>
                <w:color w:val="auto"/>
                <w:spacing w:val="0"/>
                <w:kern w:val="0"/>
                <w:sz w:val="28"/>
                <w:szCs w:val="28"/>
                <w:highlight w:val="none"/>
                <w:lang w:val="en-US" w:eastAsia="zh-CN"/>
              </w:rPr>
              <w:t>2</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构建碳达峰碳中和体系</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配合市级部门开展碳排放控制目标和双控制度体系研究。</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default" w:ascii="仿宋_GB2312" w:hAnsi="仿宋_GB2312" w:eastAsia="仿宋_GB2312" w:cs="仿宋_GB2312"/>
                <w:color w:val="auto"/>
                <w:kern w:val="0"/>
                <w:sz w:val="28"/>
                <w:szCs w:val="28"/>
                <w:highlight w:val="none"/>
                <w:lang w:eastAsia="en-US"/>
              </w:rPr>
            </w:pPr>
            <w:r>
              <w:rPr>
                <w:rFonts w:hint="eastAsia" w:ascii="仿宋_GB2312" w:hAnsi="仿宋_GB2312" w:eastAsia="仿宋_GB2312" w:cs="仿宋_GB2312"/>
                <w:color w:val="auto"/>
                <w:kern w:val="0"/>
                <w:sz w:val="28"/>
                <w:szCs w:val="28"/>
                <w:highlight w:val="none"/>
                <w:lang w:val="en-US" w:eastAsia="zh-CN"/>
              </w:rPr>
              <w:t>在建设项目环境影响评价中开展碳排放核算评价，严格控制新建项目碳排放水平。将碳排放管控要求纳入全区重点用能单位管理要求，推动全区重点用能和碳排放单位落实节能降碳管理要求。</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kern w:val="0"/>
                <w:sz w:val="28"/>
                <w:szCs w:val="28"/>
                <w:highlight w:val="none"/>
                <w:lang w:val="en-US" w:eastAsia="zh-CN"/>
              </w:rPr>
              <w:t>推动重点碳排放单位建立碳排放管理架构，强化岗位管理责任、完善报告制度、鼓励主动披露碳排放信息。</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2"/>
                <w:szCs w:val="22"/>
                <w:highlight w:val="none"/>
                <w:lang w:val="en-US" w:eastAsia="zh-CN"/>
              </w:rPr>
            </w:pP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区国资委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区卫生健康委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中关村密云园</w:t>
            </w:r>
            <w:r>
              <w:rPr>
                <w:rFonts w:hint="eastAsia" w:cs="仿宋_GB2312"/>
                <w:color w:val="auto"/>
                <w:spacing w:val="-17"/>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cs="仿宋_GB2312"/>
                <w:color w:val="auto"/>
                <w:spacing w:val="0"/>
                <w:kern w:val="0"/>
                <w:sz w:val="28"/>
                <w:szCs w:val="28"/>
                <w:highlight w:val="none"/>
                <w:lang w:val="en-US" w:eastAsia="zh-CN"/>
              </w:rPr>
              <w:t>3</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落实</w:t>
            </w:r>
            <w:r>
              <w:rPr>
                <w:rFonts w:hint="eastAsia" w:ascii="仿宋_GB2312" w:hAnsi="仿宋_GB2312" w:eastAsia="仿宋_GB2312" w:cs="仿宋_GB2312"/>
                <w:color w:val="auto"/>
                <w:kern w:val="0"/>
                <w:sz w:val="28"/>
                <w:szCs w:val="28"/>
                <w:highlight w:val="none"/>
                <w:lang w:eastAsia="en-US"/>
              </w:rPr>
              <w:t>碳排放权交易市场</w:t>
            </w:r>
            <w:r>
              <w:rPr>
                <w:rFonts w:hint="eastAsia" w:ascii="仿宋_GB2312" w:hAnsi="仿宋_GB2312" w:eastAsia="仿宋_GB2312" w:cs="仿宋_GB2312"/>
                <w:color w:val="auto"/>
                <w:kern w:val="0"/>
                <w:sz w:val="28"/>
                <w:szCs w:val="28"/>
                <w:highlight w:val="none"/>
                <w:lang w:val="en-US" w:eastAsia="zh-CN"/>
              </w:rPr>
              <w:t>制度</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配合市局部门开展年度碳排放权交易工作，确定重点排放单位</w:t>
            </w:r>
            <w:r>
              <w:rPr>
                <w:rFonts w:hint="eastAsia" w:ascii="仿宋_GB2312" w:hAnsi="仿宋_GB2312" w:eastAsia="仿宋_GB2312" w:cs="仿宋_GB2312"/>
                <w:color w:val="auto"/>
                <w:kern w:val="0"/>
                <w:sz w:val="28"/>
                <w:szCs w:val="28"/>
                <w:highlight w:val="none"/>
                <w:lang w:val="en-US" w:eastAsia="zh-CN"/>
              </w:rPr>
              <w:t>和一般报告单位</w:t>
            </w:r>
            <w:r>
              <w:rPr>
                <w:rFonts w:hint="eastAsia" w:ascii="仿宋_GB2312" w:hAnsi="仿宋_GB2312" w:eastAsia="仿宋_GB2312" w:cs="仿宋_GB2312"/>
                <w:color w:val="auto"/>
                <w:kern w:val="0"/>
                <w:sz w:val="28"/>
                <w:szCs w:val="28"/>
                <w:highlight w:val="none"/>
                <w:lang w:eastAsia="zh-CN"/>
              </w:rPr>
              <w:t>名单，督促</w:t>
            </w:r>
            <w:r>
              <w:rPr>
                <w:rFonts w:hint="eastAsia" w:ascii="仿宋_GB2312" w:hAnsi="仿宋_GB2312" w:eastAsia="仿宋_GB2312" w:cs="仿宋_GB2312"/>
                <w:color w:val="auto"/>
                <w:kern w:val="0"/>
                <w:sz w:val="28"/>
                <w:szCs w:val="28"/>
                <w:highlight w:val="none"/>
                <w:lang w:val="en-US" w:eastAsia="zh-CN"/>
              </w:rPr>
              <w:t>按时</w:t>
            </w:r>
            <w:r>
              <w:rPr>
                <w:rFonts w:hint="eastAsia" w:ascii="仿宋_GB2312" w:hAnsi="仿宋_GB2312" w:eastAsia="仿宋_GB2312" w:cs="仿宋_GB2312"/>
                <w:color w:val="auto"/>
                <w:kern w:val="0"/>
                <w:sz w:val="28"/>
                <w:szCs w:val="28"/>
                <w:highlight w:val="none"/>
                <w:lang w:eastAsia="zh-CN"/>
              </w:rPr>
              <w:t>完成数据报送、足额履约。</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kern w:val="0"/>
                <w:sz w:val="28"/>
                <w:szCs w:val="28"/>
                <w:highlight w:val="none"/>
                <w:lang w:eastAsia="zh-CN"/>
              </w:rPr>
              <w:t>选取</w:t>
            </w:r>
            <w:r>
              <w:rPr>
                <w:rFonts w:hint="eastAsia" w:ascii="仿宋_GB2312" w:hAnsi="仿宋_GB2312" w:eastAsia="仿宋_GB2312" w:cs="仿宋_GB2312"/>
                <w:color w:val="auto"/>
                <w:kern w:val="0"/>
                <w:sz w:val="28"/>
                <w:szCs w:val="28"/>
                <w:highlight w:val="none"/>
                <w:lang w:val="en-US" w:eastAsia="zh-CN"/>
              </w:rPr>
              <w:t>不少于15家</w:t>
            </w:r>
            <w:r>
              <w:rPr>
                <w:rFonts w:hint="eastAsia" w:ascii="仿宋_GB2312" w:hAnsi="仿宋_GB2312" w:eastAsia="仿宋_GB2312" w:cs="仿宋_GB2312"/>
                <w:color w:val="auto"/>
                <w:kern w:val="0"/>
                <w:sz w:val="28"/>
                <w:szCs w:val="28"/>
                <w:highlight w:val="none"/>
                <w:lang w:eastAsia="zh-CN"/>
              </w:rPr>
              <w:t>碳排放单位开展2025年应对气候变化能力建设</w:t>
            </w:r>
            <w:r>
              <w:rPr>
                <w:rFonts w:hint="eastAsia" w:ascii="仿宋_GB2312" w:hAnsi="仿宋_GB2312" w:eastAsia="仿宋_GB2312" w:cs="仿宋_GB2312"/>
                <w:color w:val="auto"/>
                <w:kern w:val="0"/>
                <w:sz w:val="28"/>
                <w:szCs w:val="28"/>
                <w:highlight w:val="none"/>
                <w:lang w:val="en-US" w:eastAsia="zh-CN"/>
              </w:rPr>
              <w:t>相关</w:t>
            </w:r>
            <w:r>
              <w:rPr>
                <w:rFonts w:hint="eastAsia" w:ascii="仿宋_GB2312" w:hAnsi="仿宋_GB2312" w:eastAsia="仿宋_GB2312" w:cs="仿宋_GB2312"/>
                <w:color w:val="auto"/>
                <w:kern w:val="0"/>
                <w:sz w:val="28"/>
                <w:szCs w:val="28"/>
                <w:highlight w:val="none"/>
                <w:lang w:eastAsia="zh-CN"/>
              </w:rPr>
              <w:t>工作。</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tc>
        <w:tc>
          <w:tcPr>
            <w:tcW w:w="205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区国资委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区卫生健康委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spacing w:val="-11"/>
                <w:kern w:val="0"/>
                <w:sz w:val="28"/>
                <w:szCs w:val="28"/>
                <w:highlight w:val="none"/>
                <w:lang w:val="en-US" w:eastAsia="zh-CN"/>
              </w:rPr>
            </w:pPr>
            <w:r>
              <w:rPr>
                <w:rFonts w:hint="eastAsia" w:ascii="仿宋_GB2312" w:hAnsi="仿宋_GB2312" w:eastAsia="仿宋_GB2312" w:cs="仿宋_GB2312"/>
                <w:color w:val="auto"/>
                <w:spacing w:val="-11"/>
                <w:kern w:val="0"/>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cs="仿宋_GB2312"/>
                <w:color w:val="auto"/>
                <w:spacing w:val="-11"/>
                <w:kern w:val="0"/>
                <w:sz w:val="28"/>
                <w:szCs w:val="28"/>
                <w:highlight w:val="none"/>
                <w:lang w:val="en-US" w:eastAsia="zh-CN"/>
              </w:rPr>
              <w:t>管委会</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cs="仿宋_GB2312"/>
                <w:color w:val="auto"/>
                <w:spacing w:val="0"/>
                <w:kern w:val="0"/>
                <w:sz w:val="28"/>
                <w:szCs w:val="28"/>
                <w:highlight w:val="none"/>
                <w:lang w:val="en-US" w:eastAsia="zh-CN"/>
              </w:rPr>
              <w:t>4</w:t>
            </w:r>
          </w:p>
        </w:tc>
        <w:tc>
          <w:tcPr>
            <w:tcW w:w="10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强化低碳试点示范</w:t>
            </w:r>
          </w:p>
        </w:tc>
        <w:tc>
          <w:tcPr>
            <w:tcW w:w="5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both"/>
              <w:textAlignment w:val="auto"/>
              <w:rPr>
                <w:rFonts w:hint="eastAsia" w:ascii="仿宋_GB2312" w:hAnsi="仿宋_GB2312" w:eastAsia="仿宋_GB2312" w:cs="仿宋_GB2312"/>
                <w:color w:val="auto"/>
                <w:spacing w:val="0"/>
                <w:kern w:val="0"/>
                <w:sz w:val="28"/>
                <w:szCs w:val="28"/>
                <w:highlight w:val="none"/>
                <w:lang w:val="en-US" w:eastAsia="en-US" w:bidi="ar-SA"/>
              </w:rPr>
            </w:pPr>
            <w:r>
              <w:rPr>
                <w:rFonts w:hint="eastAsia" w:ascii="仿宋_GB2312" w:hAnsi="仿宋_GB2312" w:eastAsia="仿宋_GB2312" w:cs="仿宋_GB2312"/>
                <w:b w:val="0"/>
                <w:bCs w:val="0"/>
                <w:color w:val="auto"/>
                <w:spacing w:val="0"/>
                <w:kern w:val="0"/>
                <w:sz w:val="28"/>
                <w:szCs w:val="28"/>
                <w:highlight w:val="none"/>
                <w:u w:val="none"/>
                <w:lang w:val="en-US" w:eastAsia="zh-CN"/>
              </w:rPr>
              <w:t>落实</w:t>
            </w:r>
            <w:r>
              <w:rPr>
                <w:rFonts w:hint="eastAsia" w:ascii="仿宋_GB2312" w:hAnsi="仿宋_GB2312" w:eastAsia="仿宋_GB2312" w:cs="仿宋_GB2312"/>
                <w:color w:val="auto"/>
                <w:kern w:val="0"/>
                <w:sz w:val="28"/>
                <w:szCs w:val="28"/>
                <w:highlight w:val="none"/>
                <w:lang w:eastAsia="zh-CN"/>
              </w:rPr>
              <w:t>《北京市密云区气候投融资试点行动计划（</w:t>
            </w:r>
            <w:r>
              <w:rPr>
                <w:rFonts w:hint="eastAsia" w:ascii="仿宋_GB2312" w:hAnsi="仿宋_GB2312" w:eastAsia="仿宋_GB2312" w:cs="仿宋_GB2312"/>
                <w:color w:val="auto"/>
                <w:kern w:val="0"/>
                <w:sz w:val="28"/>
                <w:szCs w:val="28"/>
                <w:highlight w:val="none"/>
                <w:lang w:val="en-US" w:eastAsia="zh-CN"/>
              </w:rPr>
              <w:t>2023-2025年</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推进项目库建设，</w:t>
            </w:r>
            <w:r>
              <w:rPr>
                <w:rFonts w:hint="eastAsia" w:ascii="仿宋_GB2312" w:hAnsi="仿宋_GB2312" w:eastAsia="仿宋_GB2312" w:cs="仿宋_GB2312"/>
                <w:color w:val="auto"/>
                <w:kern w:val="0"/>
                <w:sz w:val="28"/>
                <w:szCs w:val="28"/>
                <w:highlight w:val="none"/>
                <w:lang w:eastAsia="zh-CN"/>
              </w:rPr>
              <w:t>强化模式和金融工具创新，</w:t>
            </w:r>
            <w:r>
              <w:rPr>
                <w:rFonts w:hint="eastAsia" w:ascii="仿宋_GB2312" w:hAnsi="仿宋_GB2312" w:eastAsia="仿宋_GB2312" w:cs="仿宋_GB2312"/>
                <w:color w:val="auto"/>
                <w:spacing w:val="0"/>
                <w:kern w:val="0"/>
                <w:sz w:val="28"/>
                <w:szCs w:val="28"/>
                <w:highlight w:val="none"/>
                <w:lang w:val="en-US" w:eastAsia="zh-CN"/>
              </w:rPr>
              <w:t>加大金融支持力度</w:t>
            </w:r>
            <w:r>
              <w:rPr>
                <w:rFonts w:hint="eastAsia" w:ascii="仿宋_GB2312" w:hAnsi="仿宋_GB2312" w:eastAsia="仿宋_GB2312" w:cs="仿宋_GB2312"/>
                <w:color w:val="auto"/>
                <w:spacing w:val="0"/>
                <w:kern w:val="0"/>
                <w:sz w:val="28"/>
                <w:szCs w:val="28"/>
                <w:highlight w:val="none"/>
                <w:lang w:eastAsia="en-US"/>
              </w:rPr>
              <w:t>。</w:t>
            </w:r>
            <w:r>
              <w:rPr>
                <w:rFonts w:hint="eastAsia" w:ascii="仿宋_GB2312" w:hAnsi="仿宋_GB2312" w:eastAsia="仿宋_GB2312" w:cs="仿宋_GB2312"/>
                <w:color w:val="auto"/>
                <w:spacing w:val="0"/>
                <w:kern w:val="0"/>
                <w:sz w:val="28"/>
                <w:szCs w:val="28"/>
                <w:highlight w:val="none"/>
                <w:lang w:eastAsia="zh-CN"/>
              </w:rPr>
              <w:t>开展气候资金统计研究。做好试点成效总结评估相关工作。</w:t>
            </w:r>
          </w:p>
        </w:tc>
        <w:tc>
          <w:tcPr>
            <w:tcW w:w="9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val="en-US" w:eastAsia="en-US" w:bidi="ar-SA"/>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2126"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区发展改革委</w:t>
            </w:r>
          </w:p>
        </w:tc>
        <w:tc>
          <w:tcPr>
            <w:tcW w:w="204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区机关事务管理服务中心</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default" w:ascii="仿宋_GB2312" w:hAnsi="仿宋_GB2312" w:eastAsia="仿宋_GB2312" w:cs="仿宋_GB2312"/>
                <w:color w:val="auto"/>
                <w:spacing w:val="-28"/>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spacing w:val="-28"/>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区住房城乡建设委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区园林绿化局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区科委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区国资委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区应急局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区气象局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东区办</w:t>
            </w:r>
          </w:p>
        </w:tc>
        <w:tc>
          <w:tcPr>
            <w:tcW w:w="23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各镇街（地区）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0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both"/>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配合市级部门开展低碳试点示范及减污降碳协同创新试点示范建设，加强项目征集和组织实施，组织动员辖区重点碳排放单位申报相关试点项目。做好各类区域低碳发展规划和建设。鼓励密云区中关村密云园和区域探索协同治理创新模式。</w:t>
            </w:r>
          </w:p>
        </w:tc>
        <w:tc>
          <w:tcPr>
            <w:tcW w:w="9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val="en-US" w:eastAsia="en-US" w:bidi="ar-SA"/>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区生态环境局</w:t>
            </w:r>
          </w:p>
        </w:tc>
        <w:tc>
          <w:tcPr>
            <w:tcW w:w="204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区国资委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区卫生健康委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default" w:ascii="仿宋_GB2312" w:hAnsi="仿宋_GB2312" w:eastAsia="仿宋_GB2312" w:cs="仿宋_GB2312"/>
                <w:color w:val="auto"/>
                <w:kern w:val="0"/>
                <w:sz w:val="22"/>
                <w:szCs w:val="22"/>
                <w:highlight w:val="none"/>
                <w:lang w:val="en-US" w:eastAsia="zh-CN" w:bidi="ar-SA"/>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tc>
        <w:tc>
          <w:tcPr>
            <w:tcW w:w="233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区有关部门</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各镇街（地区）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6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根据市级部署，</w:t>
            </w:r>
            <w:r>
              <w:rPr>
                <w:rFonts w:hint="eastAsia" w:ascii="仿宋_GB2312" w:hAnsi="仿宋_GB2312" w:eastAsia="仿宋_GB2312" w:cs="仿宋_GB2312"/>
                <w:color w:val="auto"/>
                <w:spacing w:val="0"/>
                <w:kern w:val="0"/>
                <w:sz w:val="28"/>
                <w:szCs w:val="28"/>
                <w:highlight w:val="none"/>
                <w:lang w:eastAsia="en-US"/>
              </w:rPr>
              <w:t>持续开展先进低碳技术项目试点示范。加大储能、</w:t>
            </w:r>
            <w:r>
              <w:rPr>
                <w:rFonts w:hint="eastAsia" w:ascii="仿宋_GB2312" w:hAnsi="仿宋_GB2312" w:eastAsia="仿宋_GB2312" w:cs="仿宋_GB2312"/>
                <w:color w:val="auto"/>
                <w:spacing w:val="0"/>
                <w:kern w:val="0"/>
                <w:sz w:val="28"/>
                <w:szCs w:val="28"/>
                <w:highlight w:val="none"/>
                <w:lang w:eastAsia="zh-CN"/>
              </w:rPr>
              <w:t>绿电</w:t>
            </w:r>
            <w:r>
              <w:rPr>
                <w:rFonts w:hint="eastAsia" w:ascii="仿宋_GB2312" w:hAnsi="仿宋_GB2312" w:eastAsia="仿宋_GB2312" w:cs="仿宋_GB2312"/>
                <w:color w:val="auto"/>
                <w:spacing w:val="0"/>
                <w:kern w:val="0"/>
                <w:sz w:val="28"/>
                <w:szCs w:val="28"/>
                <w:highlight w:val="none"/>
                <w:lang w:eastAsia="en-US"/>
              </w:rPr>
              <w:t>、</w:t>
            </w:r>
            <w:r>
              <w:rPr>
                <w:rFonts w:hint="eastAsia" w:ascii="仿宋_GB2312" w:hAnsi="仿宋_GB2312" w:eastAsia="仿宋_GB2312" w:cs="仿宋_GB2312"/>
                <w:color w:val="auto"/>
                <w:spacing w:val="0"/>
                <w:kern w:val="0"/>
                <w:sz w:val="28"/>
                <w:szCs w:val="28"/>
                <w:highlight w:val="none"/>
                <w:lang w:eastAsia="zh-CN"/>
              </w:rPr>
              <w:t>新</w:t>
            </w:r>
            <w:r>
              <w:rPr>
                <w:rFonts w:hint="eastAsia" w:ascii="仿宋_GB2312" w:hAnsi="仿宋_GB2312" w:eastAsia="仿宋_GB2312" w:cs="仿宋_GB2312"/>
                <w:color w:val="auto"/>
                <w:spacing w:val="0"/>
                <w:kern w:val="0"/>
                <w:sz w:val="28"/>
                <w:szCs w:val="28"/>
                <w:highlight w:val="none"/>
                <w:lang w:eastAsia="en-US"/>
              </w:rPr>
              <w:t>材料、氢能</w:t>
            </w:r>
            <w:r>
              <w:rPr>
                <w:rFonts w:hint="eastAsia" w:ascii="仿宋_GB2312" w:hAnsi="仿宋_GB2312" w:eastAsia="仿宋_GB2312" w:cs="仿宋_GB2312"/>
                <w:color w:val="auto"/>
                <w:spacing w:val="0"/>
                <w:kern w:val="0"/>
                <w:sz w:val="28"/>
                <w:szCs w:val="28"/>
                <w:highlight w:val="none"/>
                <w:lang w:eastAsia="zh-CN"/>
              </w:rPr>
              <w:t>、碳捕集及利用、非二氧化碳治理</w:t>
            </w:r>
            <w:r>
              <w:rPr>
                <w:rFonts w:hint="eastAsia" w:ascii="仿宋_GB2312" w:hAnsi="仿宋_GB2312" w:eastAsia="仿宋_GB2312" w:cs="仿宋_GB2312"/>
                <w:color w:val="auto"/>
                <w:spacing w:val="0"/>
                <w:kern w:val="0"/>
                <w:sz w:val="28"/>
                <w:szCs w:val="28"/>
                <w:highlight w:val="none"/>
                <w:lang w:eastAsia="en-US"/>
              </w:rPr>
              <w:t>等低碳技术开发</w:t>
            </w:r>
            <w:r>
              <w:rPr>
                <w:rFonts w:hint="eastAsia" w:ascii="仿宋_GB2312" w:hAnsi="仿宋_GB2312" w:eastAsia="仿宋_GB2312" w:cs="仿宋_GB2312"/>
                <w:color w:val="auto"/>
                <w:spacing w:val="0"/>
                <w:kern w:val="0"/>
                <w:sz w:val="28"/>
                <w:szCs w:val="28"/>
                <w:highlight w:val="none"/>
                <w:lang w:eastAsia="zh-CN"/>
              </w:rPr>
              <w:t>研究创新。</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21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tc>
        <w:tc>
          <w:tcPr>
            <w:tcW w:w="2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区科委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东区办</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区有关部门</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各镇街（地区）</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42" w:type="dxa"/>
            <w:gridSpan w:val="8"/>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黑体" w:hAnsi="黑体" w:eastAsia="黑体" w:cs="黑体"/>
                <w:color w:val="auto"/>
                <w:spacing w:val="0"/>
                <w:kern w:val="0"/>
                <w:sz w:val="28"/>
                <w:szCs w:val="28"/>
                <w:highlight w:val="none"/>
                <w:lang w:val="en-US" w:eastAsia="zh-CN"/>
              </w:rPr>
              <w:t>三、深入推进重点领域温室气体排放控制工作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cs="仿宋_GB2312"/>
                <w:color w:val="auto"/>
                <w:spacing w:val="0"/>
                <w:kern w:val="0"/>
                <w:sz w:val="28"/>
                <w:szCs w:val="28"/>
                <w:highlight w:val="none"/>
                <w:lang w:val="en-US" w:eastAsia="zh-CN"/>
              </w:rPr>
              <w:t>5</w:t>
            </w:r>
          </w:p>
        </w:tc>
        <w:tc>
          <w:tcPr>
            <w:tcW w:w="10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推进能源低碳化发展</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大力开展能源节约和能效提升，万元GDP能耗下降达到市级要求</w:t>
            </w:r>
            <w:r>
              <w:rPr>
                <w:rFonts w:hint="eastAsia" w:ascii="仿宋_GB2312" w:hAnsi="仿宋_GB2312" w:eastAsia="仿宋_GB2312" w:cs="仿宋_GB2312"/>
                <w:color w:val="auto"/>
                <w:kern w:val="0"/>
                <w:sz w:val="28"/>
                <w:szCs w:val="28"/>
                <w:highlight w:val="none"/>
                <w:lang w:val="en-US" w:eastAsia="zh-CN"/>
              </w:rPr>
              <w:t>；巩固</w:t>
            </w:r>
            <w:r>
              <w:rPr>
                <w:rFonts w:hint="eastAsia" w:ascii="仿宋_GB2312" w:hAnsi="仿宋_GB2312" w:eastAsia="仿宋_GB2312" w:cs="仿宋_GB2312"/>
                <w:color w:val="auto"/>
                <w:kern w:val="0"/>
                <w:sz w:val="28"/>
                <w:szCs w:val="28"/>
                <w:highlight w:val="none"/>
              </w:rPr>
              <w:t>农村地区冬季清洁取暖</w:t>
            </w:r>
            <w:r>
              <w:rPr>
                <w:rFonts w:hint="eastAsia" w:ascii="仿宋_GB2312" w:hAnsi="仿宋_GB2312" w:eastAsia="仿宋_GB2312" w:cs="仿宋_GB2312"/>
                <w:color w:val="auto"/>
                <w:kern w:val="0"/>
                <w:sz w:val="28"/>
                <w:szCs w:val="28"/>
                <w:highlight w:val="none"/>
                <w:lang w:val="en-US" w:eastAsia="zh-CN"/>
              </w:rPr>
              <w:t>成果；</w:t>
            </w:r>
            <w:r>
              <w:rPr>
                <w:rFonts w:hint="eastAsia" w:ascii="仿宋_GB2312" w:hAnsi="仿宋_GB2312" w:eastAsia="仿宋_GB2312" w:cs="仿宋_GB2312"/>
                <w:color w:val="auto"/>
                <w:kern w:val="0"/>
                <w:sz w:val="28"/>
                <w:szCs w:val="28"/>
                <w:highlight w:val="none"/>
                <w:lang w:eastAsia="zh-CN"/>
              </w:rPr>
              <w:t>严控化石能源消费总量。</w:t>
            </w:r>
            <w:r>
              <w:rPr>
                <w:rFonts w:hint="eastAsia" w:ascii="仿宋_GB2312" w:hAnsi="仿宋_GB2312" w:eastAsia="仿宋_GB2312" w:cs="仿宋_GB2312"/>
                <w:color w:val="auto"/>
                <w:kern w:val="0"/>
                <w:sz w:val="28"/>
                <w:szCs w:val="28"/>
                <w:highlight w:val="none"/>
                <w:lang w:val="en-US" w:eastAsia="zh-CN"/>
              </w:rPr>
              <w:t>煤炭、</w:t>
            </w:r>
            <w:r>
              <w:rPr>
                <w:rFonts w:hint="eastAsia" w:ascii="仿宋_GB2312" w:hAnsi="仿宋_GB2312" w:eastAsia="仿宋_GB2312" w:cs="仿宋_GB2312"/>
                <w:color w:val="auto"/>
                <w:kern w:val="0"/>
                <w:sz w:val="28"/>
                <w:szCs w:val="28"/>
                <w:highlight w:val="none"/>
                <w:lang w:eastAsia="zh-CN"/>
              </w:rPr>
              <w:t>天然气消费</w:t>
            </w:r>
            <w:r>
              <w:rPr>
                <w:rFonts w:hint="eastAsia" w:ascii="仿宋_GB2312" w:hAnsi="仿宋_GB2312" w:eastAsia="仿宋_GB2312" w:cs="仿宋_GB2312"/>
                <w:color w:val="auto"/>
                <w:kern w:val="0"/>
                <w:sz w:val="28"/>
                <w:szCs w:val="28"/>
                <w:highlight w:val="none"/>
                <w:lang w:val="en-US" w:eastAsia="zh-CN"/>
              </w:rPr>
              <w:t>总量达到市级要求</w:t>
            </w:r>
            <w:r>
              <w:rPr>
                <w:rFonts w:hint="eastAsia" w:ascii="仿宋_GB2312" w:hAnsi="仿宋_GB2312" w:eastAsia="仿宋_GB2312" w:cs="仿宋_GB2312"/>
                <w:color w:val="auto"/>
                <w:kern w:val="0"/>
                <w:sz w:val="28"/>
                <w:szCs w:val="28"/>
                <w:highlight w:val="none"/>
                <w:lang w:eastAsia="zh-CN"/>
              </w:rPr>
              <w:t>。</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区农业农村局</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落实本市可再生能源替代方案，新增能源消费优先由可再生能源提供，</w:t>
            </w:r>
            <w:r>
              <w:rPr>
                <w:rFonts w:hint="eastAsia" w:ascii="仿宋_GB2312" w:hAnsi="仿宋_GB2312" w:eastAsia="仿宋_GB2312" w:cs="仿宋_GB2312"/>
                <w:color w:val="auto"/>
                <w:kern w:val="0"/>
                <w:sz w:val="28"/>
                <w:szCs w:val="28"/>
                <w:highlight w:val="none"/>
                <w:lang w:val="en-US" w:eastAsia="zh-CN"/>
              </w:rPr>
              <w:t>2025年</w:t>
            </w:r>
            <w:r>
              <w:rPr>
                <w:rFonts w:hint="eastAsia" w:ascii="仿宋_GB2312" w:hAnsi="仿宋_GB2312" w:eastAsia="仿宋_GB2312" w:cs="仿宋_GB2312"/>
                <w:color w:val="auto"/>
                <w:kern w:val="0"/>
                <w:sz w:val="28"/>
                <w:szCs w:val="28"/>
                <w:highlight w:val="none"/>
                <w:lang w:eastAsia="zh-CN"/>
              </w:rPr>
              <w:t>可再生能源消费占比</w:t>
            </w:r>
            <w:r>
              <w:rPr>
                <w:rFonts w:hint="eastAsia" w:ascii="仿宋_GB2312" w:hAnsi="仿宋_GB2312" w:eastAsia="仿宋_GB2312" w:cs="仿宋_GB2312"/>
                <w:color w:val="auto"/>
                <w:kern w:val="0"/>
                <w:sz w:val="28"/>
                <w:szCs w:val="28"/>
                <w:highlight w:val="none"/>
                <w:u w:val="none"/>
                <w:lang w:val="en-US" w:eastAsia="zh-CN"/>
              </w:rPr>
              <w:t>达到市级要求。</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047" w:type="dxa"/>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pacing w:before="0" w:after="0" w:line="320" w:lineRule="exact"/>
              <w:ind w:left="0" w:right="0"/>
              <w:jc w:val="both"/>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推动可再生能源规模化利用，持续提升本地可再生能源发电装机容量。</w:t>
            </w:r>
            <w:r>
              <w:rPr>
                <w:rFonts w:hint="eastAsia" w:ascii="仿宋_GB2312" w:hAnsi="仿宋_GB2312" w:eastAsia="仿宋_GB2312" w:cs="仿宋_GB2312"/>
                <w:color w:val="auto"/>
                <w:kern w:val="0"/>
                <w:sz w:val="28"/>
                <w:szCs w:val="28"/>
                <w:highlight w:val="none"/>
                <w:lang w:val="en-US" w:eastAsia="zh-CN"/>
              </w:rPr>
              <w:t>探索市场化绿电交易，</w:t>
            </w:r>
            <w:r>
              <w:rPr>
                <w:rFonts w:hint="eastAsia" w:ascii="仿宋_GB2312" w:hAnsi="仿宋_GB2312" w:eastAsia="仿宋_GB2312" w:cs="仿宋_GB2312"/>
                <w:color w:val="auto"/>
                <w:kern w:val="0"/>
                <w:sz w:val="28"/>
                <w:szCs w:val="28"/>
                <w:highlight w:val="none"/>
                <w:lang w:eastAsia="zh-CN"/>
              </w:rPr>
              <w:t>进一步提高</w:t>
            </w:r>
            <w:r>
              <w:rPr>
                <w:rFonts w:hint="eastAsia" w:ascii="仿宋_GB2312" w:hAnsi="仿宋_GB2312" w:eastAsia="仿宋_GB2312" w:cs="仿宋_GB2312"/>
                <w:color w:val="auto"/>
                <w:kern w:val="0"/>
                <w:sz w:val="28"/>
                <w:szCs w:val="28"/>
                <w:highlight w:val="none"/>
                <w:lang w:val="en-US" w:eastAsia="zh-CN"/>
              </w:rPr>
              <w:t>辖区</w:t>
            </w:r>
            <w:r>
              <w:rPr>
                <w:rFonts w:hint="eastAsia" w:ascii="仿宋_GB2312" w:hAnsi="仿宋_GB2312" w:eastAsia="仿宋_GB2312" w:cs="仿宋_GB2312"/>
                <w:color w:val="auto"/>
                <w:kern w:val="0"/>
                <w:sz w:val="28"/>
                <w:szCs w:val="28"/>
                <w:highlight w:val="none"/>
                <w:lang w:eastAsia="zh-CN"/>
              </w:rPr>
              <w:t>绿色电力应用规模。</w:t>
            </w:r>
          </w:p>
          <w:p>
            <w:pPr>
              <w:keepNext w:val="0"/>
              <w:keepLines w:val="0"/>
              <w:pageBreakBefore w:val="0"/>
              <w:widowControl w:val="0"/>
              <w:kinsoku/>
              <w:wordWrap/>
              <w:overflowPunct/>
              <w:topLinePunct w:val="0"/>
              <w:autoSpaceDE w:val="0"/>
              <w:autoSpaceDN w:val="0"/>
              <w:bidi w:val="0"/>
              <w:adjustRightInd/>
              <w:spacing w:before="0" w:after="0" w:line="320" w:lineRule="exact"/>
              <w:ind w:left="0" w:right="0"/>
              <w:jc w:val="both"/>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配合市级部门加强京津冀区域在绿色电力和能源结构转型方面的合作，通过改善能源基础设施和电力网络建设，增强京津冀域外绿电进京输送能力；联合开发可再生资源，拓宽绿氢进京通道，加快推动区域能源低碳转型。</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国网密云供电公司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6</w:t>
            </w:r>
          </w:p>
        </w:tc>
        <w:tc>
          <w:tcPr>
            <w:tcW w:w="10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构建绿色低碳产业体系</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大力发展循环经济，构建循环型产业体系，提升资源综合利用能力，</w:t>
            </w:r>
            <w:r>
              <w:rPr>
                <w:rFonts w:hint="eastAsia" w:ascii="仿宋_GB2312" w:hAnsi="仿宋_GB2312" w:eastAsia="仿宋_GB2312" w:cs="仿宋_GB2312"/>
                <w:color w:val="auto"/>
                <w:spacing w:val="0"/>
                <w:kern w:val="0"/>
                <w:sz w:val="28"/>
                <w:szCs w:val="28"/>
                <w:highlight w:val="none"/>
                <w:lang w:val="en-US" w:eastAsia="zh-CN"/>
              </w:rPr>
              <w:t>提高再生资源回收率，</w:t>
            </w:r>
            <w:r>
              <w:rPr>
                <w:rFonts w:hint="eastAsia" w:ascii="仿宋_GB2312" w:hAnsi="仿宋_GB2312" w:eastAsia="仿宋_GB2312" w:cs="仿宋_GB2312"/>
                <w:color w:val="auto"/>
                <w:spacing w:val="0"/>
                <w:kern w:val="0"/>
                <w:sz w:val="28"/>
                <w:szCs w:val="28"/>
                <w:highlight w:val="none"/>
                <w:lang w:eastAsia="en-US"/>
              </w:rPr>
              <w:t>生活垃圾资源化利用率达</w:t>
            </w:r>
            <w:r>
              <w:rPr>
                <w:rFonts w:hint="eastAsia" w:ascii="仿宋_GB2312" w:hAnsi="仿宋_GB2312" w:eastAsia="仿宋_GB2312" w:cs="仿宋_GB2312"/>
                <w:color w:val="auto"/>
                <w:spacing w:val="0"/>
                <w:kern w:val="0"/>
                <w:sz w:val="28"/>
                <w:szCs w:val="28"/>
                <w:highlight w:val="none"/>
                <w:lang w:val="en-US" w:eastAsia="zh-CN"/>
              </w:rPr>
              <w:t>到</w:t>
            </w:r>
            <w:r>
              <w:rPr>
                <w:rFonts w:hint="eastAsia" w:ascii="仿宋_GB2312" w:hAnsi="仿宋_GB2312" w:eastAsia="仿宋_GB2312" w:cs="仿宋_GB2312"/>
                <w:color w:val="auto"/>
                <w:kern w:val="0"/>
                <w:sz w:val="28"/>
                <w:szCs w:val="28"/>
                <w:highlight w:val="none"/>
                <w:u w:val="none"/>
                <w:lang w:val="en-US" w:eastAsia="zh-CN"/>
              </w:rPr>
              <w:t>市级要求</w:t>
            </w:r>
            <w:r>
              <w:rPr>
                <w:rFonts w:hint="eastAsia" w:ascii="仿宋_GB2312" w:hAnsi="仿宋_GB2312" w:eastAsia="仿宋_GB2312" w:cs="仿宋_GB2312"/>
                <w:color w:val="auto"/>
                <w:spacing w:val="0"/>
                <w:kern w:val="0"/>
                <w:sz w:val="28"/>
                <w:szCs w:val="28"/>
                <w:highlight w:val="none"/>
                <w:lang w:eastAsia="en-US"/>
              </w:rPr>
              <w:t>。</w:t>
            </w:r>
            <w:r>
              <w:rPr>
                <w:rFonts w:hint="eastAsia" w:ascii="仿宋_GB2312" w:hAnsi="仿宋_GB2312" w:eastAsia="仿宋_GB2312" w:cs="仿宋_GB2312"/>
                <w:color w:val="auto"/>
                <w:spacing w:val="0"/>
                <w:kern w:val="0"/>
                <w:sz w:val="28"/>
                <w:szCs w:val="28"/>
                <w:highlight w:val="none"/>
                <w:lang w:val="en-US" w:eastAsia="zh-CN"/>
              </w:rPr>
              <w:t>根据市级部署，落实循环经济产业园区建设要求，开展产业园区低碳改造升级，</w:t>
            </w:r>
            <w:r>
              <w:rPr>
                <w:rFonts w:hint="eastAsia" w:ascii="仿宋_GB2312" w:hAnsi="仿宋_GB2312" w:eastAsia="仿宋_GB2312" w:cs="仿宋_GB2312"/>
                <w:color w:val="auto"/>
                <w:spacing w:val="-11"/>
                <w:kern w:val="0"/>
                <w:sz w:val="28"/>
                <w:szCs w:val="28"/>
                <w:highlight w:val="none"/>
                <w:lang w:val="en-US" w:eastAsia="zh-CN"/>
              </w:rPr>
              <w:t>进一步加大资源梯级利用和系统优化，安定循环经济园区稳定运行。</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中关村密云园</w:t>
            </w:r>
            <w:r>
              <w:rPr>
                <w:rFonts w:hint="eastAsia" w:cs="仿宋_GB2312"/>
                <w:color w:val="auto"/>
                <w:kern w:val="0"/>
                <w:sz w:val="28"/>
                <w:szCs w:val="28"/>
                <w:highlight w:val="none"/>
                <w:lang w:val="en-US" w:eastAsia="zh-CN"/>
              </w:rPr>
              <w:t>管委会</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按照市级统一要求</w:t>
            </w:r>
            <w:r>
              <w:rPr>
                <w:rFonts w:hint="eastAsia" w:ascii="仿宋_GB2312" w:hAnsi="仿宋_GB2312" w:eastAsia="仿宋_GB2312" w:cs="仿宋_GB2312"/>
                <w:color w:val="auto"/>
                <w:spacing w:val="0"/>
                <w:kern w:val="0"/>
                <w:sz w:val="28"/>
                <w:szCs w:val="28"/>
                <w:highlight w:val="none"/>
                <w:lang w:eastAsia="en-US"/>
              </w:rPr>
              <w:t>推动工业和信息化领域能效提升，规模以上工业单位增加值能耗下降率达到</w:t>
            </w:r>
            <w:r>
              <w:rPr>
                <w:rFonts w:hint="eastAsia" w:ascii="仿宋_GB2312" w:hAnsi="仿宋_GB2312" w:eastAsia="仿宋_GB2312" w:cs="仿宋_GB2312"/>
                <w:color w:val="auto"/>
                <w:spacing w:val="0"/>
                <w:kern w:val="0"/>
                <w:sz w:val="28"/>
                <w:szCs w:val="28"/>
                <w:highlight w:val="none"/>
                <w:lang w:val="en-US" w:eastAsia="zh-CN"/>
              </w:rPr>
              <w:t>市级要求</w:t>
            </w:r>
            <w:r>
              <w:rPr>
                <w:rFonts w:hint="eastAsia" w:ascii="仿宋_GB2312" w:hAnsi="仿宋_GB2312" w:eastAsia="仿宋_GB2312" w:cs="仿宋_GB2312"/>
                <w:color w:val="auto"/>
                <w:spacing w:val="0"/>
                <w:kern w:val="0"/>
                <w:sz w:val="28"/>
                <w:szCs w:val="28"/>
                <w:highlight w:val="none"/>
                <w:lang w:eastAsia="en-US"/>
              </w:rPr>
              <w:t>。</w:t>
            </w:r>
          </w:p>
        </w:tc>
        <w:tc>
          <w:tcPr>
            <w:tcW w:w="937"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年底前</w:t>
            </w:r>
          </w:p>
        </w:tc>
        <w:tc>
          <w:tcPr>
            <w:tcW w:w="4173" w:type="dxa"/>
            <w:gridSpan w:val="3"/>
            <w:tcBorders>
              <w:tl2br w:val="nil"/>
              <w:tr2bl w:val="nil"/>
            </w:tcBorders>
            <w:tcMar>
              <w:left w:w="57" w:type="dxa"/>
              <w:right w:w="28" w:type="dxa"/>
            </w:tcMar>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按照市级部署</w:t>
            </w:r>
            <w:r>
              <w:rPr>
                <w:rFonts w:hint="eastAsia" w:ascii="仿宋_GB2312" w:hAnsi="仿宋_GB2312" w:eastAsia="仿宋_GB2312" w:cs="仿宋_GB2312"/>
                <w:color w:val="auto"/>
                <w:spacing w:val="0"/>
                <w:kern w:val="0"/>
                <w:sz w:val="28"/>
                <w:szCs w:val="28"/>
                <w:highlight w:val="none"/>
                <w:lang w:eastAsia="en-US"/>
              </w:rPr>
              <w:t>开展数据中心节能降碳改造，优化区域存量数据中心。</w:t>
            </w:r>
          </w:p>
        </w:tc>
        <w:tc>
          <w:tcPr>
            <w:tcW w:w="937"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tcMar>
              <w:left w:w="57" w:type="dxa"/>
              <w:right w:w="28" w:type="dxa"/>
            </w:tcMar>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tc>
        <w:tc>
          <w:tcPr>
            <w:tcW w:w="2330" w:type="dxa"/>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leftChars="0" w:right="0" w:rightChars="0"/>
              <w:jc w:val="both"/>
              <w:textAlignment w:val="auto"/>
              <w:rPr>
                <w:rFonts w:hint="eastAsia" w:ascii="仿宋_GB2312" w:hAnsi="仿宋_GB2312" w:eastAsia="仿宋_GB2312" w:cs="仿宋_GB2312"/>
                <w:color w:val="auto"/>
                <w:spacing w:val="-28"/>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cs="仿宋_GB2312"/>
                <w:color w:val="auto"/>
                <w:spacing w:val="0"/>
                <w:kern w:val="0"/>
                <w:sz w:val="28"/>
                <w:szCs w:val="28"/>
                <w:highlight w:val="none"/>
                <w:lang w:val="en-US" w:eastAsia="zh-CN"/>
              </w:rPr>
              <w:t>7</w:t>
            </w:r>
          </w:p>
        </w:tc>
        <w:tc>
          <w:tcPr>
            <w:tcW w:w="10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推进建筑领域低碳化</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落实北京市建筑绿色发展条例，广泛开展宣传解读和培训，推进建筑重点领域减排措施落实，配合市级部门完善建筑领域碳排放计量核算标准，推动建筑领域碳排放得到有效控制。</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区住房城乡建设委</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密云分局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11"/>
                <w:kern w:val="0"/>
                <w:sz w:val="28"/>
                <w:szCs w:val="28"/>
                <w:highlight w:val="none"/>
                <w:lang w:val="en-US" w:eastAsia="zh-CN"/>
              </w:rPr>
              <w:t>区生态环境局等部门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实施北京市《公共建筑节能设计标准》</w:t>
            </w:r>
            <w:r>
              <w:rPr>
                <w:rFonts w:hint="eastAsia" w:cs="仿宋_GB2312"/>
                <w:color w:val="auto"/>
                <w:spacing w:val="0"/>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eastAsia="zh-CN"/>
              </w:rPr>
              <w:t>DB11/T 687-2024</w:t>
            </w:r>
            <w:r>
              <w:rPr>
                <w:rFonts w:hint="eastAsia" w:cs="仿宋_GB2312"/>
                <w:color w:val="auto"/>
                <w:spacing w:val="0"/>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eastAsia="zh-CN"/>
              </w:rPr>
              <w:t>。大力推广绿色建筑，新建居住建筑执行绿色建筑二星级以上标准，新建公共建筑力争全面执行绿色建筑二星级以上标准。</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密云分局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区住房城乡建设委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各镇街（地区）</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cs="仿宋_GB2312"/>
                <w:color w:val="auto"/>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加快推广超低能耗建筑，完成“十四五”公共建筑节能绿色改造规划目标，装配式建筑占新建建筑面积的比例达到</w:t>
            </w:r>
            <w:r>
              <w:rPr>
                <w:rFonts w:hint="eastAsia" w:ascii="仿宋_GB2312" w:hAnsi="仿宋_GB2312" w:eastAsia="仿宋_GB2312" w:cs="仿宋_GB2312"/>
                <w:color w:val="auto"/>
                <w:spacing w:val="0"/>
                <w:kern w:val="0"/>
                <w:sz w:val="28"/>
                <w:szCs w:val="28"/>
                <w:highlight w:val="none"/>
                <w:u w:val="none"/>
                <w:lang w:val="en-US" w:eastAsia="zh-CN"/>
              </w:rPr>
              <w:t>市级要求。</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区住房城乡</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建设委</w:t>
            </w:r>
          </w:p>
        </w:tc>
        <w:tc>
          <w:tcPr>
            <w:tcW w:w="2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各镇街（地区）</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cs="仿宋_GB2312"/>
                <w:color w:val="auto"/>
                <w:spacing w:val="0"/>
                <w:kern w:val="0"/>
                <w:sz w:val="28"/>
                <w:szCs w:val="28"/>
                <w:highlight w:val="none"/>
                <w:lang w:val="en-US" w:eastAsia="zh-CN"/>
              </w:rPr>
              <w:t>8</w:t>
            </w:r>
          </w:p>
        </w:tc>
        <w:tc>
          <w:tcPr>
            <w:tcW w:w="1080" w:type="dxa"/>
            <w:vMerge w:val="restart"/>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创建绿色</w:t>
            </w:r>
            <w:r>
              <w:rPr>
                <w:rFonts w:hint="eastAsia" w:ascii="仿宋_GB2312" w:hAnsi="仿宋_GB2312" w:eastAsia="仿宋_GB2312" w:cs="仿宋_GB2312"/>
                <w:color w:val="auto"/>
                <w:spacing w:val="0"/>
                <w:kern w:val="0"/>
                <w:sz w:val="28"/>
                <w:szCs w:val="28"/>
                <w:highlight w:val="none"/>
                <w:lang w:val="en-US" w:eastAsia="zh-CN"/>
              </w:rPr>
              <w:t>低碳</w:t>
            </w:r>
            <w:r>
              <w:rPr>
                <w:rFonts w:hint="eastAsia" w:ascii="仿宋_GB2312" w:hAnsi="仿宋_GB2312" w:eastAsia="仿宋_GB2312" w:cs="仿宋_GB2312"/>
                <w:color w:val="auto"/>
                <w:spacing w:val="0"/>
                <w:kern w:val="0"/>
                <w:sz w:val="28"/>
                <w:szCs w:val="28"/>
                <w:highlight w:val="none"/>
                <w:lang w:eastAsia="en-US"/>
              </w:rPr>
              <w:t>智能供热体系</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kern w:val="0"/>
                <w:sz w:val="28"/>
                <w:szCs w:val="28"/>
                <w:highlight w:val="none"/>
                <w:u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落实北京市供热系统低碳绿色转型方案</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eastAsia="en-US"/>
              </w:rPr>
              <w:t>全</w:t>
            </w:r>
            <w:r>
              <w:rPr>
                <w:rFonts w:hint="eastAsia" w:ascii="仿宋_GB2312" w:hAnsi="仿宋_GB2312" w:eastAsia="仿宋_GB2312" w:cs="仿宋_GB2312"/>
                <w:color w:val="auto"/>
                <w:spacing w:val="0"/>
                <w:kern w:val="0"/>
                <w:sz w:val="28"/>
                <w:szCs w:val="28"/>
                <w:highlight w:val="none"/>
                <w:lang w:val="en-US" w:eastAsia="zh-CN"/>
              </w:rPr>
              <w:t>区</w:t>
            </w:r>
            <w:r>
              <w:rPr>
                <w:rFonts w:hint="eastAsia" w:ascii="仿宋_GB2312" w:hAnsi="仿宋_GB2312" w:eastAsia="仿宋_GB2312" w:cs="仿宋_GB2312"/>
                <w:color w:val="auto"/>
                <w:spacing w:val="0"/>
                <w:kern w:val="0"/>
                <w:sz w:val="28"/>
                <w:szCs w:val="28"/>
                <w:highlight w:val="none"/>
                <w:lang w:eastAsia="en-US"/>
              </w:rPr>
              <w:t>范围内禁止新建和扩建燃气独立供暖系统，新建建筑及新建供热项目优先采用新能源供热或采用新能源耦合常规能源供热。新建建筑耦合供热系统中，新能源供热装机占比原则上不低于60%；</w:t>
            </w:r>
            <w:r>
              <w:rPr>
                <w:rFonts w:hint="eastAsia" w:ascii="仿宋_GB2312" w:hAnsi="仿宋_GB2312" w:eastAsia="仿宋_GB2312" w:cs="仿宋_GB2312"/>
                <w:color w:val="auto"/>
                <w:spacing w:val="0"/>
                <w:kern w:val="0"/>
                <w:sz w:val="28"/>
                <w:szCs w:val="28"/>
                <w:highlight w:val="none"/>
                <w:lang w:val="en-US" w:eastAsia="zh-CN"/>
              </w:rPr>
              <w:t>全区城镇地区</w:t>
            </w:r>
            <w:r>
              <w:rPr>
                <w:rFonts w:hint="eastAsia" w:ascii="仿宋_GB2312" w:hAnsi="仿宋_GB2312" w:eastAsia="仿宋_GB2312" w:cs="仿宋_GB2312"/>
                <w:color w:val="auto"/>
                <w:spacing w:val="0"/>
                <w:kern w:val="0"/>
                <w:sz w:val="28"/>
                <w:szCs w:val="28"/>
                <w:highlight w:val="none"/>
                <w:lang w:eastAsia="zh-CN"/>
              </w:rPr>
              <w:t>单位建筑面积供热能耗、碳排放</w:t>
            </w:r>
            <w:r>
              <w:rPr>
                <w:rFonts w:hint="eastAsia" w:ascii="仿宋_GB2312" w:hAnsi="仿宋_GB2312" w:eastAsia="仿宋_GB2312" w:cs="仿宋_GB2312"/>
                <w:color w:val="auto"/>
                <w:spacing w:val="0"/>
                <w:kern w:val="0"/>
                <w:sz w:val="28"/>
                <w:szCs w:val="28"/>
                <w:highlight w:val="none"/>
                <w:lang w:val="en-US" w:eastAsia="zh-CN"/>
              </w:rPr>
              <w:t>下降达到市级要求</w:t>
            </w:r>
            <w:r>
              <w:rPr>
                <w:rFonts w:hint="eastAsia" w:ascii="仿宋_GB2312" w:hAnsi="仿宋_GB2312" w:eastAsia="仿宋_GB2312" w:cs="仿宋_GB2312"/>
                <w:color w:val="auto"/>
                <w:kern w:val="0"/>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按照市级部署，统筹实施供热智能化改造和供热资源整合，建立供热系统感知体系，有序推进管道天然气锅炉房绿色改造。推进既有散小热源整合联网及新能源和可再生能源耦合供热替代。</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u w:val="double"/>
                <w:lang w:val="en-US" w:eastAsia="en-US"/>
              </w:rPr>
            </w:pPr>
            <w:r>
              <w:rPr>
                <w:rFonts w:hint="eastAsia" w:ascii="仿宋_GB2312" w:hAnsi="仿宋_GB2312" w:eastAsia="仿宋_GB2312" w:cs="仿宋_GB2312"/>
                <w:color w:val="auto"/>
                <w:spacing w:val="0"/>
                <w:kern w:val="0"/>
                <w:sz w:val="28"/>
                <w:szCs w:val="28"/>
                <w:highlight w:val="none"/>
                <w:lang w:eastAsia="en-US"/>
              </w:rPr>
              <w:t>新能源供热占比</w:t>
            </w:r>
            <w:r>
              <w:rPr>
                <w:rFonts w:hint="eastAsia" w:ascii="仿宋_GB2312" w:hAnsi="仿宋_GB2312" w:eastAsia="仿宋_GB2312" w:cs="仿宋_GB2312"/>
                <w:color w:val="auto"/>
                <w:spacing w:val="0"/>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val="en-US" w:eastAsia="zh-CN"/>
              </w:rPr>
              <w:t>完成既有建筑供热系统智能化改造面积达到市级要求，推动锅炉使用单位安装能源在线监控装置</w:t>
            </w:r>
            <w:r>
              <w:rPr>
                <w:rFonts w:hint="eastAsia" w:cs="仿宋_GB2312"/>
                <w:color w:val="auto"/>
                <w:spacing w:val="0"/>
                <w:kern w:val="0"/>
                <w:sz w:val="28"/>
                <w:szCs w:val="28"/>
                <w:highlight w:val="none"/>
                <w:lang w:val="en-US" w:eastAsia="zh-CN"/>
              </w:rPr>
              <w:t>。</w:t>
            </w:r>
          </w:p>
        </w:tc>
        <w:tc>
          <w:tcPr>
            <w:tcW w:w="937"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tcMar>
              <w:left w:w="57" w:type="dxa"/>
              <w:right w:w="28" w:type="dxa"/>
            </w:tcMar>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tc>
        <w:tc>
          <w:tcPr>
            <w:tcW w:w="2330"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密云分局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区住房城乡建设委</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default"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val="en-US" w:eastAsia="zh-CN"/>
              </w:rPr>
              <w:t>加大再生水（污水）源热泵、地源热泵和余热回收等绿色低碳技术推广应用。</w:t>
            </w:r>
          </w:p>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val="en-US" w:eastAsia="zh-CN"/>
              </w:rPr>
              <w:t>鼓励数据中心余热利用，余热供热面积达到</w:t>
            </w:r>
            <w:r>
              <w:rPr>
                <w:rFonts w:hint="eastAsia" w:ascii="仿宋_GB2312" w:hAnsi="仿宋_GB2312" w:eastAsia="仿宋_GB2312" w:cs="仿宋_GB2312"/>
                <w:color w:val="auto"/>
                <w:kern w:val="0"/>
                <w:sz w:val="28"/>
                <w:szCs w:val="28"/>
                <w:highlight w:val="none"/>
                <w:u w:val="none"/>
                <w:lang w:val="en-US" w:eastAsia="zh-CN"/>
              </w:rPr>
              <w:t>市级要求。</w:t>
            </w:r>
          </w:p>
        </w:tc>
        <w:tc>
          <w:tcPr>
            <w:tcW w:w="937"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tcMar>
              <w:left w:w="57" w:type="dxa"/>
              <w:right w:w="28" w:type="dxa"/>
            </w:tcMar>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区经济和信息化局</w:t>
            </w:r>
          </w:p>
        </w:tc>
        <w:tc>
          <w:tcPr>
            <w:tcW w:w="2330"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cs="仿宋_GB2312"/>
                <w:color w:val="auto"/>
                <w:spacing w:val="0"/>
                <w:kern w:val="0"/>
                <w:sz w:val="28"/>
                <w:szCs w:val="28"/>
                <w:highlight w:val="none"/>
                <w:lang w:val="en-US" w:eastAsia="zh-CN"/>
              </w:rPr>
              <w:t>9</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加强城市绿色交通体系建设</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扎实推进慢行优先、公交优先、绿色优先，</w:t>
            </w:r>
            <w:r>
              <w:rPr>
                <w:rFonts w:hint="eastAsia" w:ascii="仿宋_GB2312" w:hAnsi="仿宋_GB2312" w:eastAsia="仿宋_GB2312" w:cs="仿宋_GB2312"/>
                <w:color w:val="auto"/>
                <w:spacing w:val="0"/>
                <w:kern w:val="0"/>
                <w:sz w:val="28"/>
                <w:szCs w:val="28"/>
                <w:highlight w:val="none"/>
                <w:lang w:val="en-US" w:eastAsia="zh-CN"/>
              </w:rPr>
              <w:t>全区绿色出行比例达市级要求</w:t>
            </w:r>
            <w:r>
              <w:rPr>
                <w:rFonts w:hint="eastAsia" w:ascii="仿宋_GB2312" w:hAnsi="仿宋_GB2312" w:eastAsia="仿宋_GB2312" w:cs="仿宋_GB2312"/>
                <w:color w:val="auto"/>
                <w:spacing w:val="0"/>
                <w:kern w:val="0"/>
                <w:sz w:val="28"/>
                <w:szCs w:val="28"/>
                <w:highlight w:val="none"/>
                <w:lang w:eastAsia="en-US"/>
              </w:rPr>
              <w:t>。</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cs="仿宋_GB2312"/>
                <w:color w:val="auto"/>
                <w:spacing w:val="0"/>
                <w:kern w:val="0"/>
                <w:sz w:val="28"/>
                <w:szCs w:val="28"/>
                <w:highlight w:val="none"/>
                <w:lang w:val="en-US" w:eastAsia="zh-CN"/>
              </w:rPr>
              <w:t>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cs="仿宋_GB2312"/>
                <w:color w:val="auto"/>
                <w:spacing w:val="0"/>
                <w:kern w:val="0"/>
                <w:sz w:val="28"/>
                <w:szCs w:val="28"/>
                <w:highlight w:val="none"/>
                <w:lang w:val="en-US" w:eastAsia="zh-CN"/>
              </w:rPr>
              <w:t>0</w:t>
            </w:r>
          </w:p>
        </w:tc>
        <w:tc>
          <w:tcPr>
            <w:tcW w:w="10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控制农业和非二氧化碳温室气体排放</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val="en-US" w:eastAsia="en-US"/>
              </w:rPr>
            </w:pPr>
            <w:r>
              <w:rPr>
                <w:rFonts w:hint="eastAsia" w:ascii="仿宋_GB2312" w:hAnsi="仿宋_GB2312" w:eastAsia="仿宋_GB2312" w:cs="仿宋_GB2312"/>
                <w:color w:val="auto"/>
                <w:spacing w:val="0"/>
                <w:kern w:val="0"/>
                <w:sz w:val="28"/>
                <w:szCs w:val="28"/>
                <w:highlight w:val="none"/>
                <w:lang w:val="en-US" w:eastAsia="zh-CN"/>
              </w:rPr>
              <w:t>按照市级部署，</w:t>
            </w:r>
            <w:r>
              <w:rPr>
                <w:rFonts w:hint="eastAsia" w:ascii="仿宋_GB2312" w:hAnsi="仿宋_GB2312" w:eastAsia="仿宋_GB2312" w:cs="仿宋_GB2312"/>
                <w:color w:val="auto"/>
                <w:spacing w:val="0"/>
                <w:kern w:val="0"/>
                <w:sz w:val="28"/>
                <w:szCs w:val="28"/>
                <w:highlight w:val="none"/>
                <w:lang w:eastAsia="en-US"/>
              </w:rPr>
              <w:t>发展低碳循环农业，加大老旧设施改造力度，提升设施性能。提升低耗高效农业设施比例。</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区农业农村局</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val="en-US" w:eastAsia="zh-CN"/>
              </w:rPr>
              <w:t>落实市级</w:t>
            </w:r>
            <w:r>
              <w:rPr>
                <w:rFonts w:hint="eastAsia" w:ascii="仿宋_GB2312" w:hAnsi="仿宋_GB2312" w:eastAsia="仿宋_GB2312" w:cs="仿宋_GB2312"/>
                <w:color w:val="auto"/>
                <w:spacing w:val="0"/>
                <w:kern w:val="0"/>
                <w:sz w:val="28"/>
                <w:szCs w:val="28"/>
                <w:highlight w:val="none"/>
                <w:lang w:eastAsia="en-US"/>
              </w:rPr>
              <w:t>甲烷</w:t>
            </w:r>
            <w:r>
              <w:rPr>
                <w:rFonts w:hint="eastAsia" w:ascii="仿宋_GB2312" w:hAnsi="仿宋_GB2312" w:eastAsia="仿宋_GB2312" w:cs="仿宋_GB2312"/>
                <w:color w:val="auto"/>
                <w:spacing w:val="0"/>
                <w:kern w:val="0"/>
                <w:sz w:val="28"/>
                <w:szCs w:val="28"/>
                <w:highlight w:val="none"/>
                <w:lang w:eastAsia="zh-CN"/>
              </w:rPr>
              <w:t>排放</w:t>
            </w:r>
            <w:r>
              <w:rPr>
                <w:rFonts w:hint="eastAsia" w:ascii="仿宋_GB2312" w:hAnsi="仿宋_GB2312" w:eastAsia="仿宋_GB2312" w:cs="仿宋_GB2312"/>
                <w:color w:val="auto"/>
                <w:spacing w:val="0"/>
                <w:kern w:val="0"/>
                <w:sz w:val="28"/>
                <w:szCs w:val="28"/>
                <w:highlight w:val="none"/>
                <w:lang w:eastAsia="en-US"/>
              </w:rPr>
              <w:t>控制</w:t>
            </w:r>
            <w:r>
              <w:rPr>
                <w:rFonts w:hint="eastAsia" w:ascii="仿宋_GB2312" w:hAnsi="仿宋_GB2312" w:eastAsia="仿宋_GB2312" w:cs="仿宋_GB2312"/>
                <w:color w:val="auto"/>
                <w:spacing w:val="0"/>
                <w:kern w:val="0"/>
                <w:sz w:val="28"/>
                <w:szCs w:val="28"/>
                <w:highlight w:val="none"/>
                <w:lang w:eastAsia="zh-CN"/>
              </w:rPr>
              <w:t>方案</w:t>
            </w:r>
            <w:r>
              <w:rPr>
                <w:rFonts w:hint="eastAsia" w:ascii="仿宋_GB2312" w:hAnsi="仿宋_GB2312" w:eastAsia="仿宋_GB2312" w:cs="仿宋_GB2312"/>
                <w:color w:val="auto"/>
                <w:spacing w:val="0"/>
                <w:kern w:val="0"/>
                <w:sz w:val="28"/>
                <w:szCs w:val="28"/>
                <w:highlight w:val="none"/>
                <w:lang w:eastAsia="en-US"/>
              </w:rPr>
              <w:t>，</w:t>
            </w:r>
            <w:r>
              <w:rPr>
                <w:rFonts w:hint="eastAsia" w:ascii="仿宋_GB2312" w:hAnsi="仿宋_GB2312" w:eastAsia="仿宋_GB2312" w:cs="仿宋_GB2312"/>
                <w:color w:val="auto"/>
                <w:spacing w:val="0"/>
                <w:kern w:val="0"/>
                <w:sz w:val="28"/>
                <w:szCs w:val="28"/>
                <w:highlight w:val="none"/>
                <w:lang w:val="en-US" w:eastAsia="zh-CN"/>
              </w:rPr>
              <w:t>严格控制污水处理、废弃物、农业、能源等领域甲烷排放，促进甲烷资源化利用</w:t>
            </w:r>
            <w:r>
              <w:rPr>
                <w:rFonts w:hint="eastAsia" w:ascii="仿宋_GB2312" w:hAnsi="仿宋_GB2312" w:eastAsia="仿宋_GB2312" w:cs="仿宋_GB2312"/>
                <w:color w:val="auto"/>
                <w:spacing w:val="0"/>
                <w:kern w:val="0"/>
                <w:sz w:val="28"/>
                <w:szCs w:val="28"/>
                <w:highlight w:val="none"/>
                <w:lang w:eastAsia="en-US"/>
              </w:rPr>
              <w:t>。</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tc>
        <w:tc>
          <w:tcPr>
            <w:tcW w:w="2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cs="仿宋_GB2312"/>
                <w:color w:val="auto"/>
                <w:spacing w:val="0"/>
                <w:kern w:val="0"/>
                <w:sz w:val="28"/>
                <w:szCs w:val="28"/>
                <w:highlight w:val="none"/>
                <w:lang w:val="en-US" w:eastAsia="zh-CN"/>
              </w:rPr>
              <w:t>1</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提升生态系统应对气候变化能力</w:t>
            </w:r>
          </w:p>
        </w:tc>
        <w:tc>
          <w:tcPr>
            <w:tcW w:w="57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提升生态系统碳汇能力，全区森林蓄积量达到</w:t>
            </w:r>
            <w:r>
              <w:rPr>
                <w:rFonts w:hint="eastAsia" w:ascii="仿宋_GB2312" w:hAnsi="仿宋_GB2312" w:eastAsia="仿宋_GB2312" w:cs="仿宋_GB2312"/>
                <w:color w:val="auto"/>
                <w:kern w:val="0"/>
                <w:sz w:val="28"/>
                <w:szCs w:val="28"/>
                <w:highlight w:val="none"/>
                <w:u w:val="none"/>
                <w:lang w:val="en-US" w:eastAsia="zh-CN"/>
              </w:rPr>
              <w:t>575万立方米</w:t>
            </w:r>
            <w:r>
              <w:rPr>
                <w:rFonts w:hint="eastAsia" w:ascii="仿宋_GB2312" w:hAnsi="仿宋_GB2312" w:eastAsia="仿宋_GB2312" w:cs="仿宋_GB2312"/>
                <w:color w:val="auto"/>
                <w:kern w:val="0"/>
                <w:sz w:val="28"/>
                <w:szCs w:val="28"/>
                <w:highlight w:val="none"/>
                <w:lang w:eastAsia="zh-CN"/>
              </w:rPr>
              <w:t>，森林覆盖率持续提升。</w:t>
            </w:r>
            <w:r>
              <w:rPr>
                <w:rFonts w:hint="eastAsia" w:ascii="仿宋_GB2312" w:hAnsi="仿宋_GB2312" w:eastAsia="仿宋_GB2312" w:cs="仿宋_GB2312"/>
                <w:color w:val="auto"/>
                <w:spacing w:val="0"/>
                <w:kern w:val="0"/>
                <w:sz w:val="28"/>
                <w:szCs w:val="28"/>
                <w:highlight w:val="none"/>
                <w:lang w:eastAsia="en-US"/>
              </w:rPr>
              <w:t>构建生态廊道和城镇建设相互交融的空间格局。</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tcMar>
              <w:left w:w="57"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区园林绿化局</w:t>
            </w:r>
          </w:p>
          <w:p>
            <w:pPr>
              <w:keepNext w:val="0"/>
              <w:keepLines w:val="0"/>
              <w:pageBreakBefore w:val="0"/>
              <w:widowControl w:val="0"/>
              <w:kinsoku/>
              <w:wordWrap/>
              <w:overflowPunct/>
              <w:topLinePunct w:val="0"/>
              <w:bidi w:val="0"/>
              <w:adjustRightInd/>
              <w:snapToGrid w:val="0"/>
              <w:spacing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w:t>
            </w:r>
          </w:p>
          <w:p>
            <w:pPr>
              <w:keepNext w:val="0"/>
              <w:keepLines w:val="0"/>
              <w:pageBreakBefore w:val="0"/>
              <w:widowControl w:val="0"/>
              <w:kinsoku/>
              <w:wordWrap/>
              <w:overflowPunct/>
              <w:topLinePunct w:val="0"/>
              <w:bidi w:val="0"/>
              <w:adjustRightInd/>
              <w:snapToGrid w:val="0"/>
              <w:spacing w:line="320" w:lineRule="exact"/>
              <w:ind w:left="-110" w:leftChars="-50" w:right="-110" w:rightChars="-50"/>
              <w:jc w:val="center"/>
              <w:textAlignment w:val="auto"/>
              <w:rPr>
                <w:rFonts w:hint="eastAsia"/>
                <w:lang w:val="en-US" w:eastAsia="zh-CN"/>
              </w:rPr>
            </w:pPr>
            <w:r>
              <w:rPr>
                <w:rFonts w:hint="eastAsia" w:ascii="仿宋_GB2312" w:hAnsi="仿宋_GB2312" w:eastAsia="仿宋_GB2312" w:cs="仿宋_GB2312"/>
                <w:color w:val="auto"/>
                <w:kern w:val="0"/>
                <w:sz w:val="28"/>
                <w:szCs w:val="28"/>
                <w:highlight w:val="none"/>
                <w:lang w:val="en-US" w:eastAsia="zh-CN"/>
              </w:rPr>
              <w:t>密云分局</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区园林绿化中心</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42"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四、加强城市气候适应性建设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cs="仿宋_GB2312"/>
                <w:color w:val="auto"/>
                <w:spacing w:val="0"/>
                <w:kern w:val="0"/>
                <w:sz w:val="28"/>
                <w:szCs w:val="28"/>
                <w:highlight w:val="none"/>
                <w:lang w:val="en-US" w:eastAsia="zh-CN"/>
              </w:rPr>
              <w:t>2</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加强适应气候变化</w:t>
            </w:r>
            <w:r>
              <w:rPr>
                <w:rFonts w:hint="eastAsia" w:ascii="仿宋_GB2312" w:hAnsi="仿宋_GB2312" w:eastAsia="仿宋_GB2312" w:cs="仿宋_GB2312"/>
                <w:color w:val="auto"/>
                <w:spacing w:val="0"/>
                <w:kern w:val="0"/>
                <w:sz w:val="28"/>
                <w:szCs w:val="28"/>
                <w:highlight w:val="none"/>
                <w:lang w:val="en-US" w:eastAsia="zh-CN"/>
              </w:rPr>
              <w:t>工作统筹</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落实</w:t>
            </w:r>
            <w:r>
              <w:rPr>
                <w:rFonts w:hint="eastAsia" w:ascii="仿宋_GB2312" w:hAnsi="仿宋_GB2312" w:eastAsia="仿宋_GB2312" w:cs="仿宋_GB2312"/>
                <w:color w:val="auto"/>
                <w:spacing w:val="0"/>
                <w:kern w:val="0"/>
                <w:sz w:val="28"/>
                <w:szCs w:val="28"/>
                <w:highlight w:val="none"/>
                <w:lang w:eastAsia="en-US"/>
              </w:rPr>
              <w:t>北京市适应气候变化行动方案，</w:t>
            </w:r>
            <w:r>
              <w:rPr>
                <w:rFonts w:hint="eastAsia" w:ascii="仿宋_GB2312" w:hAnsi="仿宋_GB2312" w:eastAsia="仿宋_GB2312" w:cs="仿宋_GB2312"/>
                <w:color w:val="auto"/>
                <w:spacing w:val="0"/>
                <w:kern w:val="0"/>
                <w:sz w:val="28"/>
                <w:szCs w:val="28"/>
                <w:highlight w:val="none"/>
                <w:lang w:eastAsia="zh-CN"/>
              </w:rPr>
              <w:t>传播城市</w:t>
            </w:r>
            <w:r>
              <w:rPr>
                <w:rFonts w:hint="eastAsia" w:ascii="仿宋_GB2312" w:hAnsi="仿宋_GB2312" w:eastAsia="仿宋_GB2312" w:cs="仿宋_GB2312"/>
                <w:color w:val="auto"/>
                <w:spacing w:val="0"/>
                <w:kern w:val="0"/>
                <w:sz w:val="28"/>
                <w:szCs w:val="28"/>
                <w:highlight w:val="none"/>
                <w:lang w:eastAsia="en-US"/>
              </w:rPr>
              <w:t>适应气候变化理念，</w:t>
            </w:r>
            <w:r>
              <w:rPr>
                <w:rFonts w:hint="eastAsia" w:ascii="仿宋_GB2312" w:hAnsi="仿宋_GB2312" w:eastAsia="仿宋_GB2312" w:cs="仿宋_GB2312"/>
                <w:color w:val="auto"/>
                <w:spacing w:val="0"/>
                <w:kern w:val="0"/>
                <w:sz w:val="28"/>
                <w:szCs w:val="28"/>
                <w:highlight w:val="none"/>
                <w:lang w:eastAsia="zh-CN"/>
              </w:rPr>
              <w:t>根据市级部署，开展城市气候变化风险评估工作。</w:t>
            </w:r>
          </w:p>
          <w:p>
            <w:pPr>
              <w:keepNext w:val="0"/>
              <w:keepLines w:val="0"/>
              <w:pageBreakBefore w:val="0"/>
              <w:widowControl w:val="0"/>
              <w:kinsoku/>
              <w:wordWrap/>
              <w:overflowPunct/>
              <w:topLinePunct w:val="0"/>
              <w:autoSpaceDE/>
              <w:autoSpaceDN/>
              <w:bidi w:val="0"/>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贯彻落实《国家气候变化健康适应行动方案（2024-2030）》，配合市级部门编制气候变化健康适应行动方案。</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widowControl w:val="0"/>
              <w:kinsoku/>
              <w:wordWrap/>
              <w:overflowPunct/>
              <w:topLinePunct w:val="0"/>
              <w:bidi w:val="0"/>
              <w:snapToGrid w:val="0"/>
              <w:spacing w:line="320" w:lineRule="exact"/>
              <w:ind w:left="-110" w:leftChars="-50" w:right="-110" w:rightChars="-50"/>
              <w:jc w:val="center"/>
              <w:textAlignment w:val="auto"/>
              <w:rPr>
                <w:rFonts w:hint="eastAsia"/>
                <w:lang w:val="en-US" w:eastAsia="zh-CN"/>
              </w:rPr>
            </w:pPr>
            <w:r>
              <w:rPr>
                <w:rFonts w:hint="eastAsia" w:ascii="仿宋_GB2312" w:hAnsi="仿宋_GB2312" w:eastAsia="仿宋_GB2312" w:cs="仿宋_GB2312"/>
                <w:color w:val="auto"/>
                <w:kern w:val="0"/>
                <w:sz w:val="28"/>
                <w:szCs w:val="28"/>
                <w:highlight w:val="none"/>
                <w:lang w:val="en-US" w:eastAsia="zh-CN"/>
              </w:rPr>
              <w:t>区疾控中心</w:t>
            </w:r>
          </w:p>
        </w:tc>
        <w:tc>
          <w:tcPr>
            <w:tcW w:w="2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区卫生健康委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区应急局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区气象局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区科委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区住房城乡建设委</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区园林绿化局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区财政局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相关金融机构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cs="仿宋_GB2312"/>
                <w:color w:val="auto"/>
                <w:spacing w:val="0"/>
                <w:kern w:val="0"/>
                <w:sz w:val="28"/>
                <w:szCs w:val="28"/>
                <w:highlight w:val="none"/>
                <w:lang w:val="en-US" w:eastAsia="zh-CN"/>
              </w:rPr>
              <w:t>3</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加强海绵城市建设</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推广开展“海绵校园”“海绵公园”“海绵道路”等海绵城市建设工程。</w:t>
            </w:r>
            <w:r>
              <w:rPr>
                <w:rFonts w:hint="eastAsia" w:ascii="仿宋_GB2312" w:hAnsi="仿宋_GB2312" w:eastAsia="仿宋_GB2312" w:cs="仿宋_GB2312"/>
                <w:color w:val="auto"/>
                <w:spacing w:val="0"/>
                <w:kern w:val="0"/>
                <w:sz w:val="28"/>
                <w:szCs w:val="28"/>
                <w:highlight w:val="none"/>
                <w:lang w:eastAsia="zh-CN"/>
              </w:rPr>
              <w:t>建成区</w:t>
            </w:r>
            <w:r>
              <w:rPr>
                <w:rFonts w:hint="eastAsia" w:ascii="仿宋_GB2312" w:hAnsi="仿宋_GB2312" w:eastAsia="仿宋_GB2312" w:cs="仿宋_GB2312"/>
                <w:color w:val="auto"/>
                <w:spacing w:val="0"/>
                <w:kern w:val="0"/>
                <w:sz w:val="28"/>
                <w:szCs w:val="28"/>
                <w:highlight w:val="none"/>
                <w:lang w:eastAsia="en-US"/>
              </w:rPr>
              <w:t>海绵城市达标面积比例</w:t>
            </w:r>
            <w:r>
              <w:rPr>
                <w:rFonts w:hint="eastAsia" w:ascii="仿宋_GB2312" w:hAnsi="仿宋_GB2312" w:eastAsia="仿宋_GB2312" w:cs="仿宋_GB2312"/>
                <w:color w:val="auto"/>
                <w:spacing w:val="0"/>
                <w:kern w:val="0"/>
                <w:sz w:val="28"/>
                <w:szCs w:val="28"/>
                <w:highlight w:val="none"/>
                <w:lang w:eastAsia="zh-CN"/>
              </w:rPr>
              <w:t>达到</w:t>
            </w:r>
            <w:r>
              <w:rPr>
                <w:rFonts w:hint="eastAsia" w:ascii="仿宋_GB2312" w:hAnsi="仿宋_GB2312" w:eastAsia="仿宋_GB2312" w:cs="仿宋_GB2312"/>
                <w:color w:val="auto"/>
                <w:kern w:val="0"/>
                <w:sz w:val="28"/>
                <w:szCs w:val="28"/>
                <w:highlight w:val="none"/>
                <w:u w:val="none"/>
                <w:lang w:val="en-US" w:eastAsia="zh-CN"/>
              </w:rPr>
              <w:t>市级要求。</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right w:val="single" w:color="000000"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tc>
        <w:tc>
          <w:tcPr>
            <w:tcW w:w="2047" w:type="dxa"/>
            <w:tcBorders>
              <w:left w:val="single" w:color="000000" w:sz="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spacing w:val="-17"/>
                <w:kern w:val="0"/>
                <w:sz w:val="28"/>
                <w:szCs w:val="28"/>
                <w:highlight w:val="none"/>
                <w:lang w:val="en-US" w:eastAsia="zh-CN"/>
              </w:rPr>
            </w:pPr>
            <w:r>
              <w:rPr>
                <w:rFonts w:hint="eastAsia" w:ascii="仿宋_GB2312" w:hAnsi="仿宋_GB2312" w:eastAsia="仿宋_GB2312" w:cs="仿宋_GB2312"/>
                <w:color w:val="auto"/>
                <w:spacing w:val="-17"/>
                <w:kern w:val="0"/>
                <w:sz w:val="28"/>
                <w:szCs w:val="28"/>
                <w:highlight w:val="none"/>
                <w:lang w:val="en-US" w:eastAsia="zh-CN"/>
              </w:rPr>
              <w:t>区住房城乡建设委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w:t>
            </w:r>
            <w:r>
              <w:rPr>
                <w:rFonts w:hint="eastAsia" w:cs="仿宋_GB2312"/>
                <w:color w:val="auto"/>
                <w:kern w:val="0"/>
                <w:sz w:val="28"/>
                <w:szCs w:val="28"/>
                <w:highlight w:val="none"/>
                <w:lang w:val="en-US" w:eastAsia="zh-CN"/>
              </w:rPr>
              <w:t>城市管理委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区园林绿化局</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cs="仿宋_GB2312"/>
                <w:color w:val="auto"/>
                <w:spacing w:val="0"/>
                <w:kern w:val="0"/>
                <w:sz w:val="28"/>
                <w:szCs w:val="28"/>
                <w:highlight w:val="none"/>
                <w:lang w:val="en-US" w:eastAsia="zh-CN"/>
              </w:rPr>
              <w:t>4</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提升</w:t>
            </w:r>
            <w:r>
              <w:rPr>
                <w:rFonts w:hint="eastAsia" w:ascii="仿宋_GB2312" w:hAnsi="仿宋_GB2312" w:eastAsia="仿宋_GB2312" w:cs="仿宋_GB2312"/>
                <w:color w:val="auto"/>
                <w:spacing w:val="0"/>
                <w:kern w:val="0"/>
                <w:sz w:val="28"/>
                <w:szCs w:val="28"/>
                <w:highlight w:val="none"/>
                <w:lang w:val="en-US" w:eastAsia="zh-CN"/>
              </w:rPr>
              <w:t>监测</w:t>
            </w:r>
            <w:r>
              <w:rPr>
                <w:rFonts w:hint="eastAsia" w:ascii="仿宋_GB2312" w:hAnsi="仿宋_GB2312" w:eastAsia="仿宋_GB2312" w:cs="仿宋_GB2312"/>
                <w:color w:val="auto"/>
                <w:spacing w:val="0"/>
                <w:kern w:val="0"/>
                <w:sz w:val="28"/>
                <w:szCs w:val="28"/>
                <w:highlight w:val="none"/>
                <w:lang w:eastAsia="en-US"/>
              </w:rPr>
              <w:t>预警能力</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按照市级工作部署，</w:t>
            </w:r>
            <w:r>
              <w:rPr>
                <w:rFonts w:hint="eastAsia" w:ascii="仿宋_GB2312" w:hAnsi="仿宋_GB2312" w:eastAsia="仿宋_GB2312" w:cs="仿宋_GB2312"/>
                <w:color w:val="auto"/>
                <w:spacing w:val="0"/>
                <w:kern w:val="0"/>
                <w:sz w:val="28"/>
                <w:szCs w:val="28"/>
                <w:highlight w:val="none"/>
                <w:lang w:eastAsia="en-US"/>
              </w:rPr>
              <w:t>健全覆盖全</w:t>
            </w: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的气象监测和自然灾害预警系统，进一步</w:t>
            </w:r>
            <w:r>
              <w:rPr>
                <w:rFonts w:hint="eastAsia" w:ascii="仿宋_GB2312" w:hAnsi="仿宋_GB2312" w:eastAsia="仿宋_GB2312" w:cs="仿宋_GB2312"/>
                <w:color w:val="auto"/>
                <w:spacing w:val="0"/>
                <w:kern w:val="0"/>
                <w:sz w:val="28"/>
                <w:szCs w:val="28"/>
                <w:highlight w:val="none"/>
                <w:lang w:val="en-US" w:eastAsia="zh-CN"/>
              </w:rPr>
              <w:t>提高</w:t>
            </w:r>
            <w:r>
              <w:rPr>
                <w:rFonts w:hint="eastAsia" w:ascii="仿宋_GB2312" w:hAnsi="仿宋_GB2312" w:eastAsia="仿宋_GB2312" w:cs="仿宋_GB2312"/>
                <w:color w:val="auto"/>
                <w:spacing w:val="0"/>
                <w:kern w:val="0"/>
                <w:sz w:val="28"/>
                <w:szCs w:val="28"/>
                <w:highlight w:val="none"/>
                <w:lang w:eastAsia="en-US"/>
              </w:rPr>
              <w:t>短时临近气象预报</w:t>
            </w:r>
            <w:r>
              <w:rPr>
                <w:rFonts w:hint="eastAsia" w:ascii="仿宋_GB2312" w:hAnsi="仿宋_GB2312" w:eastAsia="仿宋_GB2312" w:cs="仿宋_GB2312"/>
                <w:color w:val="auto"/>
                <w:spacing w:val="0"/>
                <w:kern w:val="0"/>
                <w:sz w:val="28"/>
                <w:szCs w:val="28"/>
                <w:highlight w:val="none"/>
                <w:lang w:val="en-US" w:eastAsia="zh-CN"/>
              </w:rPr>
              <w:t>精准度</w:t>
            </w:r>
            <w:r>
              <w:rPr>
                <w:rFonts w:hint="eastAsia" w:ascii="仿宋_GB2312" w:hAnsi="仿宋_GB2312" w:eastAsia="仿宋_GB2312" w:cs="仿宋_GB2312"/>
                <w:color w:val="auto"/>
                <w:spacing w:val="0"/>
                <w:kern w:val="0"/>
                <w:sz w:val="28"/>
                <w:szCs w:val="28"/>
                <w:highlight w:val="none"/>
                <w:lang w:eastAsia="en-US"/>
              </w:rPr>
              <w:t>，加大重点区域的精准预测预警。</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lang w:val="en-US" w:eastAsia="zh-CN"/>
              </w:rPr>
            </w:pPr>
            <w:r>
              <w:rPr>
                <w:rFonts w:hint="eastAsia" w:ascii="仿宋_GB2312" w:hAnsi="仿宋_GB2312" w:eastAsia="仿宋_GB2312" w:cs="仿宋_GB2312"/>
                <w:color w:val="auto"/>
                <w:kern w:val="0"/>
                <w:sz w:val="28"/>
                <w:szCs w:val="28"/>
                <w:highlight w:val="none"/>
                <w:lang w:val="en-US" w:eastAsia="zh-CN"/>
              </w:rPr>
              <w:t>区气象局</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42"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b/>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五、强化综合保障和能力建设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64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1</w:t>
            </w:r>
            <w:r>
              <w:rPr>
                <w:rFonts w:hint="eastAsia" w:cs="仿宋_GB2312"/>
                <w:color w:val="auto"/>
                <w:spacing w:val="0"/>
                <w:kern w:val="0"/>
                <w:sz w:val="28"/>
                <w:szCs w:val="28"/>
                <w:highlight w:val="none"/>
                <w:lang w:val="en-US" w:eastAsia="zh-CN"/>
              </w:rPr>
              <w:t>5</w:t>
            </w:r>
          </w:p>
        </w:tc>
        <w:tc>
          <w:tcPr>
            <w:tcW w:w="10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提升统计核算能力</w:t>
            </w:r>
            <w:r>
              <w:rPr>
                <w:rFonts w:hint="eastAsia" w:ascii="仿宋_GB2312" w:hAnsi="仿宋_GB2312" w:eastAsia="仿宋_GB2312" w:cs="仿宋_GB2312"/>
                <w:color w:val="auto"/>
                <w:spacing w:val="0"/>
                <w:kern w:val="0"/>
                <w:sz w:val="28"/>
                <w:szCs w:val="28"/>
                <w:highlight w:val="none"/>
                <w:lang w:val="en-US" w:eastAsia="zh-CN"/>
              </w:rPr>
              <w:t>和数据质量管理</w:t>
            </w: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配合市级部门建立本市温室气体排放因子库。开展区级温室气体清单编制。鼓励开展</w:t>
            </w:r>
            <w:r>
              <w:rPr>
                <w:rFonts w:hint="eastAsia" w:ascii="仿宋_GB2312" w:hAnsi="仿宋_GB2312" w:eastAsia="仿宋_GB2312" w:cs="仿宋_GB2312"/>
                <w:color w:val="auto"/>
                <w:kern w:val="0"/>
                <w:sz w:val="28"/>
                <w:szCs w:val="28"/>
                <w:highlight w:val="none"/>
                <w:lang w:eastAsia="zh-CN"/>
              </w:rPr>
              <w:t>区域</w:t>
            </w:r>
            <w:r>
              <w:rPr>
                <w:rFonts w:hint="eastAsia" w:ascii="仿宋_GB2312" w:hAnsi="仿宋_GB2312" w:eastAsia="仿宋_GB2312" w:cs="仿宋_GB2312"/>
                <w:color w:val="auto"/>
                <w:kern w:val="0"/>
                <w:sz w:val="28"/>
                <w:szCs w:val="28"/>
                <w:highlight w:val="none"/>
              </w:rPr>
              <w:t>重点产品碳足迹核算</w:t>
            </w:r>
            <w:r>
              <w:rPr>
                <w:rFonts w:hint="eastAsia" w:ascii="仿宋_GB2312" w:hAnsi="仿宋_GB2312" w:eastAsia="仿宋_GB2312" w:cs="仿宋_GB2312"/>
                <w:color w:val="auto"/>
                <w:kern w:val="0"/>
                <w:sz w:val="28"/>
                <w:szCs w:val="28"/>
                <w:highlight w:val="none"/>
                <w:lang w:eastAsia="zh-CN"/>
              </w:rPr>
              <w:t>相关工作。</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57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0" w:right="0"/>
              <w:jc w:val="both"/>
              <w:textAlignment w:val="auto"/>
              <w:outlineLvl w:val="9"/>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做好全区能源运行监测分析，夯实碳排放核算数据基础，定期统计核算全区能源运行碳排放情况，加强碳排放形势分析会商。</w:t>
            </w:r>
          </w:p>
        </w:tc>
        <w:tc>
          <w:tcPr>
            <w:tcW w:w="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tc>
        <w:tc>
          <w:tcPr>
            <w:tcW w:w="2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统计局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kern w:val="0"/>
                <w:sz w:val="28"/>
                <w:szCs w:val="28"/>
                <w:highlight w:val="none"/>
                <w:lang w:val="en-US" w:eastAsia="zh-CN"/>
              </w:rPr>
              <w:t>国网密云供电公司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w:t>
            </w:r>
            <w:r>
              <w:rPr>
                <w:rFonts w:hint="eastAsia" w:cs="仿宋_GB2312"/>
                <w:color w:val="auto"/>
                <w:spacing w:val="0"/>
                <w:kern w:val="0"/>
                <w:sz w:val="28"/>
                <w:szCs w:val="28"/>
                <w:highlight w:val="none"/>
                <w:lang w:val="en-US" w:eastAsia="zh-CN"/>
              </w:rPr>
              <w:t>6</w:t>
            </w:r>
          </w:p>
        </w:tc>
        <w:tc>
          <w:tcPr>
            <w:tcW w:w="1080" w:type="dxa"/>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强化</w:t>
            </w:r>
            <w:r>
              <w:rPr>
                <w:rFonts w:hint="eastAsia" w:ascii="仿宋_GB2312" w:hAnsi="仿宋_GB2312" w:eastAsia="仿宋_GB2312" w:cs="仿宋_GB2312"/>
                <w:color w:val="auto"/>
                <w:spacing w:val="0"/>
                <w:kern w:val="0"/>
                <w:sz w:val="28"/>
                <w:szCs w:val="28"/>
                <w:highlight w:val="none"/>
                <w:lang w:val="en-US" w:eastAsia="zh-CN"/>
              </w:rPr>
              <w:t>应对气候变化财政及</w:t>
            </w:r>
            <w:r>
              <w:rPr>
                <w:rFonts w:hint="eastAsia" w:ascii="仿宋_GB2312" w:hAnsi="仿宋_GB2312" w:eastAsia="仿宋_GB2312" w:cs="仿宋_GB2312"/>
                <w:color w:val="auto"/>
                <w:spacing w:val="0"/>
                <w:kern w:val="0"/>
                <w:sz w:val="28"/>
                <w:szCs w:val="28"/>
                <w:highlight w:val="none"/>
                <w:lang w:eastAsia="en-US"/>
              </w:rPr>
              <w:t>经济</w:t>
            </w:r>
            <w:r>
              <w:rPr>
                <w:rFonts w:hint="eastAsia" w:ascii="仿宋_GB2312" w:hAnsi="仿宋_GB2312" w:eastAsia="仿宋_GB2312" w:cs="仿宋_GB2312"/>
                <w:color w:val="auto"/>
                <w:spacing w:val="0"/>
                <w:kern w:val="0"/>
                <w:sz w:val="28"/>
                <w:szCs w:val="28"/>
                <w:highlight w:val="none"/>
                <w:lang w:val="en-US" w:eastAsia="zh-CN"/>
              </w:rPr>
              <w:t>政策</w:t>
            </w:r>
            <w:r>
              <w:rPr>
                <w:rFonts w:hint="eastAsia" w:ascii="仿宋_GB2312" w:hAnsi="仿宋_GB2312" w:eastAsia="仿宋_GB2312" w:cs="仿宋_GB2312"/>
                <w:color w:val="auto"/>
                <w:spacing w:val="0"/>
                <w:kern w:val="0"/>
                <w:sz w:val="28"/>
                <w:szCs w:val="28"/>
                <w:highlight w:val="none"/>
                <w:lang w:eastAsia="en-US"/>
              </w:rPr>
              <w:t>支持</w:t>
            </w:r>
          </w:p>
        </w:tc>
        <w:tc>
          <w:tcPr>
            <w:tcW w:w="5782" w:type="dxa"/>
            <w:tcBorders>
              <w:tl2br w:val="nil"/>
              <w:tr2bl w:val="nil"/>
            </w:tcBorders>
            <w:vAlign w:val="center"/>
          </w:tcPr>
          <w:p>
            <w:pPr>
              <w:pStyle w:val="14"/>
              <w:keepNext w:val="0"/>
              <w:keepLines w:val="0"/>
              <w:pageBreakBefore w:val="0"/>
              <w:kinsoku/>
              <w:wordWrap/>
              <w:overflowPunct/>
              <w:topLinePunct w:val="0"/>
              <w:autoSpaceDE/>
              <w:autoSpaceDN/>
              <w:bidi w:val="0"/>
              <w:adjustRightInd/>
              <w:snapToGrid w:val="0"/>
              <w:spacing w:line="320" w:lineRule="exact"/>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统筹做好对减缓和适应气候变化工作的资金保障，鼓励低碳技术研发推广和项目建设，按照市级部署，逐步削减对燃气供暖等化石能源消费的政策补贴，加强对光伏发电、地热及热泵等可再生能源开发利用以及非二氧化碳温室气体、低碳试点示范等方面的政策支持。</w:t>
            </w:r>
          </w:p>
          <w:p>
            <w:pPr>
              <w:pStyle w:val="14"/>
              <w:keepNext w:val="0"/>
              <w:keepLines w:val="0"/>
              <w:pageBreakBefore w:val="0"/>
              <w:kinsoku/>
              <w:wordWrap/>
              <w:overflowPunct/>
              <w:topLinePunct w:val="0"/>
              <w:autoSpaceDE/>
              <w:autoSpaceDN/>
              <w:bidi w:val="0"/>
              <w:adjustRightInd/>
              <w:snapToGrid w:val="0"/>
              <w:spacing w:line="320" w:lineRule="exact"/>
              <w:textAlignment w:val="auto"/>
              <w:outlineLvl w:val="9"/>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rPr>
              <w:t>大力推进气候投融资等绿色金融政策，引导更多社会资金流向应对气候变化领域。推动落实北京市碳资产质押融资试点方案，探索开展京津冀区域内绿色金融合作模式。加大对应对气候变化和双碳领域的科技支撑。</w:t>
            </w:r>
          </w:p>
        </w:tc>
        <w:tc>
          <w:tcPr>
            <w:tcW w:w="937"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区财政局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区科委</w:t>
            </w:r>
          </w:p>
        </w:tc>
        <w:tc>
          <w:tcPr>
            <w:tcW w:w="2330"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区有关部门</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相关金融机构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w:t>
            </w:r>
            <w:r>
              <w:rPr>
                <w:rFonts w:hint="eastAsia" w:cs="仿宋_GB2312"/>
                <w:color w:val="auto"/>
                <w:spacing w:val="0"/>
                <w:kern w:val="0"/>
                <w:sz w:val="28"/>
                <w:szCs w:val="28"/>
                <w:highlight w:val="none"/>
                <w:lang w:val="en-US" w:eastAsia="zh-CN"/>
              </w:rPr>
              <w:t>7</w:t>
            </w:r>
          </w:p>
        </w:tc>
        <w:tc>
          <w:tcPr>
            <w:tcW w:w="1080" w:type="dxa"/>
            <w:vMerge w:val="restart"/>
            <w:tcBorders>
              <w:tl2br w:val="nil"/>
              <w:tr2bl w:val="nil"/>
            </w:tcBorders>
            <w:vAlign w:val="center"/>
          </w:tcPr>
          <w:p>
            <w:pPr>
              <w:pStyle w:val="14"/>
              <w:keepNext w:val="0"/>
              <w:keepLines w:val="0"/>
              <w:pageBreakBefore w:val="0"/>
              <w:kinsoku/>
              <w:wordWrap/>
              <w:overflowPunct/>
              <w:topLinePunct w:val="0"/>
              <w:autoSpaceDE/>
              <w:autoSpaceDN/>
              <w:bidi w:val="0"/>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加强宣传引导</w:t>
            </w:r>
          </w:p>
          <w:p>
            <w:pPr>
              <w:pStyle w:val="14"/>
              <w:keepNext w:val="0"/>
              <w:keepLines w:val="0"/>
              <w:pageBreakBefore w:val="0"/>
              <w:kinsoku/>
              <w:wordWrap/>
              <w:overflowPunct/>
              <w:topLinePunct w:val="0"/>
              <w:autoSpaceDE/>
              <w:autoSpaceDN/>
              <w:bidi w:val="0"/>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lang w:val="en-US" w:eastAsia="zh-CN"/>
              </w:rPr>
              <w:t xml:space="preserve"> </w:t>
            </w:r>
            <w:r>
              <w:rPr>
                <w:rFonts w:hint="eastAsia" w:ascii="仿宋_GB2312" w:hAnsi="仿宋_GB2312" w:eastAsia="仿宋_GB2312" w:cs="仿宋_GB2312"/>
                <w:color w:val="auto"/>
                <w:spacing w:val="0"/>
                <w:kern w:val="0"/>
                <w:sz w:val="28"/>
                <w:szCs w:val="28"/>
                <w:highlight w:val="none"/>
              </w:rPr>
              <w:t>教育</w:t>
            </w:r>
          </w:p>
        </w:tc>
        <w:tc>
          <w:tcPr>
            <w:tcW w:w="5782" w:type="dxa"/>
            <w:tcBorders>
              <w:tl2br w:val="nil"/>
              <w:tr2bl w:val="nil"/>
            </w:tcBorders>
            <w:vAlign w:val="center"/>
          </w:tcPr>
          <w:p>
            <w:pPr>
              <w:pStyle w:val="14"/>
              <w:keepNext w:val="0"/>
              <w:keepLines w:val="0"/>
              <w:pageBreakBefore w:val="0"/>
              <w:kinsoku/>
              <w:wordWrap/>
              <w:overflowPunct/>
              <w:topLinePunct w:val="0"/>
              <w:autoSpaceDE/>
              <w:autoSpaceDN/>
              <w:bidi w:val="0"/>
              <w:adjustRightInd/>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加大应对气候变化宣传力度。组织开展2025年全国低碳日、世界环境日、生态日等宣传活动。推广高效低碳绿色产品，</w:t>
            </w:r>
            <w:r>
              <w:rPr>
                <w:rFonts w:hint="eastAsia" w:ascii="仿宋_GB2312" w:hAnsi="仿宋_GB2312" w:eastAsia="仿宋_GB2312" w:cs="仿宋_GB2312"/>
                <w:color w:val="auto"/>
                <w:spacing w:val="0"/>
                <w:kern w:val="0"/>
                <w:sz w:val="28"/>
                <w:szCs w:val="28"/>
                <w:highlight w:val="none"/>
                <w:lang w:val="en-US" w:eastAsia="zh-CN"/>
              </w:rPr>
              <w:t>推广使用密云区碳普惠小程序，</w:t>
            </w:r>
            <w:r>
              <w:rPr>
                <w:rFonts w:hint="eastAsia" w:ascii="仿宋_GB2312" w:hAnsi="仿宋_GB2312" w:eastAsia="仿宋_GB2312" w:cs="仿宋_GB2312"/>
                <w:color w:val="auto"/>
                <w:spacing w:val="0"/>
                <w:kern w:val="0"/>
                <w:sz w:val="28"/>
                <w:szCs w:val="28"/>
                <w:highlight w:val="none"/>
                <w:lang w:eastAsia="zh-CN"/>
              </w:rPr>
              <w:t>引导市民积极参与低碳出行与垃圾分类等绿色低碳的生活方式和消费理念。</w:t>
            </w:r>
          </w:p>
          <w:p>
            <w:pPr>
              <w:pStyle w:val="14"/>
              <w:keepNext w:val="0"/>
              <w:keepLines w:val="0"/>
              <w:pageBreakBefore w:val="0"/>
              <w:kinsoku/>
              <w:wordWrap/>
              <w:overflowPunct/>
              <w:topLinePunct w:val="0"/>
              <w:autoSpaceDE/>
              <w:autoSpaceDN/>
              <w:bidi w:val="0"/>
              <w:adjustRightInd/>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lang w:eastAsia="zh-CN"/>
              </w:rPr>
              <w:t>持续举办国家气候投融资试点密云讲坛。</w:t>
            </w:r>
          </w:p>
        </w:tc>
        <w:tc>
          <w:tcPr>
            <w:tcW w:w="937"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2126" w:type="dxa"/>
            <w:gridSpan w:val="2"/>
            <w:tcBorders>
              <w:right w:val="single" w:color="000000" w:sz="2" w:space="0"/>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047" w:type="dxa"/>
            <w:tcBorders>
              <w:left w:val="single" w:color="000000" w:sz="2" w:space="0"/>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区交通局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区城市管理委</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区机关事务管理中心</w:t>
            </w:r>
          </w:p>
        </w:tc>
        <w:tc>
          <w:tcPr>
            <w:tcW w:w="2330"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区有关部门</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0" w:after="0" w:line="320" w:lineRule="exact"/>
              <w:ind w:left="0" w:right="0"/>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1080" w:type="dxa"/>
            <w:vMerge w:val="continue"/>
            <w:tcBorders>
              <w:tl2br w:val="nil"/>
              <w:tr2bl w:val="nil"/>
            </w:tcBorders>
            <w:vAlign w:val="center"/>
          </w:tcPr>
          <w:p>
            <w:pPr>
              <w:pStyle w:val="14"/>
              <w:keepNext w:val="0"/>
              <w:keepLines w:val="0"/>
              <w:pageBreakBefore w:val="0"/>
              <w:widowControl/>
              <w:kinsoku/>
              <w:wordWrap/>
              <w:overflowPunct/>
              <w:topLinePunct w:val="0"/>
              <w:autoSpaceDE/>
              <w:autoSpaceDN/>
              <w:bidi w:val="0"/>
              <w:snapToGrid w:val="0"/>
              <w:spacing w:line="320" w:lineRule="exact"/>
              <w:jc w:val="left"/>
              <w:textAlignment w:val="auto"/>
              <w:outlineLvl w:val="9"/>
              <w:rPr>
                <w:rFonts w:hint="eastAsia" w:ascii="仿宋_GB2312" w:hAnsi="仿宋_GB2312" w:eastAsia="仿宋_GB2312" w:cs="仿宋_GB2312"/>
                <w:color w:val="auto"/>
                <w:spacing w:val="0"/>
                <w:kern w:val="0"/>
                <w:sz w:val="28"/>
                <w:szCs w:val="28"/>
                <w:highlight w:val="none"/>
              </w:rPr>
            </w:pPr>
          </w:p>
        </w:tc>
        <w:tc>
          <w:tcPr>
            <w:tcW w:w="5782" w:type="dxa"/>
            <w:tcBorders>
              <w:tl2br w:val="nil"/>
              <w:tr2bl w:val="nil"/>
            </w:tcBorders>
            <w:vAlign w:val="center"/>
          </w:tcPr>
          <w:p>
            <w:pPr>
              <w:pStyle w:val="14"/>
              <w:keepNext w:val="0"/>
              <w:keepLines w:val="0"/>
              <w:pageBreakBefore w:val="0"/>
              <w:kinsoku/>
              <w:wordWrap/>
              <w:overflowPunct/>
              <w:topLinePunct w:val="0"/>
              <w:autoSpaceDE/>
              <w:autoSpaceDN/>
              <w:bidi w:val="0"/>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lang w:eastAsia="zh-CN"/>
              </w:rPr>
              <w:t>加大应对气候变化领域人才培养，</w:t>
            </w:r>
            <w:r>
              <w:rPr>
                <w:rFonts w:hint="eastAsia" w:ascii="仿宋_GB2312" w:hAnsi="仿宋_GB2312" w:eastAsia="仿宋_GB2312" w:cs="仿宋_GB2312"/>
                <w:color w:val="auto"/>
                <w:spacing w:val="0"/>
                <w:kern w:val="0"/>
                <w:sz w:val="28"/>
                <w:szCs w:val="28"/>
                <w:highlight w:val="none"/>
              </w:rPr>
              <w:t>提升推动低碳发展本领。</w:t>
            </w:r>
          </w:p>
          <w:p>
            <w:pPr>
              <w:pStyle w:val="14"/>
              <w:keepNext w:val="0"/>
              <w:keepLines w:val="0"/>
              <w:pageBreakBefore w:val="0"/>
              <w:kinsoku/>
              <w:wordWrap/>
              <w:overflowPunct/>
              <w:topLinePunct w:val="0"/>
              <w:autoSpaceDE/>
              <w:autoSpaceDN/>
              <w:bidi w:val="0"/>
              <w:snapToGrid w:val="0"/>
              <w:spacing w:line="320" w:lineRule="exact"/>
              <w:jc w:val="both"/>
              <w:textAlignment w:val="auto"/>
              <w:outlineLvl w:val="9"/>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开展应对气候变化、碳市场等相关培训</w:t>
            </w:r>
            <w:r>
              <w:rPr>
                <w:rFonts w:hint="eastAsia" w:ascii="仿宋_GB2312" w:hAnsi="仿宋_GB2312" w:eastAsia="仿宋_GB2312" w:cs="仿宋_GB2312"/>
                <w:color w:val="auto"/>
                <w:spacing w:val="0"/>
                <w:kern w:val="0"/>
                <w:sz w:val="28"/>
                <w:szCs w:val="28"/>
                <w:highlight w:val="none"/>
                <w:lang w:eastAsia="zh-CN"/>
              </w:rPr>
              <w:t>，提高各级党员领导干部、高校和企业人员、社会公众应对气候变化知识的培训力度，</w:t>
            </w:r>
            <w:r>
              <w:rPr>
                <w:rFonts w:hint="eastAsia" w:ascii="仿宋_GB2312" w:hAnsi="仿宋_GB2312" w:eastAsia="仿宋_GB2312" w:cs="仿宋_GB2312"/>
                <w:color w:val="auto"/>
                <w:spacing w:val="0"/>
                <w:kern w:val="0"/>
                <w:sz w:val="28"/>
                <w:szCs w:val="28"/>
                <w:highlight w:val="none"/>
              </w:rPr>
              <w:t>将应对气候变化纳入干部教育培训的重要内容</w:t>
            </w:r>
            <w:r>
              <w:rPr>
                <w:rFonts w:hint="eastAsia" w:ascii="仿宋_GB2312" w:hAnsi="仿宋_GB2312" w:eastAsia="仿宋_GB2312" w:cs="仿宋_GB2312"/>
                <w:color w:val="auto"/>
                <w:spacing w:val="0"/>
                <w:kern w:val="0"/>
                <w:sz w:val="28"/>
                <w:szCs w:val="28"/>
                <w:highlight w:val="none"/>
                <w:lang w:eastAsia="zh-CN"/>
              </w:rPr>
              <w:t>，提升全区应对气候变化能力水平。</w:t>
            </w:r>
          </w:p>
        </w:tc>
        <w:tc>
          <w:tcPr>
            <w:tcW w:w="937"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区委组织部</w:t>
            </w:r>
          </w:p>
          <w:p>
            <w:pPr>
              <w:keepNext w:val="0"/>
              <w:keepLines w:val="0"/>
              <w:pageBreakBefore w:val="0"/>
              <w:kinsoku/>
              <w:wordWrap/>
              <w:overflowPunct/>
              <w:topLinePunct w:val="0"/>
              <w:bidi w:val="0"/>
              <w:snapToGrid w:val="0"/>
              <w:spacing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首都经济贸易大学密云分校</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区人力社保局</w:t>
            </w:r>
          </w:p>
        </w:tc>
        <w:tc>
          <w:tcPr>
            <w:tcW w:w="2330"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区有关部门</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w:t>
            </w:r>
            <w:r>
              <w:rPr>
                <w:rFonts w:hint="eastAsia" w:cs="仿宋_GB2312"/>
                <w:color w:val="auto"/>
                <w:spacing w:val="0"/>
                <w:kern w:val="0"/>
                <w:sz w:val="28"/>
                <w:szCs w:val="28"/>
                <w:highlight w:val="none"/>
                <w:lang w:val="en-US" w:eastAsia="zh-CN"/>
              </w:rPr>
              <w:t>8</w:t>
            </w:r>
          </w:p>
        </w:tc>
        <w:tc>
          <w:tcPr>
            <w:tcW w:w="1080" w:type="dxa"/>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开展交流合作</w:t>
            </w:r>
          </w:p>
        </w:tc>
        <w:tc>
          <w:tcPr>
            <w:tcW w:w="5782" w:type="dxa"/>
            <w:tcBorders>
              <w:tl2br w:val="nil"/>
              <w:tr2bl w:val="nil"/>
            </w:tcBorders>
            <w:vAlign w:val="center"/>
          </w:tcPr>
          <w:p>
            <w:pPr>
              <w:keepNext w:val="0"/>
              <w:keepLines w:val="0"/>
              <w:pageBreakBefore w:val="0"/>
              <w:kinsoku/>
              <w:wordWrap/>
              <w:overflowPunct/>
              <w:topLinePunct w:val="0"/>
              <w:autoSpaceDE/>
              <w:autoSpaceDN/>
              <w:bidi w:val="0"/>
              <w:snapToGrid w:val="0"/>
              <w:spacing w:before="0" w:after="0" w:line="320" w:lineRule="exact"/>
              <w:ind w:left="0" w:right="0"/>
              <w:jc w:val="both"/>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积极参与</w:t>
            </w:r>
            <w:r>
              <w:rPr>
                <w:rFonts w:hint="eastAsia" w:ascii="仿宋_GB2312" w:hAnsi="仿宋_GB2312" w:eastAsia="仿宋_GB2312" w:cs="仿宋_GB2312"/>
                <w:color w:val="auto"/>
                <w:kern w:val="0"/>
                <w:sz w:val="28"/>
                <w:szCs w:val="28"/>
                <w:highlight w:val="none"/>
                <w:lang w:eastAsia="en-US"/>
              </w:rPr>
              <w:t>应对气候变化</w:t>
            </w:r>
            <w:r>
              <w:rPr>
                <w:rFonts w:hint="eastAsia" w:ascii="仿宋_GB2312" w:hAnsi="仿宋_GB2312" w:eastAsia="仿宋_GB2312" w:cs="仿宋_GB2312"/>
                <w:color w:val="auto"/>
                <w:kern w:val="0"/>
                <w:sz w:val="28"/>
                <w:szCs w:val="28"/>
                <w:highlight w:val="none"/>
                <w:lang w:val="en-US" w:eastAsia="zh-CN"/>
              </w:rPr>
              <w:t>领域</w:t>
            </w:r>
            <w:r>
              <w:rPr>
                <w:rFonts w:hint="eastAsia" w:ascii="仿宋_GB2312" w:hAnsi="仿宋_GB2312" w:eastAsia="仿宋_GB2312" w:cs="仿宋_GB2312"/>
                <w:color w:val="auto"/>
                <w:kern w:val="0"/>
                <w:sz w:val="28"/>
                <w:szCs w:val="28"/>
                <w:highlight w:val="none"/>
                <w:lang w:eastAsia="en-US"/>
              </w:rPr>
              <w:t>交流</w:t>
            </w:r>
            <w:r>
              <w:rPr>
                <w:rFonts w:hint="eastAsia" w:ascii="仿宋_GB2312" w:hAnsi="仿宋_GB2312" w:eastAsia="仿宋_GB2312" w:cs="仿宋_GB2312"/>
                <w:color w:val="auto"/>
                <w:kern w:val="0"/>
                <w:sz w:val="28"/>
                <w:szCs w:val="28"/>
                <w:highlight w:val="none"/>
                <w:lang w:val="en-US" w:eastAsia="zh-CN"/>
              </w:rPr>
              <w:t>合作</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eastAsia="en-US"/>
              </w:rPr>
              <w:t>学习借鉴</w:t>
            </w:r>
            <w:r>
              <w:rPr>
                <w:rFonts w:hint="eastAsia" w:ascii="仿宋_GB2312" w:hAnsi="仿宋_GB2312" w:eastAsia="仿宋_GB2312" w:cs="仿宋_GB2312"/>
                <w:color w:val="auto"/>
                <w:kern w:val="0"/>
                <w:sz w:val="28"/>
                <w:szCs w:val="28"/>
                <w:highlight w:val="none"/>
                <w:lang w:eastAsia="zh-CN"/>
              </w:rPr>
              <w:t>国内外先进经验和实践。</w:t>
            </w:r>
          </w:p>
        </w:tc>
        <w:tc>
          <w:tcPr>
            <w:tcW w:w="937"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lang w:eastAsia="en-US"/>
              </w:rPr>
              <w:t>年底前</w:t>
            </w:r>
          </w:p>
        </w:tc>
        <w:tc>
          <w:tcPr>
            <w:tcW w:w="4173"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区发展改革委</w:t>
            </w:r>
          </w:p>
        </w:tc>
        <w:tc>
          <w:tcPr>
            <w:tcW w:w="2330"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区有关部门</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各镇街（地区）</w:t>
            </w:r>
          </w:p>
          <w:p>
            <w:pPr>
              <w:keepNext w:val="0"/>
              <w:keepLines w:val="0"/>
              <w:pageBreakBefore w:val="0"/>
              <w:kinsoku/>
              <w:wordWrap/>
              <w:overflowPunct/>
              <w:topLinePunct w:val="0"/>
              <w:autoSpaceDE/>
              <w:autoSpaceDN/>
              <w:bidi w:val="0"/>
              <w:adjustRightInd/>
              <w:snapToGrid w:val="0"/>
              <w:spacing w:before="0" w:after="0" w:line="320" w:lineRule="exact"/>
              <w:ind w:left="-110" w:leftChars="-50" w:right="-110" w:rightChars="-50"/>
              <w:jc w:val="center"/>
              <w:textAlignment w:val="auto"/>
              <w:rPr>
                <w:rFonts w:hint="default"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28"/>
                <w:kern w:val="0"/>
                <w:sz w:val="28"/>
                <w:szCs w:val="28"/>
                <w:highlight w:val="none"/>
                <w:lang w:val="en-US" w:eastAsia="zh-CN"/>
              </w:rPr>
              <w:t>中关村密云园</w:t>
            </w:r>
            <w:r>
              <w:rPr>
                <w:rFonts w:hint="eastAsia" w:cs="仿宋_GB2312"/>
                <w:color w:val="auto"/>
                <w:spacing w:val="-28"/>
                <w:kern w:val="0"/>
                <w:sz w:val="28"/>
                <w:szCs w:val="28"/>
                <w:highlight w:val="none"/>
                <w:lang w:val="en-US" w:eastAsia="zh-CN"/>
              </w:rPr>
              <w:t>管委会</w:t>
            </w:r>
          </w:p>
        </w:tc>
      </w:tr>
    </w:tbl>
    <w:p>
      <w:pPr>
        <w:pStyle w:val="3"/>
        <w:rPr>
          <w:rFonts w:hint="eastAsia" w:ascii="黑体" w:hAnsi="黑体" w:eastAsia="黑体" w:cs="黑体"/>
          <w:color w:val="auto"/>
          <w:sz w:val="32"/>
          <w:szCs w:val="32"/>
          <w:highlight w:val="none"/>
        </w:rPr>
      </w:pPr>
    </w:p>
    <w:p>
      <w:pPr>
        <w:pStyle w:val="3"/>
        <w:rPr>
          <w:rFonts w:hint="eastAsia" w:ascii="黑体" w:hAnsi="黑体" w:eastAsia="黑体" w:cs="黑体"/>
          <w:color w:val="auto"/>
          <w:sz w:val="32"/>
          <w:szCs w:val="32"/>
          <w:highlight w:val="none"/>
        </w:rPr>
      </w:pPr>
    </w:p>
    <w:p>
      <w:pPr>
        <w:pStyle w:val="3"/>
        <w:rPr>
          <w:rFonts w:hint="eastAsia" w:ascii="黑体" w:hAnsi="黑体" w:eastAsia="黑体" w:cs="黑体"/>
          <w:color w:val="auto"/>
          <w:sz w:val="32"/>
          <w:szCs w:val="32"/>
          <w:highlight w:val="none"/>
        </w:rPr>
      </w:pPr>
    </w:p>
    <w:p>
      <w:pPr>
        <w:pStyle w:val="4"/>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p>
    <w:p>
      <w:pPr>
        <w:pStyle w:val="3"/>
        <w:rPr>
          <w:rFonts w:hint="eastAsia" w:ascii="黑体" w:hAnsi="黑体" w:eastAsia="黑体" w:cs="黑体"/>
          <w:color w:val="auto"/>
          <w:sz w:val="32"/>
          <w:szCs w:val="32"/>
          <w:highlight w:val="none"/>
        </w:rPr>
      </w:pPr>
    </w:p>
    <w:p>
      <w:pPr>
        <w:pStyle w:val="4"/>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p>
    <w:p>
      <w:pPr>
        <w:pStyle w:val="3"/>
        <w:rPr>
          <w:rFonts w:hint="eastAsia" w:ascii="黑体" w:hAnsi="黑体" w:eastAsia="黑体" w:cs="黑体"/>
          <w:color w:val="auto"/>
          <w:sz w:val="32"/>
          <w:szCs w:val="32"/>
          <w:highlight w:val="none"/>
        </w:rPr>
      </w:pPr>
    </w:p>
    <w:p>
      <w:pPr>
        <w:rPr>
          <w:rFonts w:hint="eastAsia"/>
        </w:rPr>
      </w:pPr>
    </w:p>
    <w:p>
      <w:pPr>
        <w:pStyle w:val="2"/>
        <w:rPr>
          <w:rFonts w:hint="eastAsia"/>
        </w:rPr>
      </w:pPr>
    </w:p>
    <w:p>
      <w:pPr>
        <w:pStyle w:val="3"/>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附件5</w:t>
      </w:r>
    </w:p>
    <w:p>
      <w:pPr>
        <w:adjustRightInd w:val="0"/>
        <w:snapToGrid w:val="0"/>
        <w:spacing w:before="159" w:beforeLines="50" w:after="159" w:afterLines="50"/>
        <w:jc w:val="center"/>
        <w:outlineLvl w:val="0"/>
        <w:rPr>
          <w:rFonts w:hint="default"/>
          <w:color w:val="auto"/>
          <w:highlight w:val="none"/>
          <w:lang w:val="en-US" w:eastAsia="zh-CN"/>
        </w:rPr>
      </w:pPr>
      <w:r>
        <w:rPr>
          <w:rFonts w:hint="eastAsia" w:ascii="方正小标宋简体" w:hAnsi="黑体" w:eastAsia="方正小标宋简体" w:cs="方正小标宋简体"/>
          <w:color w:val="auto"/>
          <w:sz w:val="44"/>
          <w:szCs w:val="44"/>
          <w:highlight w:val="none"/>
          <w:lang w:val="en-US" w:eastAsia="zh-CN"/>
        </w:rPr>
        <w:t>北京市密云区</w:t>
      </w:r>
      <w:r>
        <w:rPr>
          <w:rFonts w:hint="eastAsia" w:ascii="方正小标宋简体" w:hAnsi="黑体" w:eastAsia="方正小标宋简体" w:cs="方正小标宋简体"/>
          <w:color w:val="auto"/>
          <w:sz w:val="44"/>
          <w:szCs w:val="44"/>
          <w:highlight w:val="none"/>
        </w:rPr>
        <w:t>生态保护202</w:t>
      </w:r>
      <w:r>
        <w:rPr>
          <w:rFonts w:hint="eastAsia" w:ascii="方正小标宋简体" w:hAnsi="黑体" w:eastAsia="方正小标宋简体" w:cs="方正小标宋简体"/>
          <w:color w:val="auto"/>
          <w:sz w:val="44"/>
          <w:szCs w:val="44"/>
          <w:highlight w:val="none"/>
          <w:lang w:val="en-US" w:eastAsia="zh-CN"/>
        </w:rPr>
        <w:t>5</w:t>
      </w:r>
      <w:r>
        <w:rPr>
          <w:rFonts w:hint="eastAsia" w:ascii="方正小标宋简体" w:hAnsi="黑体" w:eastAsia="方正小标宋简体" w:cs="方正小标宋简体"/>
          <w:color w:val="auto"/>
          <w:sz w:val="44"/>
          <w:szCs w:val="44"/>
          <w:highlight w:val="none"/>
        </w:rPr>
        <w:t>年</w:t>
      </w:r>
      <w:r>
        <w:rPr>
          <w:rFonts w:hint="eastAsia" w:ascii="方正小标宋简体" w:hAnsi="黑体" w:eastAsia="方正小标宋简体" w:cs="方正小标宋简体"/>
          <w:color w:val="auto"/>
          <w:sz w:val="44"/>
          <w:szCs w:val="44"/>
          <w:highlight w:val="none"/>
          <w:lang w:val="en-US" w:eastAsia="zh-CN"/>
        </w:rPr>
        <w:t>行动计划</w:t>
      </w:r>
    </w:p>
    <w:tbl>
      <w:tblPr>
        <w:tblStyle w:val="11"/>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65"/>
        <w:gridCol w:w="6040"/>
        <w:gridCol w:w="1104"/>
        <w:gridCol w:w="1994"/>
        <w:gridCol w:w="22"/>
        <w:gridCol w:w="1972"/>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10"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序号</w:t>
            </w:r>
          </w:p>
        </w:tc>
        <w:tc>
          <w:tcPr>
            <w:tcW w:w="1065"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重点</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任务</w:t>
            </w:r>
          </w:p>
        </w:tc>
        <w:tc>
          <w:tcPr>
            <w:tcW w:w="6040"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工作措施</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完成</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时限</w:t>
            </w:r>
          </w:p>
        </w:tc>
        <w:tc>
          <w:tcPr>
            <w:tcW w:w="2016" w:type="dxa"/>
            <w:gridSpan w:val="2"/>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牵头部门</w:t>
            </w:r>
          </w:p>
        </w:tc>
        <w:tc>
          <w:tcPr>
            <w:tcW w:w="1972" w:type="dxa"/>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主责单位</w:t>
            </w:r>
          </w:p>
        </w:tc>
        <w:tc>
          <w:tcPr>
            <w:tcW w:w="1961" w:type="dxa"/>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68" w:type="dxa"/>
            <w:gridSpan w:val="8"/>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keepNext w:val="0"/>
              <w:keepLines w:val="0"/>
              <w:pageBreakBefore w:val="0"/>
              <w:widowControl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065" w:type="dxa"/>
            <w:vAlign w:val="center"/>
          </w:tcPr>
          <w:p>
            <w:pPr>
              <w:keepNext w:val="0"/>
              <w:keepLines w:val="0"/>
              <w:pageBreakBefore w:val="0"/>
              <w:widowControl w:val="0"/>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目标</w:t>
            </w:r>
          </w:p>
          <w:p>
            <w:pPr>
              <w:keepNext w:val="0"/>
              <w:keepLines w:val="0"/>
              <w:pageBreakBefore w:val="0"/>
              <w:widowControl w:val="0"/>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任务</w:t>
            </w:r>
          </w:p>
        </w:tc>
        <w:tc>
          <w:tcPr>
            <w:tcW w:w="6040" w:type="dxa"/>
            <w:vAlign w:val="center"/>
          </w:tcPr>
          <w:p>
            <w:pPr>
              <w:keepNext w:val="0"/>
              <w:keepLines w:val="0"/>
              <w:pageBreakBefore w:val="0"/>
              <w:widowControl w:val="0"/>
              <w:kinsoku/>
              <w:wordWrap/>
              <w:overflowPunct/>
              <w:topLinePunct w:val="0"/>
              <w:autoSpaceDN/>
              <w:bidi w:val="0"/>
              <w:adjustRightInd w:val="0"/>
              <w:snapToGrid w:val="0"/>
              <w:spacing w:line="32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生态环境质量指数（EI）力争稳</w:t>
            </w:r>
            <w:r>
              <w:rPr>
                <w:rFonts w:hint="eastAsia" w:ascii="仿宋_GB2312" w:hAnsi="仿宋_GB2312" w:eastAsia="仿宋_GB2312" w:cs="仿宋_GB2312"/>
                <w:color w:val="auto"/>
                <w:sz w:val="28"/>
                <w:szCs w:val="28"/>
                <w:highlight w:val="none"/>
                <w:lang w:val="en-US" w:eastAsia="zh-CN"/>
              </w:rPr>
              <w:t>中</w:t>
            </w:r>
            <w:r>
              <w:rPr>
                <w:rFonts w:hint="eastAsia" w:ascii="仿宋_GB2312" w:hAnsi="仿宋_GB2312" w:eastAsia="仿宋_GB2312" w:cs="仿宋_GB2312"/>
                <w:color w:val="auto"/>
                <w:sz w:val="28"/>
                <w:szCs w:val="28"/>
                <w:highlight w:val="none"/>
              </w:rPr>
              <w:t>向好。</w:t>
            </w:r>
          </w:p>
        </w:tc>
        <w:tc>
          <w:tcPr>
            <w:tcW w:w="1104" w:type="dxa"/>
            <w:vAlign w:val="center"/>
          </w:tcPr>
          <w:p>
            <w:pPr>
              <w:keepNext w:val="0"/>
              <w:keepLines w:val="0"/>
              <w:pageBreakBefore w:val="0"/>
              <w:widowControl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年底前</w:t>
            </w:r>
          </w:p>
        </w:tc>
        <w:tc>
          <w:tcPr>
            <w:tcW w:w="2016" w:type="dxa"/>
            <w:gridSpan w:val="2"/>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pacing w:val="-20"/>
                <w:sz w:val="28"/>
                <w:szCs w:val="28"/>
                <w:highlight w:val="none"/>
              </w:rPr>
            </w:pPr>
            <w:r>
              <w:rPr>
                <w:rFonts w:hint="eastAsia" w:cs="仿宋_GB2312"/>
                <w:color w:val="auto"/>
                <w:spacing w:val="-11"/>
                <w:kern w:val="2"/>
                <w:sz w:val="28"/>
                <w:szCs w:val="28"/>
                <w:highlight w:val="none"/>
                <w:lang w:eastAsia="zh-CN"/>
              </w:rPr>
              <w:t>区生态环境局</w:t>
            </w:r>
          </w:p>
        </w:tc>
        <w:tc>
          <w:tcPr>
            <w:tcW w:w="1972"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区委生态文明委成员单位</w:t>
            </w:r>
          </w:p>
        </w:tc>
        <w:tc>
          <w:tcPr>
            <w:tcW w:w="1961"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2"/>
                <w:sz w:val="28"/>
                <w:szCs w:val="28"/>
                <w:highlight w:val="none"/>
                <w:lang w:eastAsia="zh-CN"/>
              </w:rPr>
              <w:t>各镇街（地区）</w:t>
            </w:r>
            <w:r>
              <w:rPr>
                <w:rFonts w:hint="eastAsia" w:ascii="仿宋_GB2312" w:hAnsi="仿宋_GB2312" w:eastAsia="仿宋_GB2312" w:cs="仿宋_GB2312"/>
                <w:color w:val="auto"/>
                <w:kern w:val="2"/>
                <w:sz w:val="28"/>
                <w:szCs w:val="28"/>
                <w:highlight w:val="none"/>
                <w:lang w:eastAsia="zh-CN"/>
              </w:rPr>
              <w:br w:type="textWrapping"/>
            </w:r>
            <w:r>
              <w:rPr>
                <w:rFonts w:hint="eastAsia" w:ascii="仿宋_GB2312" w:hAnsi="仿宋_GB2312" w:eastAsia="仿宋_GB2312" w:cs="仿宋_GB2312"/>
                <w:color w:val="auto"/>
                <w:kern w:val="2"/>
                <w:sz w:val="28"/>
                <w:szCs w:val="28"/>
                <w:highlight w:val="none"/>
                <w:lang w:eastAsia="zh-CN"/>
              </w:rPr>
              <w:t>中关村密云园</w:t>
            </w:r>
            <w:r>
              <w:rPr>
                <w:rFonts w:hint="eastAsia" w:cs="仿宋_GB2312"/>
                <w:color w:val="auto"/>
                <w:kern w:val="2"/>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68" w:type="dxa"/>
            <w:gridSpan w:val="8"/>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710" w:type="dxa"/>
            <w:vAlign w:val="center"/>
          </w:tcPr>
          <w:p>
            <w:pPr>
              <w:keepNext w:val="0"/>
              <w:keepLines w:val="0"/>
              <w:pageBreakBefore w:val="0"/>
              <w:widowControl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p>
        </w:tc>
        <w:tc>
          <w:tcPr>
            <w:tcW w:w="1065" w:type="dxa"/>
            <w:vAlign w:val="center"/>
          </w:tcPr>
          <w:p>
            <w:pPr>
              <w:keepNext w:val="0"/>
              <w:keepLines w:val="0"/>
              <w:pageBreakBefore w:val="0"/>
              <w:widowControl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eastAsia="zh-CN"/>
              </w:rPr>
              <w:t>强化工作机制</w:t>
            </w:r>
          </w:p>
        </w:tc>
        <w:tc>
          <w:tcPr>
            <w:tcW w:w="6040" w:type="dxa"/>
            <w:vAlign w:val="center"/>
          </w:tcPr>
          <w:p>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建立生物多样性保护协调工作机制。统筹提升生态环境质量，推进生态保护修复监管工作。</w:t>
            </w:r>
          </w:p>
        </w:tc>
        <w:tc>
          <w:tcPr>
            <w:tcW w:w="1104" w:type="dxa"/>
            <w:vAlign w:val="center"/>
          </w:tcPr>
          <w:p>
            <w:pPr>
              <w:keepNext w:val="0"/>
              <w:keepLines w:val="0"/>
              <w:pageBreakBefore w:val="0"/>
              <w:widowControl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年底前</w:t>
            </w:r>
          </w:p>
        </w:tc>
        <w:tc>
          <w:tcPr>
            <w:tcW w:w="1994"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区生态环境局</w:t>
            </w:r>
          </w:p>
        </w:tc>
        <w:tc>
          <w:tcPr>
            <w:tcW w:w="1994" w:type="dxa"/>
            <w:gridSpan w:val="2"/>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区生态环境局区园林绿化局</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区农业农村局</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市规划自然资源委密云分局区国资委</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default"/>
                <w:lang w:val="en-US" w:eastAsia="zh-CN"/>
              </w:rPr>
            </w:pPr>
            <w:r>
              <w:rPr>
                <w:rFonts w:hint="eastAsia" w:ascii="仿宋_GB2312" w:hAnsi="仿宋_GB2312" w:eastAsia="仿宋_GB2312" w:cs="仿宋_GB2312"/>
                <w:color w:val="auto"/>
                <w:kern w:val="2"/>
                <w:sz w:val="28"/>
                <w:szCs w:val="28"/>
                <w:highlight w:val="none"/>
                <w:lang w:val="en-US" w:eastAsia="zh-CN"/>
              </w:rPr>
              <w:t>区水务局</w:t>
            </w:r>
          </w:p>
        </w:tc>
        <w:tc>
          <w:tcPr>
            <w:tcW w:w="1961"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eastAsia="zh-CN"/>
              </w:rPr>
              <w:t>各镇街（地区）</w:t>
            </w:r>
            <w:r>
              <w:rPr>
                <w:rFonts w:hint="eastAsia" w:ascii="仿宋_GB2312" w:hAnsi="仿宋_GB2312" w:eastAsia="仿宋_GB2312" w:cs="仿宋_GB2312"/>
                <w:color w:val="auto"/>
                <w:kern w:val="2"/>
                <w:sz w:val="28"/>
                <w:szCs w:val="28"/>
                <w:highlight w:val="none"/>
                <w:lang w:eastAsia="zh-CN"/>
              </w:rPr>
              <w:br w:type="textWrapping"/>
            </w:r>
            <w:r>
              <w:rPr>
                <w:rFonts w:hint="eastAsia" w:ascii="仿宋_GB2312" w:hAnsi="仿宋_GB2312" w:eastAsia="仿宋_GB2312" w:cs="仿宋_GB2312"/>
                <w:color w:val="auto"/>
                <w:kern w:val="2"/>
                <w:sz w:val="28"/>
                <w:szCs w:val="28"/>
                <w:highlight w:val="none"/>
                <w:lang w:eastAsia="zh-CN"/>
              </w:rPr>
              <w:t>中关村密云园</w:t>
            </w:r>
            <w:r>
              <w:rPr>
                <w:rFonts w:hint="eastAsia" w:cs="仿宋_GB2312"/>
                <w:color w:val="auto"/>
                <w:kern w:val="2"/>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710"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cs="仿宋_GB2312"/>
                <w:color w:val="auto"/>
                <w:sz w:val="28"/>
                <w:szCs w:val="28"/>
                <w:highlight w:val="none"/>
                <w:lang w:val="en-US" w:eastAsia="zh-CN"/>
              </w:rPr>
              <w:t>3</w:t>
            </w:r>
          </w:p>
        </w:tc>
        <w:tc>
          <w:tcPr>
            <w:tcW w:w="1065" w:type="dxa"/>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eastAsia="zh-CN"/>
              </w:rPr>
              <w:t>加强监测评估</w:t>
            </w:r>
          </w:p>
        </w:tc>
        <w:tc>
          <w:tcPr>
            <w:tcW w:w="6040" w:type="dxa"/>
            <w:vAlign w:val="center"/>
          </w:tcPr>
          <w:p>
            <w:pPr>
              <w:pStyle w:val="16"/>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eastAsia="zh-CN"/>
              </w:rPr>
              <w:t>按照国家及北京市相关技术规范，开展生物多样性观测工作。</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年底前</w:t>
            </w:r>
          </w:p>
        </w:tc>
        <w:tc>
          <w:tcPr>
            <w:tcW w:w="1994" w:type="dxa"/>
            <w:vAlign w:val="center"/>
          </w:tcPr>
          <w:p>
            <w:pPr>
              <w:keepNext w:val="0"/>
              <w:keepLines w:val="0"/>
              <w:pageBreakBefore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cs="仿宋_GB2312"/>
                <w:color w:val="auto"/>
                <w:sz w:val="28"/>
                <w:szCs w:val="28"/>
                <w:highlight w:val="none"/>
                <w:lang w:eastAsia="zh-CN"/>
              </w:rPr>
              <w:t>区生态环境局</w:t>
            </w:r>
          </w:p>
        </w:tc>
        <w:tc>
          <w:tcPr>
            <w:tcW w:w="1994" w:type="dxa"/>
            <w:gridSpan w:val="2"/>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区生态环境局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区园林绿化局</w:t>
            </w:r>
          </w:p>
          <w:p>
            <w:pPr>
              <w:keepNext w:val="0"/>
              <w:keepLines w:val="0"/>
              <w:pageBreakBefore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区农业农村局</w:t>
            </w:r>
          </w:p>
        </w:tc>
        <w:tc>
          <w:tcPr>
            <w:tcW w:w="1961" w:type="dxa"/>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区水务局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密云水库综合</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执法大队</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keepNext w:val="0"/>
              <w:keepLines w:val="0"/>
              <w:pageBreakBefore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中关村密云园</w:t>
            </w:r>
            <w:r>
              <w:rPr>
                <w:rFonts w:hint="eastAsia" w:cs="仿宋_GB2312"/>
                <w:color w:val="auto"/>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10"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val="en-US" w:eastAsia="zh-CN"/>
              </w:rPr>
              <w:t>4</w:t>
            </w:r>
          </w:p>
        </w:tc>
        <w:tc>
          <w:tcPr>
            <w:tcW w:w="1065" w:type="dxa"/>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强化外来入侵物种防控</w:t>
            </w:r>
          </w:p>
        </w:tc>
        <w:tc>
          <w:tcPr>
            <w:tcW w:w="60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按市级部门要求</w:t>
            </w:r>
            <w:r>
              <w:rPr>
                <w:rFonts w:hint="eastAsia"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加强全</w:t>
            </w:r>
            <w:r>
              <w:rPr>
                <w:rFonts w:hint="eastAsia"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lang w:eastAsia="zh-CN"/>
              </w:rPr>
              <w:t>农业外来入侵物种防控，开展农业外来入侵物种常态化监测。做好引进植物审批监管和美国白蛾等外来入侵物种的监测与综合治理。</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年底前</w:t>
            </w:r>
          </w:p>
        </w:tc>
        <w:tc>
          <w:tcPr>
            <w:tcW w:w="3988" w:type="dxa"/>
            <w:gridSpan w:val="3"/>
            <w:vAlign w:val="center"/>
          </w:tcPr>
          <w:p>
            <w:pPr>
              <w:keepNext w:val="0"/>
              <w:keepLines w:val="0"/>
              <w:pageBreakBefore w:val="0"/>
              <w:kinsoku/>
              <w:wordWrap/>
              <w:overflowPunct/>
              <w:topLinePunct w:val="0"/>
              <w:autoSpaceDE w:val="0"/>
              <w:autoSpaceDN/>
              <w:bidi w:val="0"/>
              <w:adjustRightInd w:val="0"/>
              <w:snapToGrid w:val="0"/>
              <w:spacing w:line="320" w:lineRule="exact"/>
              <w:ind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农业农村局</w:t>
            </w:r>
          </w:p>
          <w:p>
            <w:pPr>
              <w:keepNext w:val="0"/>
              <w:keepLines w:val="0"/>
              <w:pageBreakBefore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园林绿化局</w:t>
            </w:r>
          </w:p>
        </w:tc>
        <w:tc>
          <w:tcPr>
            <w:tcW w:w="1961"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水务局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p>
            <w:pPr>
              <w:keepNext w:val="0"/>
              <w:keepLines w:val="0"/>
              <w:pageBreakBefore w:val="0"/>
              <w:kinsoku/>
              <w:wordWrap/>
              <w:overflowPunct/>
              <w:topLinePunct w:val="0"/>
              <w:autoSpaceDE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市规划自然资源委密云分局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0" w:type="dxa"/>
            <w:vMerge w:val="restart"/>
            <w:vAlign w:val="center"/>
          </w:tcPr>
          <w:p>
            <w:pPr>
              <w:keepNext w:val="0"/>
              <w:keepLines w:val="0"/>
              <w:pageBreakBefore w:val="0"/>
              <w:widowControl/>
              <w:tabs>
                <w:tab w:val="left" w:pos="210"/>
              </w:tabs>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cs="仿宋_GB2312"/>
                <w:color w:val="auto"/>
                <w:sz w:val="28"/>
                <w:szCs w:val="28"/>
                <w:highlight w:val="none"/>
                <w:lang w:val="en-US" w:eastAsia="zh-CN"/>
              </w:rPr>
              <w:t>5</w:t>
            </w:r>
          </w:p>
        </w:tc>
        <w:tc>
          <w:tcPr>
            <w:tcW w:w="1065" w:type="dxa"/>
            <w:vMerge w:val="restart"/>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保护重点生物遗传资源</w:t>
            </w:r>
          </w:p>
        </w:tc>
        <w:tc>
          <w:tcPr>
            <w:tcW w:w="6040"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both"/>
              <w:textAlignment w:val="auto"/>
              <w:rPr>
                <w:rFonts w:hint="eastAsia"/>
                <w:lang w:val="en-US" w:eastAsia="zh-CN"/>
              </w:rPr>
            </w:pPr>
            <w:r>
              <w:rPr>
                <w:rFonts w:hint="eastAsia" w:ascii="仿宋_GB2312" w:hAnsi="仿宋_GB2312" w:eastAsia="仿宋_GB2312" w:cs="仿宋_GB2312"/>
                <w:color w:val="auto"/>
                <w:sz w:val="28"/>
                <w:szCs w:val="28"/>
                <w:highlight w:val="none"/>
                <w:lang w:eastAsia="zh-CN"/>
              </w:rPr>
              <w:t>按市级部门要求</w:t>
            </w:r>
            <w:r>
              <w:rPr>
                <w:rFonts w:hint="eastAsia" w:cs="仿宋_GB2312"/>
                <w:color w:val="auto"/>
                <w:sz w:val="28"/>
                <w:szCs w:val="28"/>
                <w:highlight w:val="none"/>
                <w:lang w:eastAsia="zh-CN"/>
              </w:rPr>
              <w:t>，</w:t>
            </w:r>
            <w:r>
              <w:rPr>
                <w:rFonts w:hint="eastAsia" w:cs="仿宋_GB2312"/>
                <w:color w:val="auto"/>
                <w:sz w:val="28"/>
                <w:szCs w:val="28"/>
                <w:highlight w:val="none"/>
                <w:lang w:val="en-US" w:eastAsia="zh-CN"/>
              </w:rPr>
              <w:t>推动构建区级林草种质资源库体系，持续开展林草种质资源收集工作。</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年底前</w:t>
            </w:r>
          </w:p>
        </w:tc>
        <w:tc>
          <w:tcPr>
            <w:tcW w:w="3988" w:type="dxa"/>
            <w:gridSpan w:val="3"/>
            <w:vAlign w:val="center"/>
          </w:tcPr>
          <w:p>
            <w:pPr>
              <w:keepNext w:val="0"/>
              <w:keepLines w:val="0"/>
              <w:pageBreakBefore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cs="仿宋_GB2312"/>
                <w:color w:val="auto"/>
                <w:sz w:val="28"/>
                <w:szCs w:val="28"/>
                <w:highlight w:val="none"/>
                <w:lang w:eastAsia="zh-CN"/>
              </w:rPr>
              <w:t>园林绿化</w:t>
            </w:r>
            <w:r>
              <w:rPr>
                <w:rFonts w:hint="eastAsia" w:ascii="仿宋_GB2312" w:hAnsi="仿宋_GB2312" w:eastAsia="仿宋_GB2312" w:cs="仿宋_GB2312"/>
                <w:color w:val="auto"/>
                <w:sz w:val="28"/>
                <w:szCs w:val="28"/>
                <w:highlight w:val="none"/>
              </w:rPr>
              <w:t>局</w:t>
            </w:r>
          </w:p>
        </w:tc>
        <w:tc>
          <w:tcPr>
            <w:tcW w:w="1961" w:type="dxa"/>
            <w:vAlign w:val="center"/>
          </w:tcPr>
          <w:p>
            <w:pPr>
              <w:keepNext w:val="0"/>
              <w:keepLines w:val="0"/>
              <w:pageBreakBefore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相关</w:t>
            </w:r>
            <w:r>
              <w:rPr>
                <w:rFonts w:hint="eastAsia" w:ascii="仿宋_GB2312" w:hAnsi="仿宋_GB2312" w:eastAsia="仿宋_GB2312" w:cs="仿宋_GB2312"/>
                <w:color w:val="auto"/>
                <w:sz w:val="28"/>
                <w:szCs w:val="28"/>
                <w:highlight w:val="none"/>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continue"/>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textAlignment w:val="auto"/>
            </w:pPr>
          </w:p>
        </w:tc>
        <w:tc>
          <w:tcPr>
            <w:tcW w:w="1065" w:type="dxa"/>
            <w:vMerge w:val="continue"/>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textAlignment w:val="auto"/>
            </w:pPr>
          </w:p>
        </w:tc>
        <w:tc>
          <w:tcPr>
            <w:tcW w:w="6040"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加强重点农作物、畜禽、水产等种质资源保护</w:t>
            </w:r>
            <w:r>
              <w:rPr>
                <w:rFonts w:hint="eastAsia" w:ascii="仿宋_GB2312" w:hAnsi="仿宋_GB2312" w:eastAsia="仿宋_GB2312" w:cs="仿宋_GB2312"/>
                <w:color w:val="auto"/>
                <w:sz w:val="28"/>
                <w:szCs w:val="28"/>
                <w:highlight w:val="none"/>
              </w:rPr>
              <w:t>。</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年底前</w:t>
            </w:r>
          </w:p>
        </w:tc>
        <w:tc>
          <w:tcPr>
            <w:tcW w:w="3988" w:type="dxa"/>
            <w:gridSpan w:val="3"/>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firstLine="1120" w:firstLineChars="4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农业农村局</w:t>
            </w:r>
          </w:p>
        </w:tc>
        <w:tc>
          <w:tcPr>
            <w:tcW w:w="1961" w:type="dxa"/>
            <w:vAlign w:val="center"/>
          </w:tcPr>
          <w:p>
            <w:pPr>
              <w:keepNext w:val="0"/>
              <w:keepLines w:val="0"/>
              <w:pageBreakBefore w:val="0"/>
              <w:kinsoku/>
              <w:wordWrap/>
              <w:overflowPunct/>
              <w:topLinePunct w:val="0"/>
              <w:autoSpaceDN/>
              <w:bidi w:val="0"/>
              <w:adjustRightInd w:val="0"/>
              <w:snapToGrid w:val="0"/>
              <w:spacing w:line="320" w:lineRule="exact"/>
              <w:ind w:right="0" w:righ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相关</w:t>
            </w:r>
            <w:r>
              <w:rPr>
                <w:rFonts w:hint="eastAsia" w:ascii="仿宋_GB2312" w:hAnsi="仿宋_GB2312" w:eastAsia="仿宋_GB2312" w:cs="仿宋_GB2312"/>
                <w:color w:val="auto"/>
                <w:sz w:val="28"/>
                <w:szCs w:val="28"/>
                <w:highlight w:val="none"/>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restart"/>
            <w:vAlign w:val="center"/>
          </w:tcPr>
          <w:p>
            <w:pPr>
              <w:keepNext w:val="0"/>
              <w:keepLines w:val="0"/>
              <w:pageBreakBefore w:val="0"/>
              <w:widowControl/>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val="en-US" w:eastAsia="zh-CN"/>
              </w:rPr>
              <w:t>6</w:t>
            </w:r>
          </w:p>
        </w:tc>
        <w:tc>
          <w:tcPr>
            <w:tcW w:w="1065" w:type="dxa"/>
            <w:vMerge w:val="restart"/>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加强执法检查</w:t>
            </w:r>
          </w:p>
        </w:tc>
        <w:tc>
          <w:tcPr>
            <w:tcW w:w="6040" w:type="dxa"/>
            <w:vAlign w:val="center"/>
          </w:tcPr>
          <w:p>
            <w:pPr>
              <w:keepNext w:val="0"/>
              <w:keepLines w:val="0"/>
              <w:pageBreakBefore w:val="0"/>
              <w:widowControl/>
              <w:kinsoku/>
              <w:wordWrap/>
              <w:overflowPunct/>
              <w:topLinePunct w:val="0"/>
              <w:autoSpaceDN/>
              <w:bidi w:val="0"/>
              <w:snapToGrid w:val="0"/>
              <w:spacing w:line="320" w:lineRule="exact"/>
              <w:ind w:left="0" w:leftChars="0" w:right="0" w:right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rPr>
              <w:t>依法查处破坏陆生野生动植物资源及栖息地、侵占和破坏林木种质资源等违法行为。对陆生野生动物及其制品交易进行监督检查。</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rPr>
              <w:t>年底前</w:t>
            </w:r>
          </w:p>
        </w:tc>
        <w:tc>
          <w:tcPr>
            <w:tcW w:w="3988" w:type="dxa"/>
            <w:gridSpan w:val="3"/>
            <w:vAlign w:val="center"/>
          </w:tcPr>
          <w:p>
            <w:pPr>
              <w:keepNext w:val="0"/>
              <w:keepLines w:val="0"/>
              <w:pageBreakBefore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园林绿化局</w:t>
            </w:r>
          </w:p>
        </w:tc>
        <w:tc>
          <w:tcPr>
            <w:tcW w:w="1961"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密云水库综合</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执法大队</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区公安分局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区市场监管局</w:t>
            </w:r>
          </w:p>
          <w:p>
            <w:pPr>
              <w:keepNext w:val="0"/>
              <w:keepLines w:val="0"/>
              <w:pageBreakBefore w:val="0"/>
              <w:kinsoku/>
              <w:wordWrap/>
              <w:overflowPunct/>
              <w:topLinePunct w:val="0"/>
              <w:autoSpaceDE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continue"/>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1065" w:type="dxa"/>
            <w:vMerge w:val="continue"/>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依法查处破坏水生野生动植物资源及栖息地、侵占和破坏农作物种质资源以及擅自引进、释放、丢弃外来物种等违法行为。对水生野生动物及其制品交易进行监督检查。</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年底前</w:t>
            </w:r>
          </w:p>
        </w:tc>
        <w:tc>
          <w:tcPr>
            <w:tcW w:w="3988" w:type="dxa"/>
            <w:gridSpan w:val="3"/>
            <w:vAlign w:val="center"/>
          </w:tcPr>
          <w:p>
            <w:pPr>
              <w:keepNext w:val="0"/>
              <w:keepLines w:val="0"/>
              <w:pageBreakBefore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农业农村局</w:t>
            </w:r>
          </w:p>
        </w:tc>
        <w:tc>
          <w:tcPr>
            <w:tcW w:w="1961" w:type="dxa"/>
            <w:vAlign w:val="center"/>
          </w:tcPr>
          <w:p>
            <w:pPr>
              <w:keepNext w:val="0"/>
              <w:keepLines w:val="0"/>
              <w:pageBreakBefore w:val="0"/>
              <w:widowControl w:val="0"/>
              <w:kinsoku/>
              <w:wordWrap/>
              <w:overflowPunct/>
              <w:topLinePunct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区园林绿化局</w:t>
            </w:r>
          </w:p>
          <w:p>
            <w:pPr>
              <w:pStyle w:val="3"/>
              <w:keepNext w:val="0"/>
              <w:keepLines w:val="0"/>
              <w:pageBreakBefore w:val="0"/>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pStyle w:val="3"/>
              <w:keepNext w:val="0"/>
              <w:keepLines w:val="0"/>
              <w:pageBreakBefore w:val="0"/>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密云水库综合</w:t>
            </w:r>
          </w:p>
          <w:p>
            <w:pPr>
              <w:pStyle w:val="3"/>
              <w:keepNext w:val="0"/>
              <w:keepLines w:val="0"/>
              <w:pageBreakBefore w:val="0"/>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执法大队</w:t>
            </w:r>
          </w:p>
          <w:p>
            <w:pPr>
              <w:pStyle w:val="3"/>
              <w:keepNext w:val="0"/>
              <w:keepLines w:val="0"/>
              <w:pageBreakBefore w:val="0"/>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区公安分局</w:t>
            </w:r>
          </w:p>
          <w:p>
            <w:pPr>
              <w:pStyle w:val="3"/>
              <w:keepNext w:val="0"/>
              <w:keepLines w:val="0"/>
              <w:pageBreakBefore w:val="0"/>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区市场监管局</w:t>
            </w:r>
          </w:p>
          <w:p>
            <w:pPr>
              <w:pStyle w:val="3"/>
              <w:keepNext w:val="0"/>
              <w:keepLines w:val="0"/>
              <w:pageBreakBefore w:val="0"/>
              <w:kinsoku/>
              <w:wordWrap/>
              <w:overflowPunct/>
              <w:topLinePunct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68" w:type="dxa"/>
            <w:gridSpan w:val="8"/>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26"/>
                <w:sz w:val="28"/>
                <w:szCs w:val="28"/>
                <w:highlight w:val="none"/>
              </w:rPr>
            </w:pPr>
            <w:r>
              <w:rPr>
                <w:rFonts w:hint="eastAsia" w:ascii="黑体" w:hAnsi="黑体" w:eastAsia="黑体" w:cs="黑体"/>
                <w:color w:val="auto"/>
                <w:sz w:val="28"/>
                <w:szCs w:val="28"/>
                <w:highlight w:val="none"/>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restart"/>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val="en-US" w:eastAsia="zh-CN"/>
              </w:rPr>
              <w:t>7</w:t>
            </w:r>
          </w:p>
        </w:tc>
        <w:tc>
          <w:tcPr>
            <w:tcW w:w="1065" w:type="dxa"/>
            <w:vMerge w:val="restart"/>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加强重要生态空间监督管理</w:t>
            </w:r>
          </w:p>
        </w:tc>
        <w:tc>
          <w:tcPr>
            <w:tcW w:w="6040" w:type="dxa"/>
            <w:vAlign w:val="center"/>
          </w:tcPr>
          <w:p>
            <w:pPr>
              <w:keepNext w:val="0"/>
              <w:keepLines w:val="0"/>
              <w:pageBreakBefore w:val="0"/>
              <w:widowControl/>
              <w:suppressLineNumbers w:val="0"/>
              <w:kinsoku/>
              <w:wordWrap/>
              <w:overflowPunct/>
              <w:topLinePunct w:val="0"/>
              <w:autoSpaceDN/>
              <w:bidi w:val="0"/>
              <w:snapToGrid w:val="0"/>
              <w:spacing w:line="320" w:lineRule="exact"/>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严格</w:t>
            </w:r>
            <w:r>
              <w:rPr>
                <w:rFonts w:hint="eastAsia" w:ascii="仿宋_GB2312" w:hAnsi="仿宋_GB2312" w:eastAsia="仿宋_GB2312" w:cs="仿宋_GB2312"/>
                <w:color w:val="auto"/>
                <w:kern w:val="0"/>
                <w:sz w:val="28"/>
                <w:szCs w:val="28"/>
                <w:highlight w:val="none"/>
                <w:lang w:eastAsia="zh-CN"/>
              </w:rPr>
              <w:t>落实国土空间用途管制，</w:t>
            </w:r>
            <w:r>
              <w:rPr>
                <w:rFonts w:hint="eastAsia" w:cs="仿宋_GB2312"/>
                <w:color w:val="auto"/>
                <w:kern w:val="0"/>
                <w:sz w:val="28"/>
                <w:szCs w:val="28"/>
                <w:highlight w:val="none"/>
                <w:lang w:eastAsia="zh-CN"/>
              </w:rPr>
              <w:t>加强生态保护红线内临时用地管理。</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年底前</w:t>
            </w:r>
          </w:p>
        </w:tc>
        <w:tc>
          <w:tcPr>
            <w:tcW w:w="2016" w:type="dxa"/>
            <w:gridSpan w:val="2"/>
            <w:vAlign w:val="center"/>
          </w:tcPr>
          <w:p>
            <w:pPr>
              <w:keepNext w:val="0"/>
              <w:keepLines w:val="0"/>
              <w:pageBreakBefore w:val="0"/>
              <w:kinsoku/>
              <w:wordWrap/>
              <w:overflowPunct/>
              <w:topLinePunct w:val="0"/>
              <w:autoSpaceDE w:val="0"/>
              <w:autoSpaceDN/>
              <w:bidi w:val="0"/>
              <w:adjustRightInd w:val="0"/>
              <w:snapToGrid w:val="0"/>
              <w:spacing w:line="320" w:lineRule="exact"/>
              <w:ind w:left="-103" w:leftChars="-47" w:right="-110" w:rightChars="-5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市规划自然资源委密云分局</w:t>
            </w:r>
          </w:p>
        </w:tc>
        <w:tc>
          <w:tcPr>
            <w:tcW w:w="19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市规划自然资源委密云分局相关镇</w:t>
            </w:r>
          </w:p>
        </w:tc>
        <w:tc>
          <w:tcPr>
            <w:tcW w:w="1961"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710" w:type="dxa"/>
            <w:vMerge w:val="continue"/>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1065" w:type="dxa"/>
            <w:vMerge w:val="continue"/>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vAlign w:val="center"/>
          </w:tcPr>
          <w:p>
            <w:pPr>
              <w:keepNext w:val="0"/>
              <w:keepLines w:val="0"/>
              <w:pageBreakBefore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按照市级部门统一部署，开展生态保护红线和自然保护</w:t>
            </w:r>
            <w:r>
              <w:rPr>
                <w:rFonts w:hint="eastAsia" w:cs="仿宋_GB2312"/>
                <w:color w:val="auto"/>
                <w:kern w:val="0"/>
                <w:sz w:val="28"/>
                <w:szCs w:val="28"/>
                <w:highlight w:val="none"/>
                <w:lang w:eastAsia="zh-CN"/>
              </w:rPr>
              <w:t>地</w:t>
            </w:r>
            <w:r>
              <w:rPr>
                <w:rFonts w:hint="eastAsia" w:ascii="仿宋_GB2312" w:hAnsi="仿宋_GB2312" w:eastAsia="仿宋_GB2312" w:cs="仿宋_GB2312"/>
                <w:color w:val="auto"/>
                <w:kern w:val="0"/>
                <w:sz w:val="28"/>
                <w:szCs w:val="28"/>
                <w:highlight w:val="none"/>
                <w:lang w:eastAsia="zh-CN"/>
              </w:rPr>
              <w:t>等重要生态空间的生态环境监督工作</w:t>
            </w:r>
            <w:r>
              <w:rPr>
                <w:rFonts w:hint="eastAsia"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eastAsia="zh-CN"/>
              </w:rPr>
              <w:t>落实属地</w:t>
            </w:r>
            <w:r>
              <w:rPr>
                <w:rFonts w:hint="eastAsia" w:ascii="仿宋_GB2312" w:hAnsi="仿宋_GB2312" w:eastAsia="仿宋_GB2312" w:cs="仿宋_GB2312"/>
                <w:color w:val="auto"/>
                <w:kern w:val="0"/>
                <w:sz w:val="28"/>
                <w:szCs w:val="28"/>
                <w:highlight w:val="none"/>
                <w:lang w:val="en" w:eastAsia="zh-CN"/>
              </w:rPr>
              <w:t>职责</w:t>
            </w:r>
            <w:r>
              <w:rPr>
                <w:rFonts w:hint="eastAsia" w:ascii="仿宋_GB2312" w:hAnsi="仿宋_GB2312" w:eastAsia="仿宋_GB2312" w:cs="仿宋_GB2312"/>
                <w:color w:val="auto"/>
                <w:kern w:val="0"/>
                <w:sz w:val="28"/>
                <w:szCs w:val="28"/>
                <w:highlight w:val="none"/>
                <w:lang w:eastAsia="zh-CN"/>
              </w:rPr>
              <w:t>，对人类活动问题线索核实处理</w:t>
            </w:r>
            <w:r>
              <w:rPr>
                <w:rFonts w:hint="eastAsia" w:cs="仿宋_GB2312"/>
                <w:color w:val="auto"/>
                <w:kern w:val="0"/>
                <w:sz w:val="28"/>
                <w:szCs w:val="28"/>
                <w:highlight w:val="none"/>
                <w:lang w:eastAsia="zh-CN"/>
              </w:rPr>
              <w:t>。</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年底前</w:t>
            </w:r>
          </w:p>
        </w:tc>
        <w:tc>
          <w:tcPr>
            <w:tcW w:w="2016" w:type="dxa"/>
            <w:gridSpan w:val="2"/>
            <w:vAlign w:val="center"/>
          </w:tcPr>
          <w:p>
            <w:pPr>
              <w:keepNext w:val="0"/>
              <w:keepLines w:val="0"/>
              <w:pageBreakBefore w:val="0"/>
              <w:kinsoku/>
              <w:wordWrap/>
              <w:overflowPunct/>
              <w:topLinePunct w:val="0"/>
              <w:autoSpaceDE w:val="0"/>
              <w:autoSpaceDN/>
              <w:bidi w:val="0"/>
              <w:adjustRightInd w:val="0"/>
              <w:snapToGrid w:val="0"/>
              <w:spacing w:line="320" w:lineRule="exact"/>
              <w:ind w:left="-103" w:leftChars="-47" w:right="-110"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kinsoku/>
              <w:wordWrap/>
              <w:overflowPunct/>
              <w:topLinePunct w:val="0"/>
              <w:autoSpaceDE w:val="0"/>
              <w:autoSpaceDN/>
              <w:bidi w:val="0"/>
              <w:adjustRightInd w:val="0"/>
              <w:snapToGrid w:val="0"/>
              <w:spacing w:line="320" w:lineRule="exact"/>
              <w:ind w:left="-103" w:leftChars="-47" w:right="-110"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区园林绿化局</w:t>
            </w:r>
          </w:p>
          <w:p>
            <w:pPr>
              <w:keepNext w:val="0"/>
              <w:keepLines w:val="0"/>
              <w:pageBreakBefore w:val="0"/>
              <w:kinsoku/>
              <w:wordWrap/>
              <w:overflowPunct/>
              <w:topLinePunct w:val="0"/>
              <w:autoSpaceDE w:val="0"/>
              <w:autoSpaceDN/>
              <w:bidi w:val="0"/>
              <w:adjustRightInd w:val="0"/>
              <w:snapToGrid w:val="0"/>
              <w:spacing w:line="320" w:lineRule="exact"/>
              <w:ind w:left="-103" w:leftChars="-47" w:right="-110" w:rightChars="-50"/>
              <w:jc w:val="center"/>
              <w:textAlignment w:val="auto"/>
              <w:rPr>
                <w:rFonts w:hint="eastAsia" w:eastAsia="仿宋_GB2312"/>
                <w:lang w:val="en-US" w:eastAsia="zh-CN"/>
              </w:rPr>
            </w:pPr>
          </w:p>
        </w:tc>
        <w:tc>
          <w:tcPr>
            <w:tcW w:w="1972"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区生态环境局</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区园林绿化局</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各镇街（地区）</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eastAsia="zh-CN"/>
              </w:rPr>
              <w:t>中关村密云园</w:t>
            </w:r>
            <w:r>
              <w:rPr>
                <w:rFonts w:hint="eastAsia" w:cs="仿宋_GB2312"/>
                <w:color w:val="auto"/>
                <w:kern w:val="2"/>
                <w:sz w:val="28"/>
                <w:szCs w:val="28"/>
                <w:highlight w:val="none"/>
                <w:lang w:val="en-US" w:eastAsia="zh-CN"/>
              </w:rPr>
              <w:t>管委会</w:t>
            </w:r>
          </w:p>
        </w:tc>
        <w:tc>
          <w:tcPr>
            <w:tcW w:w="1961" w:type="dxa"/>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区水务局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区农业农村局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市交通委密云公路分局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w w:val="80"/>
                <w:kern w:val="0"/>
                <w:sz w:val="28"/>
                <w:szCs w:val="28"/>
                <w:highlight w:val="none"/>
                <w:lang w:val="en-US" w:eastAsia="zh-CN" w:bidi="ar-SA"/>
              </w:rPr>
              <w:t>区</w:t>
            </w:r>
            <w:r>
              <w:rPr>
                <w:rFonts w:hint="eastAsia" w:cs="仿宋_GB2312"/>
                <w:color w:val="auto"/>
                <w:w w:val="80"/>
                <w:kern w:val="0"/>
                <w:sz w:val="28"/>
                <w:szCs w:val="28"/>
                <w:highlight w:val="none"/>
                <w:lang w:val="en-US" w:eastAsia="zh-CN" w:bidi="ar-SA"/>
              </w:rPr>
              <w:t>文化和旅游</w:t>
            </w:r>
            <w:r>
              <w:rPr>
                <w:rFonts w:hint="eastAsia" w:ascii="仿宋_GB2312" w:hAnsi="仿宋_GB2312" w:eastAsia="仿宋_GB2312" w:cs="仿宋_GB2312"/>
                <w:color w:val="auto"/>
                <w:w w:val="80"/>
                <w:kern w:val="0"/>
                <w:sz w:val="28"/>
                <w:szCs w:val="28"/>
                <w:highlight w:val="none"/>
                <w:lang w:val="en-US" w:eastAsia="zh-CN" w:bidi="ar-SA"/>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continue"/>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1065" w:type="dxa"/>
            <w:vMerge w:val="continue"/>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vAlign w:val="center"/>
          </w:tcPr>
          <w:p>
            <w:pPr>
              <w:keepNext w:val="0"/>
              <w:keepLines w:val="0"/>
              <w:pageBreakBefore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0000FF"/>
                <w:kern w:val="0"/>
                <w:sz w:val="28"/>
                <w:szCs w:val="28"/>
                <w:highlight w:val="none"/>
                <w:lang w:eastAsia="zh-CN"/>
              </w:rPr>
            </w:pPr>
            <w:r>
              <w:rPr>
                <w:rFonts w:hint="eastAsia" w:ascii="仿宋_GB2312" w:hAnsi="仿宋_GB2312" w:eastAsia="仿宋_GB2312" w:cs="仿宋_GB2312"/>
                <w:color w:val="auto"/>
                <w:kern w:val="0"/>
                <w:sz w:val="28"/>
                <w:szCs w:val="28"/>
                <w:highlight w:val="none"/>
              </w:rPr>
              <w:t>做好自然保护</w:t>
            </w:r>
            <w:r>
              <w:rPr>
                <w:rFonts w:hint="eastAsia" w:cs="仿宋_GB2312"/>
                <w:color w:val="auto"/>
                <w:kern w:val="0"/>
                <w:sz w:val="28"/>
                <w:szCs w:val="28"/>
                <w:highlight w:val="none"/>
                <w:lang w:eastAsia="zh-CN"/>
              </w:rPr>
              <w:t>地和生态保护红线的</w:t>
            </w:r>
            <w:r>
              <w:rPr>
                <w:rFonts w:hint="eastAsia" w:ascii="仿宋_GB2312" w:hAnsi="仿宋_GB2312" w:eastAsia="仿宋_GB2312" w:cs="仿宋_GB2312"/>
                <w:color w:val="auto"/>
                <w:kern w:val="0"/>
                <w:sz w:val="28"/>
                <w:szCs w:val="28"/>
                <w:highlight w:val="none"/>
              </w:rPr>
              <w:t>日常管理和例行巡查，</w:t>
            </w:r>
            <w:r>
              <w:rPr>
                <w:rFonts w:hint="eastAsia" w:cs="仿宋_GB2312"/>
                <w:color w:val="auto"/>
                <w:kern w:val="0"/>
                <w:sz w:val="28"/>
                <w:szCs w:val="28"/>
                <w:highlight w:val="none"/>
                <w:lang w:eastAsia="zh-CN"/>
              </w:rPr>
              <w:t>开展人类活动问题的监测、核查、整改；严格查处不符合空间管控要求的违法违规行为。</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年底前</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0000FF"/>
                <w:spacing w:val="0"/>
                <w:kern w:val="0"/>
                <w:sz w:val="28"/>
                <w:szCs w:val="28"/>
                <w:highlight w:val="none"/>
                <w:lang w:eastAsia="zh-CN"/>
              </w:rPr>
            </w:pPr>
          </w:p>
        </w:tc>
        <w:tc>
          <w:tcPr>
            <w:tcW w:w="3988" w:type="dxa"/>
            <w:gridSpan w:val="3"/>
            <w:vAlign w:val="center"/>
          </w:tcPr>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市规划自然资源委</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密云分局</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w:t>
            </w:r>
            <w:r>
              <w:rPr>
                <w:rFonts w:hint="eastAsia" w:cs="仿宋_GB2312"/>
                <w:color w:val="auto"/>
                <w:sz w:val="28"/>
                <w:szCs w:val="28"/>
                <w:highlight w:val="none"/>
                <w:lang w:val="en-US" w:eastAsia="zh-CN"/>
              </w:rPr>
              <w:t>文化和旅游</w:t>
            </w:r>
            <w:r>
              <w:rPr>
                <w:rFonts w:hint="eastAsia" w:ascii="仿宋_GB2312" w:hAnsi="仿宋_GB2312" w:eastAsia="仿宋_GB2312" w:cs="仿宋_GB2312"/>
                <w:color w:val="auto"/>
                <w:sz w:val="28"/>
                <w:szCs w:val="28"/>
                <w:highlight w:val="none"/>
                <w:lang w:eastAsia="zh-CN"/>
              </w:rPr>
              <w:t>局</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0000FF"/>
                <w:sz w:val="28"/>
                <w:szCs w:val="28"/>
                <w:highlight w:val="none"/>
                <w:lang w:eastAsia="zh-CN"/>
              </w:rPr>
            </w:pPr>
          </w:p>
        </w:tc>
        <w:tc>
          <w:tcPr>
            <w:tcW w:w="1961" w:type="dxa"/>
            <w:vAlign w:val="center"/>
          </w:tcPr>
          <w:p>
            <w:pPr>
              <w:keepNext w:val="0"/>
              <w:keepLines w:val="0"/>
              <w:pageBreakBefore w:val="0"/>
              <w:kinsoku/>
              <w:wordWrap/>
              <w:overflowPunct/>
              <w:topLinePunct w:val="0"/>
              <w:autoSpaceDE w:val="0"/>
              <w:autoSpaceDN w:val="0"/>
              <w:bidi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市交通委密云公路分局</w:t>
            </w:r>
          </w:p>
          <w:p>
            <w:pPr>
              <w:keepNext w:val="0"/>
              <w:keepLines w:val="0"/>
              <w:pageBreakBefore w:val="0"/>
              <w:kinsoku/>
              <w:wordWrap/>
              <w:overflowPunct/>
              <w:topLinePunct w:val="0"/>
              <w:autoSpaceDE w:val="0"/>
              <w:autoSpaceDN w:val="0"/>
              <w:bidi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相关镇</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0000FF"/>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10"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val="en-US" w:eastAsia="zh-CN"/>
              </w:rPr>
              <w:t>8</w:t>
            </w:r>
          </w:p>
        </w:tc>
        <w:tc>
          <w:tcPr>
            <w:tcW w:w="1065" w:type="dxa"/>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加强资源开发利用活动监督</w:t>
            </w:r>
          </w:p>
        </w:tc>
        <w:tc>
          <w:tcPr>
            <w:tcW w:w="6040" w:type="dxa"/>
            <w:vAlign w:val="center"/>
          </w:tcPr>
          <w:p>
            <w:pPr>
              <w:keepNext w:val="0"/>
              <w:keepLines w:val="0"/>
              <w:pageBreakBefore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8"/>
                <w:szCs w:val="28"/>
                <w:highlight w:val="none"/>
              </w:rPr>
            </w:pPr>
            <w:r>
              <w:rPr>
                <w:rFonts w:hint="eastAsia" w:cs="仿宋_GB2312"/>
                <w:color w:val="auto"/>
                <w:sz w:val="28"/>
                <w:szCs w:val="28"/>
                <w:highlight w:val="none"/>
                <w:lang w:eastAsia="zh-CN"/>
              </w:rPr>
              <w:t>加大对矿产资源私挖盗采活动的打击力度，</w:t>
            </w:r>
            <w:r>
              <w:rPr>
                <w:rFonts w:hint="eastAsia" w:ascii="仿宋_GB2312" w:hAnsi="仿宋_GB2312" w:eastAsia="仿宋_GB2312" w:cs="仿宋_GB2312"/>
                <w:color w:val="auto"/>
                <w:sz w:val="28"/>
                <w:szCs w:val="28"/>
                <w:highlight w:val="none"/>
              </w:rPr>
              <w:t>严格查处违法违规开采行为。</w:t>
            </w:r>
            <w:r>
              <w:rPr>
                <w:rFonts w:hint="eastAsia" w:cs="仿宋_GB2312"/>
                <w:color w:val="auto"/>
                <w:sz w:val="28"/>
                <w:szCs w:val="28"/>
                <w:highlight w:val="none"/>
                <w:lang w:eastAsia="zh-CN"/>
              </w:rPr>
              <w:t>落实联动执法工作机制，强化行政执法与刑事司法的有效衔接，对涉嫌违法犯罪问题及时移送司法机关追究刑事责任。</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年底前</w:t>
            </w:r>
          </w:p>
        </w:tc>
        <w:tc>
          <w:tcPr>
            <w:tcW w:w="3988" w:type="dxa"/>
            <w:gridSpan w:val="3"/>
            <w:vAlign w:val="center"/>
          </w:tcPr>
          <w:p>
            <w:pPr>
              <w:keepNext w:val="0"/>
              <w:keepLines w:val="0"/>
              <w:pageBreakBefore w:val="0"/>
              <w:kinsoku/>
              <w:wordWrap/>
              <w:overflowPunct/>
              <w:topLinePunct w:val="0"/>
              <w:autoSpaceDE w:val="0"/>
              <w:autoSpaceDN/>
              <w:bidi w:val="0"/>
              <w:adjustRightInd w:val="0"/>
              <w:snapToGrid w:val="0"/>
              <w:spacing w:line="320" w:lineRule="exact"/>
              <w:ind w:right="-110"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市规划自然资源委</w:t>
            </w:r>
          </w:p>
          <w:p>
            <w:pPr>
              <w:keepNext w:val="0"/>
              <w:keepLines w:val="0"/>
              <w:pageBreakBefore w:val="0"/>
              <w:kinsoku/>
              <w:wordWrap/>
              <w:overflowPunct/>
              <w:topLinePunct w:val="0"/>
              <w:autoSpaceDE w:val="0"/>
              <w:autoSpaceDN/>
              <w:bidi w:val="0"/>
              <w:adjustRightInd w:val="0"/>
              <w:snapToGrid w:val="0"/>
              <w:spacing w:line="320" w:lineRule="exact"/>
              <w:ind w:right="-110"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密云分局</w:t>
            </w:r>
          </w:p>
        </w:tc>
        <w:tc>
          <w:tcPr>
            <w:tcW w:w="1961" w:type="dxa"/>
            <w:vAlign w:val="center"/>
          </w:tcPr>
          <w:p>
            <w:pPr>
              <w:keepNext w:val="0"/>
              <w:keepLines w:val="0"/>
              <w:pageBreakBefore w:val="0"/>
              <w:kinsoku/>
              <w:wordWrap/>
              <w:overflowPunct/>
              <w:topLinePunct w:val="0"/>
              <w:autoSpaceDE w:val="0"/>
              <w:autoSpaceDN/>
              <w:bidi w:val="0"/>
              <w:adjustRightInd w:val="0"/>
              <w:snapToGrid w:val="0"/>
              <w:spacing w:line="320" w:lineRule="exact"/>
              <w:ind w:right="-110" w:rightChars="-50"/>
              <w:jc w:val="center"/>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kinsoku/>
              <w:wordWrap/>
              <w:overflowPunct/>
              <w:topLinePunct w:val="0"/>
              <w:autoSpaceDE w:val="0"/>
              <w:autoSpaceDN/>
              <w:bidi w:val="0"/>
              <w:adjustRightInd w:val="0"/>
              <w:snapToGrid w:val="0"/>
              <w:spacing w:line="320" w:lineRule="exact"/>
              <w:ind w:right="-110"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kinsoku/>
              <w:wordWrap/>
              <w:overflowPunct/>
              <w:topLinePunct w:val="0"/>
              <w:autoSpaceDE w:val="0"/>
              <w:autoSpaceDN/>
              <w:bidi w:val="0"/>
              <w:adjustRightInd w:val="0"/>
              <w:snapToGrid w:val="0"/>
              <w:spacing w:line="320" w:lineRule="exact"/>
              <w:ind w:right="-110"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公安</w:t>
            </w:r>
            <w:r>
              <w:rPr>
                <w:rFonts w:hint="eastAsia" w:ascii="仿宋_GB2312" w:hAnsi="仿宋_GB2312" w:eastAsia="仿宋_GB2312" w:cs="仿宋_GB2312"/>
                <w:color w:val="auto"/>
                <w:sz w:val="28"/>
                <w:szCs w:val="28"/>
                <w:highlight w:val="none"/>
                <w:lang w:eastAsia="zh-CN"/>
              </w:rPr>
              <w:t>分</w:t>
            </w:r>
            <w:r>
              <w:rPr>
                <w:rFonts w:hint="eastAsia" w:ascii="仿宋_GB2312" w:hAnsi="仿宋_GB2312" w:eastAsia="仿宋_GB2312" w:cs="仿宋_GB2312"/>
                <w:color w:val="auto"/>
                <w:sz w:val="28"/>
                <w:szCs w:val="28"/>
                <w:highlight w:val="none"/>
              </w:rPr>
              <w:t>局</w:t>
            </w:r>
          </w:p>
          <w:p>
            <w:pPr>
              <w:keepNext w:val="0"/>
              <w:keepLines w:val="0"/>
              <w:pageBreakBefore w:val="0"/>
              <w:kinsoku/>
              <w:wordWrap/>
              <w:overflowPunct/>
              <w:topLinePunct w:val="0"/>
              <w:autoSpaceDE w:val="0"/>
              <w:autoSpaceDN/>
              <w:bidi w:val="0"/>
              <w:adjustRightInd w:val="0"/>
              <w:snapToGrid w:val="0"/>
              <w:spacing w:line="320" w:lineRule="exact"/>
              <w:ind w:right="-110"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区检察院</w:t>
            </w:r>
          </w:p>
          <w:p>
            <w:pPr>
              <w:keepNext w:val="0"/>
              <w:keepLines w:val="0"/>
              <w:pageBreakBefore w:val="0"/>
              <w:kinsoku/>
              <w:wordWrap/>
              <w:overflowPunct/>
              <w:topLinePunct w:val="0"/>
              <w:autoSpaceDE w:val="0"/>
              <w:autoSpaceDN/>
              <w:bidi w:val="0"/>
              <w:adjustRightInd w:val="0"/>
              <w:snapToGrid w:val="0"/>
              <w:spacing w:line="320" w:lineRule="exact"/>
              <w:ind w:right="-110" w:rightChars="-50"/>
              <w:jc w:val="center"/>
              <w:textAlignment w:val="auto"/>
              <w:rPr>
                <w:rFonts w:hint="eastAsia"/>
                <w:highlight w:val="none"/>
              </w:rPr>
            </w:pPr>
            <w:r>
              <w:rPr>
                <w:rFonts w:hint="eastAsia" w:ascii="仿宋_GB2312" w:hAnsi="仿宋_GB2312" w:eastAsia="仿宋_GB2312" w:cs="仿宋_GB2312"/>
                <w:color w:val="auto"/>
                <w:sz w:val="28"/>
                <w:szCs w:val="28"/>
                <w:highlight w:val="none"/>
                <w:lang w:eastAsia="zh-CN"/>
              </w:rPr>
              <w:t>区</w:t>
            </w:r>
            <w:r>
              <w:rPr>
                <w:rFonts w:hint="eastAsia" w:cs="仿宋_GB2312"/>
                <w:color w:val="auto"/>
                <w:sz w:val="28"/>
                <w:szCs w:val="28"/>
                <w:highlight w:val="none"/>
                <w:lang w:eastAsia="zh-CN"/>
              </w:rPr>
              <w:t>城市管理</w:t>
            </w:r>
            <w:r>
              <w:rPr>
                <w:rFonts w:hint="eastAsia" w:ascii="仿宋_GB2312" w:hAnsi="仿宋_GB2312" w:eastAsia="仿宋_GB2312" w:cs="仿宋_GB2312"/>
                <w:color w:val="auto"/>
                <w:sz w:val="28"/>
                <w:szCs w:val="28"/>
                <w:highlight w:val="none"/>
                <w:lang w:eastAsia="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10" w:type="dxa"/>
            <w:vMerge w:val="restart"/>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val="en-US" w:eastAsia="zh-CN"/>
              </w:rPr>
              <w:t>9</w:t>
            </w:r>
          </w:p>
        </w:tc>
        <w:tc>
          <w:tcPr>
            <w:tcW w:w="1065" w:type="dxa"/>
            <w:vMerge w:val="restart"/>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统筹推进实施生态保护修复</w:t>
            </w:r>
          </w:p>
        </w:tc>
        <w:tc>
          <w:tcPr>
            <w:tcW w:w="6040" w:type="dxa"/>
            <w:vAlign w:val="center"/>
          </w:tcPr>
          <w:p>
            <w:pPr>
              <w:keepNext w:val="0"/>
              <w:keepLines w:val="0"/>
              <w:pageBreakBefore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color w:val="auto"/>
                <w:kern w:val="0"/>
                <w:sz w:val="28"/>
                <w:szCs w:val="28"/>
                <w:highlight w:val="none"/>
                <w:lang w:eastAsia="zh-CN"/>
              </w:rPr>
              <w:t>按照市级部门统一部署，</w:t>
            </w:r>
            <w:r>
              <w:rPr>
                <w:rFonts w:hint="eastAsia" w:cs="仿宋_GB2312"/>
                <w:color w:val="auto"/>
                <w:kern w:val="0"/>
                <w:sz w:val="28"/>
                <w:szCs w:val="28"/>
                <w:highlight w:val="none"/>
                <w:lang w:eastAsia="zh-CN"/>
              </w:rPr>
              <w:t>全面完成“十四五”期间</w:t>
            </w:r>
            <w:r>
              <w:rPr>
                <w:rFonts w:hint="eastAsia" w:cs="仿宋_GB2312"/>
                <w:color w:val="auto"/>
                <w:kern w:val="0"/>
                <w:sz w:val="28"/>
                <w:szCs w:val="28"/>
                <w:highlight w:val="none"/>
                <w:lang w:val="en-US" w:eastAsia="zh-CN"/>
              </w:rPr>
              <w:t>总面积约66公顷的废弃矿山治理任务及</w:t>
            </w:r>
            <w:r>
              <w:rPr>
                <w:rFonts w:hint="eastAsia" w:cs="仿宋_GB2312"/>
                <w:color w:val="auto"/>
                <w:kern w:val="0"/>
                <w:sz w:val="28"/>
                <w:szCs w:val="28"/>
                <w:highlight w:val="none"/>
                <w:lang w:eastAsia="zh-CN"/>
              </w:rPr>
              <w:t>总面积约</w:t>
            </w:r>
            <w:r>
              <w:rPr>
                <w:rFonts w:hint="eastAsia" w:cs="仿宋_GB2312"/>
                <w:color w:val="auto"/>
                <w:kern w:val="0"/>
                <w:sz w:val="28"/>
                <w:szCs w:val="28"/>
                <w:highlight w:val="none"/>
                <w:lang w:val="en-US" w:eastAsia="zh-CN"/>
              </w:rPr>
              <w:t>555.3公顷</w:t>
            </w:r>
            <w:r>
              <w:rPr>
                <w:rFonts w:hint="eastAsia" w:ascii="仿宋_GB2312" w:hAnsi="仿宋_GB2312" w:eastAsia="仿宋_GB2312" w:cs="仿宋_GB2312"/>
                <w:color w:val="auto"/>
                <w:kern w:val="0"/>
                <w:sz w:val="28"/>
                <w:szCs w:val="28"/>
                <w:highlight w:val="none"/>
                <w:lang w:val="en-US" w:eastAsia="zh-CN"/>
              </w:rPr>
              <w:t>的</w:t>
            </w:r>
            <w:r>
              <w:rPr>
                <w:rFonts w:hint="eastAsia" w:cs="仿宋_GB2312"/>
                <w:color w:val="auto"/>
                <w:kern w:val="0"/>
                <w:sz w:val="28"/>
                <w:szCs w:val="28"/>
                <w:highlight w:val="none"/>
                <w:lang w:val="en-US" w:eastAsia="zh-CN"/>
              </w:rPr>
              <w:t>区属国有矿山治理任务。</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年底前</w:t>
            </w:r>
          </w:p>
        </w:tc>
        <w:tc>
          <w:tcPr>
            <w:tcW w:w="201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市规划自然资源委密云分局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highlight w:val="none"/>
              </w:rPr>
            </w:pPr>
            <w:r>
              <w:rPr>
                <w:rFonts w:hint="eastAsia" w:ascii="仿宋_GB2312" w:hAnsi="仿宋_GB2312" w:eastAsia="仿宋_GB2312" w:cs="仿宋_GB2312"/>
                <w:color w:val="auto"/>
                <w:sz w:val="28"/>
                <w:szCs w:val="28"/>
                <w:highlight w:val="none"/>
                <w:lang w:eastAsia="zh-CN"/>
              </w:rPr>
              <w:t>区国资委</w:t>
            </w:r>
          </w:p>
        </w:tc>
        <w:tc>
          <w:tcPr>
            <w:tcW w:w="1972"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市规划自然资源委密云分局区国资委</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相关镇</w:t>
            </w:r>
          </w:p>
        </w:tc>
        <w:tc>
          <w:tcPr>
            <w:tcW w:w="1961"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园林绿化局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水务局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农业农村局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continue"/>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1065" w:type="dxa"/>
            <w:vMerge w:val="continue"/>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vAlign w:val="center"/>
          </w:tcPr>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jc w:val="both"/>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推进园林绿化</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增绿提质</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cs="仿宋_GB2312"/>
                <w:color w:val="auto"/>
                <w:kern w:val="0"/>
                <w:sz w:val="28"/>
                <w:szCs w:val="28"/>
                <w:highlight w:val="none"/>
                <w:lang w:eastAsia="zh-CN"/>
              </w:rPr>
              <w:t>和</w:t>
            </w:r>
            <w:r>
              <w:rPr>
                <w:rFonts w:hint="eastAsia" w:ascii="仿宋_GB2312" w:hAnsi="仿宋_GB2312" w:eastAsia="仿宋_GB2312" w:cs="仿宋_GB2312"/>
                <w:color w:val="auto"/>
                <w:kern w:val="0"/>
                <w:sz w:val="28"/>
                <w:szCs w:val="28"/>
                <w:highlight w:val="none"/>
              </w:rPr>
              <w:t>自然带营</w:t>
            </w:r>
            <w:r>
              <w:rPr>
                <w:rFonts w:hint="eastAsia" w:ascii="仿宋_GB2312" w:hAnsi="仿宋_GB2312" w:cs="仿宋_GB2312"/>
                <w:color w:val="auto"/>
                <w:kern w:val="0"/>
                <w:sz w:val="28"/>
                <w:szCs w:val="28"/>
                <w:highlight w:val="none"/>
                <w:lang w:eastAsia="zh-CN"/>
              </w:rPr>
              <w:t>建工作，</w:t>
            </w:r>
            <w:r>
              <w:rPr>
                <w:rFonts w:hint="eastAsia" w:ascii="仿宋_GB2312" w:hAnsi="仿宋_GB2312" w:eastAsia="仿宋_GB2312" w:cs="仿宋_GB2312"/>
                <w:color w:val="auto"/>
                <w:sz w:val="28"/>
                <w:szCs w:val="28"/>
                <w:highlight w:val="none"/>
              </w:rPr>
              <w:t>加强绿地建设，建设休闲公园、</w:t>
            </w:r>
            <w:r>
              <w:rPr>
                <w:rFonts w:hint="eastAsia" w:cs="仿宋_GB2312"/>
                <w:color w:val="auto"/>
                <w:sz w:val="28"/>
                <w:szCs w:val="28"/>
                <w:highlight w:val="none"/>
                <w:lang w:eastAsia="zh-CN"/>
              </w:rPr>
              <w:t>城市森林、</w:t>
            </w:r>
            <w:r>
              <w:rPr>
                <w:rFonts w:hint="eastAsia" w:ascii="仿宋_GB2312" w:hAnsi="仿宋_GB2312" w:eastAsia="仿宋_GB2312" w:cs="仿宋_GB2312"/>
                <w:color w:val="auto"/>
                <w:sz w:val="28"/>
                <w:szCs w:val="28"/>
                <w:highlight w:val="none"/>
              </w:rPr>
              <w:t>口袋公园及小微绿地等，</w:t>
            </w:r>
            <w:r>
              <w:rPr>
                <w:rFonts w:hint="eastAsia" w:ascii="仿宋_GB2312" w:hAnsi="仿宋_GB2312" w:eastAsia="仿宋_GB2312" w:cs="仿宋_GB2312"/>
                <w:color w:val="auto"/>
                <w:kern w:val="0"/>
                <w:sz w:val="28"/>
                <w:szCs w:val="28"/>
                <w:highlight w:val="none"/>
                <w:lang w:eastAsia="zh-CN"/>
              </w:rPr>
              <w:t>完成市级下达任务</w:t>
            </w:r>
            <w:r>
              <w:rPr>
                <w:rFonts w:hint="eastAsia" w:ascii="仿宋_GB2312" w:hAnsi="仿宋_GB2312" w:eastAsia="仿宋_GB2312" w:cs="仿宋_GB2312"/>
                <w:color w:val="auto"/>
                <w:kern w:val="0"/>
                <w:sz w:val="28"/>
                <w:szCs w:val="28"/>
                <w:highlight w:val="none"/>
              </w:rPr>
              <w:t>。</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年底前</w:t>
            </w:r>
          </w:p>
        </w:tc>
        <w:tc>
          <w:tcPr>
            <w:tcW w:w="2016" w:type="dxa"/>
            <w:gridSpan w:val="2"/>
            <w:vAlign w:val="center"/>
          </w:tcPr>
          <w:p>
            <w:pPr>
              <w:keepNext w:val="0"/>
              <w:keepLines w:val="0"/>
              <w:pageBreakBefore w:val="0"/>
              <w:kinsoku/>
              <w:wordWrap/>
              <w:overflowPunct/>
              <w:topLinePunct w:val="0"/>
              <w:autoSpaceDE w:val="0"/>
              <w:autoSpaceDN/>
              <w:bidi w:val="0"/>
              <w:adjustRightInd w:val="0"/>
              <w:snapToGrid w:val="0"/>
              <w:spacing w:line="320" w:lineRule="exact"/>
              <w:ind w:left="-110" w:leftChars="-50" w:right="-110" w:rightChars="-5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园林绿化局</w:t>
            </w:r>
          </w:p>
        </w:tc>
        <w:tc>
          <w:tcPr>
            <w:tcW w:w="1972"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w w:val="80"/>
                <w:sz w:val="28"/>
                <w:szCs w:val="28"/>
              </w:rPr>
            </w:pPr>
            <w:r>
              <w:rPr>
                <w:rFonts w:hint="eastAsia" w:ascii="仿宋_GB2312" w:hAnsi="仿宋_GB2312" w:eastAsia="仿宋_GB2312" w:cs="仿宋_GB2312"/>
                <w:color w:val="auto"/>
                <w:sz w:val="28"/>
                <w:szCs w:val="28"/>
              </w:rPr>
              <w:t>区园林绿化局</w:t>
            </w:r>
            <w:r>
              <w:rPr>
                <w:rFonts w:hint="eastAsia" w:cs="仿宋_GB2312"/>
                <w:color w:val="auto"/>
                <w:w w:val="80"/>
                <w:sz w:val="28"/>
                <w:szCs w:val="28"/>
                <w:highlight w:val="none"/>
                <w:lang w:eastAsia="zh-CN"/>
              </w:rPr>
              <w:t>区</w:t>
            </w:r>
            <w:r>
              <w:rPr>
                <w:rFonts w:hint="eastAsia" w:cs="仿宋_GB2312"/>
                <w:color w:val="auto"/>
                <w:w w:val="80"/>
                <w:sz w:val="28"/>
                <w:szCs w:val="28"/>
                <w:highlight w:val="none"/>
                <w:lang w:val="en-US" w:eastAsia="zh-CN"/>
              </w:rPr>
              <w:t>园林绿化中心</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各镇街（地区）</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pacing w:val="-22"/>
                <w:sz w:val="28"/>
                <w:szCs w:val="28"/>
                <w:highlight w:val="none"/>
                <w:lang w:val="en-US" w:eastAsia="zh-CN"/>
              </w:rPr>
            </w:pPr>
            <w:r>
              <w:rPr>
                <w:rFonts w:hint="eastAsia" w:ascii="仿宋_GB2312" w:hAnsi="仿宋_GB2312" w:eastAsia="仿宋_GB2312" w:cs="仿宋_GB2312"/>
                <w:color w:val="auto"/>
                <w:sz w:val="28"/>
                <w:szCs w:val="28"/>
              </w:rPr>
              <w:t>中关村密云园</w:t>
            </w:r>
            <w:r>
              <w:rPr>
                <w:rFonts w:hint="eastAsia" w:cs="仿宋_GB2312"/>
                <w:color w:val="auto"/>
                <w:sz w:val="28"/>
                <w:szCs w:val="28"/>
                <w:lang w:val="en-US" w:eastAsia="zh-CN"/>
              </w:rPr>
              <w:t>管委会</w:t>
            </w:r>
          </w:p>
        </w:tc>
        <w:tc>
          <w:tcPr>
            <w:tcW w:w="1961"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pacing w:val="-26"/>
                <w:sz w:val="28"/>
                <w:szCs w:val="28"/>
                <w:highlight w:val="none"/>
              </w:rPr>
            </w:pPr>
            <w:r>
              <w:rPr>
                <w:rFonts w:hint="eastAsia" w:ascii="仿宋_GB2312" w:hAnsi="仿宋_GB2312" w:eastAsia="仿宋_GB2312" w:cs="仿宋_GB2312"/>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continue"/>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p>
        </w:tc>
        <w:tc>
          <w:tcPr>
            <w:tcW w:w="1065" w:type="dxa"/>
            <w:vMerge w:val="continue"/>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vAlign w:val="center"/>
          </w:tcPr>
          <w:p>
            <w:pPr>
              <w:keepNext w:val="0"/>
              <w:keepLines w:val="0"/>
              <w:pageBreakBefore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bidi="ar-SA"/>
              </w:rPr>
              <w:t>开展立体绿化，有效提升绿视率。推进建筑物墙面、围栏、围墙垂直绿化，优化乔灌草立体结构；推进试点花园示范街区建设；结合老旧小区改造，持续推动花园住区建设；开展绿视率调查监测，科学评价生态建设成效。</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sz w:val="28"/>
                <w:szCs w:val="28"/>
                <w:highlight w:val="none"/>
              </w:rPr>
              <w:t>年底前</w:t>
            </w:r>
          </w:p>
        </w:tc>
        <w:tc>
          <w:tcPr>
            <w:tcW w:w="2016" w:type="dxa"/>
            <w:gridSpan w:val="2"/>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区园林绿化局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区园林绿化</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中心</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eastAsia="仿宋_GB2312"/>
                <w:lang w:eastAsia="zh-CN"/>
              </w:rPr>
            </w:pPr>
          </w:p>
        </w:tc>
        <w:tc>
          <w:tcPr>
            <w:tcW w:w="1972"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区园林绿化局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区园林绿化</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服务中心</w:t>
            </w:r>
          </w:p>
          <w:p>
            <w:pPr>
              <w:keepNext w:val="0"/>
              <w:keepLines w:val="0"/>
              <w:pageBreakBefore w:val="0"/>
              <w:kinsoku/>
              <w:wordWrap/>
              <w:overflowPunct/>
              <w:topLinePunct w:val="0"/>
              <w:autoSpaceDE w:val="0"/>
              <w:autoSpaceDN/>
              <w:bidi w:val="0"/>
              <w:snapToGrid w:val="0"/>
              <w:spacing w:line="320" w:lineRule="exact"/>
              <w:jc w:val="center"/>
              <w:textAlignment w:val="auto"/>
              <w:rPr>
                <w:rFonts w:hint="default" w:cs="仿宋_GB2312"/>
                <w:color w:val="auto"/>
                <w:sz w:val="28"/>
                <w:szCs w:val="28"/>
                <w:highlight w:val="yellow"/>
                <w:lang w:val="en-US" w:eastAsia="zh-CN"/>
              </w:rPr>
            </w:pPr>
            <w:r>
              <w:rPr>
                <w:rFonts w:hint="eastAsia" w:cs="仿宋_GB2312"/>
                <w:color w:val="auto"/>
                <w:sz w:val="28"/>
                <w:szCs w:val="28"/>
                <w:highlight w:val="none"/>
                <w:lang w:val="en-US" w:eastAsia="zh-CN"/>
              </w:rPr>
              <w:t>区住房城乡建设委</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区交通局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cs="仿宋_GB2312"/>
                <w:color w:val="auto"/>
                <w:sz w:val="28"/>
                <w:szCs w:val="28"/>
                <w:highlight w:val="none"/>
                <w:lang w:eastAsia="zh-CN"/>
              </w:rPr>
            </w:pPr>
            <w:r>
              <w:rPr>
                <w:rFonts w:hint="eastAsia" w:cs="仿宋_GB2312"/>
                <w:color w:val="auto"/>
                <w:sz w:val="28"/>
                <w:szCs w:val="28"/>
                <w:highlight w:val="none"/>
                <w:lang w:val="en-US" w:eastAsia="zh-CN"/>
              </w:rPr>
              <w:t>区生态环境局</w:t>
            </w:r>
            <w:r>
              <w:rPr>
                <w:rFonts w:hint="eastAsia" w:ascii="仿宋_GB2312" w:hAnsi="仿宋_GB2312" w:eastAsia="仿宋_GB2312" w:cs="仿宋_GB2312"/>
                <w:color w:val="auto"/>
                <w:sz w:val="28"/>
                <w:szCs w:val="28"/>
                <w:highlight w:val="none"/>
              </w:rPr>
              <w:t>相关</w:t>
            </w:r>
            <w:r>
              <w:rPr>
                <w:rFonts w:hint="eastAsia" w:cs="仿宋_GB2312"/>
                <w:color w:val="auto"/>
                <w:sz w:val="28"/>
                <w:szCs w:val="28"/>
                <w:highlight w:val="none"/>
                <w:lang w:eastAsia="zh-CN"/>
              </w:rPr>
              <w:t>镇街</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eastAsia="zh-CN"/>
              </w:rPr>
              <w:t>（地区）</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中关村密云园</w:t>
            </w:r>
            <w:r>
              <w:rPr>
                <w:rFonts w:hint="eastAsia" w:cs="仿宋_GB2312"/>
                <w:color w:val="auto"/>
                <w:sz w:val="28"/>
                <w:szCs w:val="28"/>
                <w:highlight w:val="none"/>
                <w:lang w:val="en-US" w:eastAsia="zh-CN"/>
              </w:rPr>
              <w:t>管委会</w:t>
            </w:r>
          </w:p>
        </w:tc>
        <w:tc>
          <w:tcPr>
            <w:tcW w:w="1961"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val="en-US" w:eastAsia="zh-CN"/>
              </w:rPr>
              <w:t>市规划自然资源委密云分局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10" w:type="dxa"/>
            <w:vMerge w:val="continue"/>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p>
        </w:tc>
        <w:tc>
          <w:tcPr>
            <w:tcW w:w="1065" w:type="dxa"/>
            <w:vMerge w:val="continue"/>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vAlign w:val="center"/>
          </w:tcPr>
          <w:p>
            <w:pPr>
              <w:pStyle w:val="9"/>
              <w:keepNext w:val="0"/>
              <w:keepLines w:val="0"/>
              <w:pageBreakBefore w:val="0"/>
              <w:kinsoku/>
              <w:wordWrap/>
              <w:overflowPunct/>
              <w:topLinePunct w:val="0"/>
              <w:autoSpaceDE/>
              <w:autoSpaceDN/>
              <w:bidi w:val="0"/>
              <w:snapToGrid w:val="0"/>
              <w:spacing w:line="320" w:lineRule="exact"/>
              <w:ind w:left="0" w:leftChars="0" w:right="0" w:rightChars="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eastAsia="zh-CN"/>
              </w:rPr>
              <w:t>在满足防洪排涝安全的前提下，对具备条件的硬质化河流水库岸线进行自然化改造和生态修复，恢复自然岸线，并加强河流水库现状自然岸线保护。</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val="en-US" w:eastAsia="en-US" w:bidi="ar-SA"/>
              </w:rPr>
            </w:pPr>
            <w:r>
              <w:rPr>
                <w:rFonts w:hint="eastAsia" w:ascii="仿宋_GB2312" w:hAnsi="仿宋_GB2312" w:eastAsia="仿宋_GB2312" w:cs="仿宋_GB2312"/>
                <w:color w:val="auto"/>
                <w:spacing w:val="0"/>
                <w:sz w:val="28"/>
                <w:szCs w:val="28"/>
                <w:highlight w:val="none"/>
              </w:rPr>
              <w:t>年底前</w:t>
            </w:r>
          </w:p>
        </w:tc>
        <w:tc>
          <w:tcPr>
            <w:tcW w:w="2016" w:type="dxa"/>
            <w:gridSpan w:val="2"/>
            <w:vAlign w:val="center"/>
          </w:tcPr>
          <w:p>
            <w:pPr>
              <w:keepNext w:val="0"/>
              <w:keepLines w:val="0"/>
              <w:pageBreakBefore w:val="0"/>
              <w:kinsoku/>
              <w:wordWrap/>
              <w:overflowPunct/>
              <w:topLinePunct w:val="0"/>
              <w:autoSpaceDE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区</w:t>
            </w:r>
            <w:r>
              <w:rPr>
                <w:rFonts w:hint="eastAsia" w:cs="仿宋_GB2312"/>
                <w:color w:val="auto"/>
                <w:sz w:val="28"/>
                <w:szCs w:val="28"/>
                <w:highlight w:val="none"/>
                <w:lang w:eastAsia="zh-CN"/>
              </w:rPr>
              <w:t>水务</w:t>
            </w:r>
            <w:r>
              <w:rPr>
                <w:rFonts w:hint="eastAsia" w:ascii="仿宋_GB2312" w:hAnsi="仿宋_GB2312" w:eastAsia="仿宋_GB2312" w:cs="仿宋_GB2312"/>
                <w:color w:val="auto"/>
                <w:sz w:val="28"/>
                <w:szCs w:val="28"/>
                <w:highlight w:val="none"/>
              </w:rPr>
              <w:t>局</w:t>
            </w:r>
          </w:p>
        </w:tc>
        <w:tc>
          <w:tcPr>
            <w:tcW w:w="1972"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cs="仿宋_GB2312"/>
                <w:color w:val="auto"/>
                <w:sz w:val="28"/>
                <w:szCs w:val="28"/>
                <w:highlight w:val="none"/>
                <w:lang w:eastAsia="zh-CN"/>
              </w:rPr>
              <w:t>水务</w:t>
            </w:r>
            <w:r>
              <w:rPr>
                <w:rFonts w:hint="eastAsia" w:ascii="仿宋_GB2312" w:hAnsi="仿宋_GB2312" w:eastAsia="仿宋_GB2312" w:cs="仿宋_GB2312"/>
                <w:color w:val="auto"/>
                <w:sz w:val="28"/>
                <w:szCs w:val="28"/>
                <w:highlight w:val="none"/>
              </w:rPr>
              <w:t>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rPr>
              <w:t>相关镇</w:t>
            </w:r>
          </w:p>
        </w:tc>
        <w:tc>
          <w:tcPr>
            <w:tcW w:w="1961" w:type="dxa"/>
            <w:vAlign w:val="center"/>
          </w:tcPr>
          <w:p>
            <w:pPr>
              <w:keepNext w:val="0"/>
              <w:keepLines w:val="0"/>
              <w:pageBreakBefore w:val="0"/>
              <w:kinsoku/>
              <w:wordWrap/>
              <w:overflowPunct/>
              <w:topLinePunct w:val="0"/>
              <w:autoSpaceDE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cs="仿宋_GB2312"/>
                <w:color w:val="auto"/>
                <w:sz w:val="28"/>
                <w:szCs w:val="28"/>
                <w:highlight w:val="none"/>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10" w:type="dxa"/>
            <w:vMerge w:val="continue"/>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1065" w:type="dxa"/>
            <w:vMerge w:val="continue"/>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vAlign w:val="center"/>
          </w:tcPr>
          <w:p>
            <w:pPr>
              <w:pStyle w:val="9"/>
              <w:keepNext w:val="0"/>
              <w:keepLines w:val="0"/>
              <w:pageBreakBefore w:val="0"/>
              <w:kinsoku/>
              <w:wordWrap/>
              <w:overflowPunct/>
              <w:topLinePunct w:val="0"/>
              <w:autoSpaceDE/>
              <w:autoSpaceDN/>
              <w:bidi w:val="0"/>
              <w:snapToGrid w:val="0"/>
              <w:spacing w:line="320" w:lineRule="exact"/>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cs="仿宋_GB2312"/>
                <w:color w:val="auto"/>
                <w:kern w:val="2"/>
                <w:sz w:val="28"/>
                <w:szCs w:val="28"/>
                <w:highlight w:val="none"/>
                <w:lang w:eastAsia="zh-CN"/>
              </w:rPr>
              <w:t>营建森林湿地复合系统，推进密云新城子镇大角峪西沟小微湿地示范区建设。</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sz w:val="28"/>
                <w:szCs w:val="28"/>
                <w:highlight w:val="none"/>
              </w:rPr>
              <w:t>年底前</w:t>
            </w:r>
          </w:p>
        </w:tc>
        <w:tc>
          <w:tcPr>
            <w:tcW w:w="2016" w:type="dxa"/>
            <w:gridSpan w:val="2"/>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cs="仿宋_GB2312"/>
                <w:color w:val="auto"/>
                <w:sz w:val="28"/>
                <w:szCs w:val="28"/>
                <w:highlight w:val="none"/>
                <w:lang w:eastAsia="zh-CN"/>
              </w:rPr>
              <w:t>园林绿化</w:t>
            </w:r>
            <w:r>
              <w:rPr>
                <w:rFonts w:hint="eastAsia" w:ascii="仿宋_GB2312" w:hAnsi="仿宋_GB2312" w:eastAsia="仿宋_GB2312" w:cs="仿宋_GB2312"/>
                <w:color w:val="auto"/>
                <w:sz w:val="28"/>
                <w:szCs w:val="28"/>
                <w:highlight w:val="none"/>
              </w:rPr>
              <w:t>局</w:t>
            </w:r>
          </w:p>
        </w:tc>
        <w:tc>
          <w:tcPr>
            <w:tcW w:w="1972"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sz w:val="28"/>
                <w:szCs w:val="28"/>
                <w:highlight w:val="none"/>
                <w:lang w:eastAsia="zh-CN"/>
              </w:rPr>
              <w:t>新城子镇政府</w:t>
            </w:r>
          </w:p>
        </w:tc>
        <w:tc>
          <w:tcPr>
            <w:tcW w:w="1961"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10" w:type="dxa"/>
            <w:vAlign w:val="center"/>
          </w:tcPr>
          <w:p>
            <w:pPr>
              <w:keepNext w:val="0"/>
              <w:keepLines w:val="0"/>
              <w:pageBreakBefore w:val="0"/>
              <w:widowControl/>
              <w:kinsoku/>
              <w:wordWrap/>
              <w:overflowPunct/>
              <w:topLinePunct w:val="0"/>
              <w:autoSpaceDN/>
              <w:bidi w:val="0"/>
              <w:snapToGrid w:val="0"/>
              <w:spacing w:line="32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cs="仿宋_GB2312"/>
                <w:color w:val="auto"/>
                <w:sz w:val="28"/>
                <w:szCs w:val="28"/>
                <w:highlight w:val="none"/>
                <w:lang w:val="en-US" w:eastAsia="zh-CN"/>
              </w:rPr>
              <w:t>10</w:t>
            </w:r>
          </w:p>
        </w:tc>
        <w:tc>
          <w:tcPr>
            <w:tcW w:w="1065" w:type="dxa"/>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加强生态监测</w:t>
            </w:r>
          </w:p>
        </w:tc>
        <w:tc>
          <w:tcPr>
            <w:tcW w:w="6040" w:type="dxa"/>
            <w:vAlign w:val="center"/>
          </w:tcPr>
          <w:p>
            <w:pPr>
              <w:pStyle w:val="9"/>
              <w:keepNext w:val="0"/>
              <w:keepLines w:val="0"/>
              <w:pageBreakBefore w:val="0"/>
              <w:kinsoku/>
              <w:wordWrap/>
              <w:overflowPunct/>
              <w:topLinePunct w:val="0"/>
              <w:autoSpaceDE/>
              <w:autoSpaceDN/>
              <w:bidi w:val="0"/>
              <w:snapToGrid w:val="0"/>
              <w:spacing w:line="320" w:lineRule="exact"/>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cs="仿宋_GB2312"/>
                <w:color w:val="auto"/>
                <w:kern w:val="2"/>
                <w:sz w:val="28"/>
                <w:szCs w:val="28"/>
                <w:highlight w:val="none"/>
                <w:lang w:eastAsia="zh-CN"/>
              </w:rPr>
              <w:t>配合市级部门</w:t>
            </w:r>
            <w:r>
              <w:rPr>
                <w:rFonts w:hint="eastAsia" w:ascii="仿宋_GB2312" w:hAnsi="仿宋_GB2312" w:eastAsia="仿宋_GB2312" w:cs="仿宋_GB2312"/>
                <w:color w:val="auto"/>
                <w:kern w:val="2"/>
                <w:sz w:val="28"/>
                <w:szCs w:val="28"/>
                <w:highlight w:val="none"/>
              </w:rPr>
              <w:t>推动密云水库国家生态质量综合监测站建设</w:t>
            </w:r>
            <w:r>
              <w:rPr>
                <w:rFonts w:hint="eastAsia" w:ascii="仿宋_GB2312" w:hAnsi="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提升区域综合生态监测能力。</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年底前</w:t>
            </w:r>
          </w:p>
        </w:tc>
        <w:tc>
          <w:tcPr>
            <w:tcW w:w="3988" w:type="dxa"/>
            <w:gridSpan w:val="3"/>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cs="仿宋_GB2312"/>
                <w:color w:val="auto"/>
                <w:sz w:val="28"/>
                <w:szCs w:val="28"/>
                <w:highlight w:val="none"/>
                <w:lang w:eastAsia="zh-CN"/>
              </w:rPr>
              <w:t>区生态环境局</w:t>
            </w:r>
          </w:p>
        </w:tc>
        <w:tc>
          <w:tcPr>
            <w:tcW w:w="1961" w:type="dxa"/>
            <w:vAlign w:val="center"/>
          </w:tcPr>
          <w:p>
            <w:pPr>
              <w:pStyle w:val="3"/>
              <w:keepNext w:val="0"/>
              <w:keepLines w:val="0"/>
              <w:pageBreakBefore w:val="0"/>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密云水库综合</w:t>
            </w:r>
          </w:p>
          <w:p>
            <w:pPr>
              <w:pStyle w:val="3"/>
              <w:keepNext w:val="0"/>
              <w:keepLines w:val="0"/>
              <w:pageBreakBefore w:val="0"/>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pacing w:val="-26"/>
                <w:sz w:val="28"/>
                <w:szCs w:val="28"/>
                <w:highlight w:val="none"/>
              </w:rPr>
            </w:pPr>
            <w:r>
              <w:rPr>
                <w:rFonts w:hint="eastAsia" w:ascii="仿宋_GB2312" w:hAnsi="仿宋_GB2312" w:eastAsia="仿宋_GB2312" w:cs="仿宋_GB2312"/>
                <w:color w:val="auto"/>
                <w:sz w:val="28"/>
                <w:szCs w:val="28"/>
                <w:highlight w:val="none"/>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68" w:type="dxa"/>
            <w:gridSpan w:val="8"/>
            <w:vAlign w:val="center"/>
          </w:tcPr>
          <w:p>
            <w:pPr>
              <w:keepNext w:val="0"/>
              <w:keepLines w:val="0"/>
              <w:pageBreakBefore w:val="0"/>
              <w:kinsoku/>
              <w:wordWrap/>
              <w:overflowPunct/>
              <w:topLinePunct w:val="0"/>
              <w:autoSpaceDE w:val="0"/>
              <w:autoSpaceDN/>
              <w:bidi w:val="0"/>
              <w:snapToGrid w:val="0"/>
              <w:spacing w:line="320" w:lineRule="exact"/>
              <w:ind w:left="-110" w:leftChars="-50" w:right="-110" w:rightChars="-50"/>
              <w:jc w:val="center"/>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restart"/>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cs="仿宋_GB2312"/>
                <w:color w:val="auto"/>
                <w:sz w:val="28"/>
                <w:szCs w:val="28"/>
                <w:highlight w:val="none"/>
                <w:lang w:val="en-US" w:eastAsia="zh-CN"/>
              </w:rPr>
              <w:t>11</w:t>
            </w:r>
          </w:p>
        </w:tc>
        <w:tc>
          <w:tcPr>
            <w:tcW w:w="1065" w:type="dxa"/>
            <w:vMerge w:val="restart"/>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推进区域生态协同治理</w:t>
            </w:r>
          </w:p>
        </w:tc>
        <w:tc>
          <w:tcPr>
            <w:tcW w:w="60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auto"/>
                <w:sz w:val="28"/>
                <w:szCs w:val="28"/>
                <w:highlight w:val="none"/>
                <w:lang w:eastAsia="zh-CN"/>
              </w:rPr>
            </w:pPr>
            <w:r>
              <w:rPr>
                <w:rFonts w:hint="eastAsia" w:cs="仿宋_GB2312"/>
                <w:color w:val="auto"/>
                <w:kern w:val="0"/>
                <w:sz w:val="28"/>
                <w:szCs w:val="28"/>
                <w:highlight w:val="none"/>
                <w:lang w:eastAsia="zh-CN"/>
              </w:rPr>
              <w:t>按照市级部门要求，</w:t>
            </w:r>
            <w:r>
              <w:rPr>
                <w:rFonts w:hint="eastAsia" w:ascii="仿宋_GB2312" w:hAnsi="仿宋_GB2312" w:eastAsia="仿宋_GB2312" w:cs="仿宋_GB2312"/>
                <w:color w:val="auto"/>
                <w:kern w:val="0"/>
                <w:sz w:val="28"/>
                <w:szCs w:val="28"/>
                <w:highlight w:val="none"/>
              </w:rPr>
              <w:t>推进燕山</w:t>
            </w:r>
            <w:r>
              <w:rPr>
                <w:rFonts w:hint="eastAsia"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塞罕坝国家公园</w:t>
            </w:r>
            <w:r>
              <w:rPr>
                <w:rFonts w:hint="eastAsia" w:cs="仿宋_GB2312"/>
                <w:color w:val="auto"/>
                <w:kern w:val="0"/>
                <w:sz w:val="28"/>
                <w:szCs w:val="28"/>
                <w:highlight w:val="none"/>
                <w:lang w:eastAsia="zh-CN"/>
              </w:rPr>
              <w:t>建设。</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sz w:val="28"/>
                <w:szCs w:val="28"/>
                <w:highlight w:val="none"/>
              </w:rPr>
              <w:t>年底前</w:t>
            </w:r>
          </w:p>
        </w:tc>
        <w:tc>
          <w:tcPr>
            <w:tcW w:w="3988" w:type="dxa"/>
            <w:gridSpan w:val="3"/>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cs="仿宋_GB2312"/>
                <w:color w:val="auto"/>
                <w:sz w:val="28"/>
                <w:szCs w:val="28"/>
                <w:highlight w:val="none"/>
                <w:lang w:eastAsia="zh-CN"/>
              </w:rPr>
              <w:t>区园林绿化局</w:t>
            </w:r>
          </w:p>
        </w:tc>
        <w:tc>
          <w:tcPr>
            <w:tcW w:w="1961" w:type="dxa"/>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区委宣传部</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区委编办</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w:t>
            </w:r>
            <w:r>
              <w:rPr>
                <w:rFonts w:hint="eastAsia" w:cs="仿宋_GB2312"/>
                <w:color w:val="auto"/>
                <w:kern w:val="0"/>
                <w:sz w:val="28"/>
                <w:szCs w:val="28"/>
                <w:highlight w:val="none"/>
                <w:lang w:val="en-US" w:eastAsia="zh-CN" w:bidi="ar-SA"/>
              </w:rPr>
              <w:t>发展改革委</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区司法局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区财政局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市规划自然资源委密云分局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区生态环境局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区交通局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市交通委密云公路分局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区水务局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区农业农村局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w w:val="80"/>
                <w:kern w:val="0"/>
                <w:sz w:val="28"/>
                <w:szCs w:val="28"/>
                <w:highlight w:val="none"/>
                <w:lang w:val="en-US" w:eastAsia="zh-CN" w:bidi="ar-SA"/>
              </w:rPr>
            </w:pPr>
            <w:r>
              <w:rPr>
                <w:rFonts w:hint="eastAsia" w:ascii="仿宋_GB2312" w:hAnsi="仿宋_GB2312" w:eastAsia="仿宋_GB2312" w:cs="仿宋_GB2312"/>
                <w:color w:val="auto"/>
                <w:w w:val="80"/>
                <w:kern w:val="0"/>
                <w:sz w:val="28"/>
                <w:szCs w:val="28"/>
                <w:highlight w:val="none"/>
                <w:lang w:val="en-US" w:eastAsia="zh-CN" w:bidi="ar-SA"/>
              </w:rPr>
              <w:t>区</w:t>
            </w:r>
            <w:r>
              <w:rPr>
                <w:rFonts w:hint="eastAsia" w:cs="仿宋_GB2312"/>
                <w:color w:val="auto"/>
                <w:w w:val="80"/>
                <w:kern w:val="0"/>
                <w:sz w:val="28"/>
                <w:szCs w:val="28"/>
                <w:highlight w:val="none"/>
                <w:lang w:val="en-US" w:eastAsia="zh-CN" w:bidi="ar-SA"/>
              </w:rPr>
              <w:t>文化和旅游</w:t>
            </w:r>
            <w:r>
              <w:rPr>
                <w:rFonts w:hint="eastAsia" w:ascii="仿宋_GB2312" w:hAnsi="仿宋_GB2312" w:eastAsia="仿宋_GB2312" w:cs="仿宋_GB2312"/>
                <w:color w:val="auto"/>
                <w:w w:val="80"/>
                <w:kern w:val="0"/>
                <w:sz w:val="28"/>
                <w:szCs w:val="28"/>
                <w:highlight w:val="none"/>
                <w:lang w:val="en-US" w:eastAsia="zh-CN" w:bidi="ar-SA"/>
              </w:rPr>
              <w:t>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26"/>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textAlignment w:val="auto"/>
            </w:pPr>
          </w:p>
        </w:tc>
        <w:tc>
          <w:tcPr>
            <w:tcW w:w="10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textAlignment w:val="auto"/>
            </w:pPr>
          </w:p>
        </w:tc>
        <w:tc>
          <w:tcPr>
            <w:tcW w:w="60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cs="仿宋_GB2312"/>
                <w:color w:val="auto"/>
                <w:sz w:val="28"/>
                <w:szCs w:val="28"/>
                <w:highlight w:val="none"/>
                <w:lang w:eastAsia="zh-CN"/>
              </w:rPr>
            </w:pPr>
            <w:r>
              <w:rPr>
                <w:rFonts w:hint="eastAsia" w:cs="仿宋_GB2312"/>
                <w:color w:val="auto"/>
                <w:sz w:val="28"/>
                <w:szCs w:val="28"/>
                <w:highlight w:val="none"/>
                <w:lang w:eastAsia="zh-CN"/>
              </w:rPr>
              <w:t>加强与承德市相关部门合作，</w:t>
            </w:r>
            <w:r>
              <w:rPr>
                <w:rFonts w:hint="eastAsia" w:ascii="仿宋_GB2312" w:hAnsi="仿宋_GB2312" w:eastAsia="仿宋_GB2312" w:cs="仿宋_GB2312"/>
                <w:color w:val="auto"/>
                <w:sz w:val="28"/>
                <w:szCs w:val="28"/>
                <w:highlight w:val="none"/>
                <w:lang w:eastAsia="zh-CN"/>
              </w:rPr>
              <w:t>持续</w:t>
            </w:r>
            <w:r>
              <w:rPr>
                <w:rFonts w:hint="eastAsia" w:ascii="仿宋_GB2312" w:hAnsi="仿宋_GB2312" w:eastAsia="仿宋_GB2312" w:cs="仿宋_GB2312"/>
                <w:color w:val="auto"/>
                <w:sz w:val="28"/>
                <w:szCs w:val="28"/>
                <w:highlight w:val="none"/>
              </w:rPr>
              <w:t>开展鸟类等野生动物联合保护行动，</w:t>
            </w:r>
            <w:r>
              <w:rPr>
                <w:rFonts w:hint="eastAsia" w:ascii="仿宋_GB2312" w:hAnsi="仿宋_GB2312" w:eastAsia="仿宋_GB2312" w:cs="仿宋_GB2312"/>
                <w:color w:val="auto"/>
                <w:sz w:val="28"/>
                <w:szCs w:val="28"/>
                <w:highlight w:val="none"/>
                <w:lang w:eastAsia="zh-CN"/>
              </w:rPr>
              <w:t>协同防控美国白蛾、松材线虫等有害生物。</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textAlignment w:val="auto"/>
              <w:rPr>
                <w:rFonts w:hint="eastAsia" w:cs="仿宋_GB2312"/>
                <w:color w:val="auto"/>
                <w:sz w:val="28"/>
                <w:szCs w:val="28"/>
                <w:highlight w:val="none"/>
                <w:lang w:eastAsia="zh-CN"/>
              </w:rPr>
            </w:pPr>
            <w:r>
              <w:rPr>
                <w:rFonts w:hint="eastAsia" w:ascii="仿宋_GB2312" w:hAnsi="仿宋_GB2312" w:eastAsia="仿宋_GB2312" w:cs="仿宋_GB2312"/>
                <w:color w:val="auto"/>
                <w:spacing w:val="0"/>
                <w:sz w:val="28"/>
                <w:szCs w:val="28"/>
                <w:highlight w:val="none"/>
              </w:rPr>
              <w:t>年底前</w:t>
            </w:r>
          </w:p>
        </w:tc>
        <w:tc>
          <w:tcPr>
            <w:tcW w:w="39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right="0" w:rightChars="0" w:firstLine="1120" w:firstLineChars="400"/>
              <w:textAlignment w:val="auto"/>
              <w:rPr>
                <w:rFonts w:hint="eastAsia"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园林绿化局</w:t>
            </w:r>
          </w:p>
        </w:tc>
        <w:tc>
          <w:tcPr>
            <w:tcW w:w="1961"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农业农村局</w:t>
            </w:r>
          </w:p>
          <w:p>
            <w:pPr>
              <w:keepNext w:val="0"/>
              <w:keepLines w:val="0"/>
              <w:pageBreakBefore w:val="0"/>
              <w:widowControl w:val="0"/>
              <w:kinsoku/>
              <w:wordWrap/>
              <w:overflowPunct/>
              <w:topLinePunct w:val="0"/>
              <w:autoSpaceDE/>
              <w:autoSpaceDN/>
              <w:bidi w:val="0"/>
              <w:adjustRightInd w:val="0"/>
              <w:snapToGrid w:val="0"/>
              <w:spacing w:line="320" w:lineRule="exact"/>
              <w:ind w:right="0" w:rightChars="0"/>
              <w:jc w:val="center"/>
              <w:textAlignment w:val="auto"/>
              <w:rPr>
                <w:rFonts w:hint="eastAsia"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公安</w:t>
            </w:r>
            <w:r>
              <w:rPr>
                <w:rFonts w:hint="eastAsia" w:ascii="仿宋_GB2312" w:hAnsi="仿宋_GB2312" w:eastAsia="仿宋_GB2312" w:cs="仿宋_GB2312"/>
                <w:color w:val="auto"/>
                <w:sz w:val="28"/>
                <w:szCs w:val="28"/>
                <w:highlight w:val="none"/>
                <w:lang w:eastAsia="zh-CN"/>
              </w:rPr>
              <w:t>分</w:t>
            </w:r>
            <w:r>
              <w:rPr>
                <w:rFonts w:hint="eastAsia" w:ascii="仿宋_GB2312" w:hAnsi="仿宋_GB2312" w:eastAsia="仿宋_GB2312" w:cs="仿宋_GB2312"/>
                <w:color w:val="auto"/>
                <w:sz w:val="28"/>
                <w:szCs w:val="28"/>
                <w:highlight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10" w:type="dxa"/>
            <w:tcBorders>
              <w:bottom w:val="single" w:color="auto" w:sz="4" w:space="0"/>
            </w:tcBorders>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cs="仿宋_GB2312"/>
                <w:color w:val="auto"/>
                <w:sz w:val="28"/>
                <w:szCs w:val="28"/>
                <w:highlight w:val="none"/>
                <w:lang w:val="en-US" w:eastAsia="zh-CN"/>
              </w:rPr>
              <w:t>12</w:t>
            </w:r>
          </w:p>
        </w:tc>
        <w:tc>
          <w:tcPr>
            <w:tcW w:w="1065" w:type="dxa"/>
            <w:tcBorders>
              <w:bottom w:val="single" w:color="auto" w:sz="4" w:space="0"/>
            </w:tcBorders>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开展生态环境质量评价</w:t>
            </w:r>
          </w:p>
        </w:tc>
        <w:tc>
          <w:tcPr>
            <w:tcW w:w="6040" w:type="dxa"/>
            <w:tcBorders>
              <w:top w:val="single" w:color="auto" w:sz="4" w:space="0"/>
            </w:tcBorders>
            <w:vAlign w:val="center"/>
          </w:tcPr>
          <w:p>
            <w:pPr>
              <w:keepNext w:val="0"/>
              <w:keepLines w:val="0"/>
              <w:pageBreakBefore w:val="0"/>
              <w:kinsoku/>
              <w:wordWrap/>
              <w:overflowPunct/>
              <w:topLinePunct w:val="0"/>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推动建立生态环境质量指数</w:t>
            </w:r>
            <w:r>
              <w:rPr>
                <w:rFonts w:hint="eastAsia" w:ascii="仿宋_GB2312" w:hAnsi="仿宋_GB2312" w:eastAsia="仿宋_GB2312" w:cs="仿宋_GB2312"/>
                <w:color w:val="auto"/>
                <w:kern w:val="0"/>
                <w:sz w:val="28"/>
                <w:szCs w:val="28"/>
                <w:highlight w:val="none"/>
                <w:lang w:val="en-US" w:eastAsia="zh-CN"/>
              </w:rPr>
              <w:t>统筹协调工作机制，</w:t>
            </w:r>
            <w:r>
              <w:rPr>
                <w:rFonts w:hint="eastAsia" w:ascii="仿宋_GB2312" w:hAnsi="仿宋_GB2312" w:eastAsia="仿宋_GB2312" w:cs="仿宋_GB2312"/>
                <w:color w:val="auto"/>
                <w:kern w:val="0"/>
                <w:sz w:val="28"/>
                <w:szCs w:val="28"/>
                <w:highlight w:val="none"/>
                <w:lang w:eastAsia="zh-CN"/>
              </w:rPr>
              <w:t>对生态用地变化线索组织开展实地核查，提升生态保护精细化水平</w:t>
            </w:r>
            <w:r>
              <w:rPr>
                <w:rFonts w:hint="eastAsia" w:ascii="仿宋_GB2312" w:hAnsi="仿宋_GB2312" w:eastAsia="仿宋_GB2312" w:cs="仿宋_GB2312"/>
                <w:color w:val="auto"/>
                <w:kern w:val="0"/>
                <w:sz w:val="28"/>
                <w:szCs w:val="28"/>
                <w:highlight w:val="none"/>
                <w:lang w:val="en-US" w:eastAsia="zh-CN"/>
              </w:rPr>
              <w:t>。</w:t>
            </w:r>
          </w:p>
        </w:tc>
        <w:tc>
          <w:tcPr>
            <w:tcW w:w="1104" w:type="dxa"/>
            <w:tcBorders>
              <w:top w:val="single" w:color="auto" w:sz="4" w:space="0"/>
            </w:tcBorders>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sz w:val="28"/>
                <w:szCs w:val="28"/>
                <w:highlight w:val="none"/>
              </w:rPr>
              <w:t>年底前</w:t>
            </w:r>
          </w:p>
        </w:tc>
        <w:tc>
          <w:tcPr>
            <w:tcW w:w="2016" w:type="dxa"/>
            <w:gridSpan w:val="2"/>
            <w:tcBorders>
              <w:top w:val="single" w:color="auto" w:sz="4" w:space="0"/>
            </w:tcBorders>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区</w:t>
            </w:r>
            <w:r>
              <w:rPr>
                <w:rFonts w:hint="eastAsia" w:ascii="仿宋_GB2312" w:hAnsi="仿宋_GB2312" w:eastAsia="仿宋_GB2312" w:cs="仿宋_GB2312"/>
                <w:color w:val="auto"/>
                <w:kern w:val="0"/>
                <w:sz w:val="28"/>
                <w:szCs w:val="28"/>
                <w:highlight w:val="none"/>
              </w:rPr>
              <w:t>生态环境局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区</w:t>
            </w:r>
            <w:r>
              <w:rPr>
                <w:rFonts w:hint="eastAsia" w:ascii="仿宋_GB2312" w:hAnsi="仿宋_GB2312" w:eastAsia="仿宋_GB2312" w:cs="仿宋_GB2312"/>
                <w:color w:val="auto"/>
                <w:kern w:val="0"/>
                <w:sz w:val="28"/>
                <w:szCs w:val="28"/>
                <w:highlight w:val="none"/>
              </w:rPr>
              <w:t>园林绿化局</w:t>
            </w:r>
          </w:p>
        </w:tc>
        <w:tc>
          <w:tcPr>
            <w:tcW w:w="1972" w:type="dxa"/>
            <w:tcBorders>
              <w:top w:val="single" w:color="auto" w:sz="4"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区生态环境局</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区园林绿化局</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相关镇</w:t>
            </w:r>
          </w:p>
        </w:tc>
        <w:tc>
          <w:tcPr>
            <w:tcW w:w="1961" w:type="dxa"/>
            <w:tcBorders>
              <w:top w:val="single" w:color="auto" w:sz="4" w:space="0"/>
            </w:tcBorders>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区水务局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区农业农村局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市交通委密云公路分局</w:t>
            </w:r>
          </w:p>
          <w:p>
            <w:pPr>
              <w:keepNext w:val="0"/>
              <w:keepLines w:val="0"/>
              <w:pageBreakBefore w:val="0"/>
              <w:kinsoku/>
              <w:wordWrap/>
              <w:overflowPunct/>
              <w:topLinePunct w:val="0"/>
              <w:autoSpaceDE w:val="0"/>
              <w:autoSpaceDN/>
              <w:bidi w:val="0"/>
              <w:snapToGrid w:val="0"/>
              <w:spacing w:line="320" w:lineRule="exact"/>
              <w:ind w:left="-110" w:leftChars="-50" w:right="-110" w:rightChars="-5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w:t>
            </w:r>
            <w:r>
              <w:rPr>
                <w:rFonts w:hint="eastAsia" w:cs="仿宋_GB2312"/>
                <w:color w:val="auto"/>
                <w:kern w:val="0"/>
                <w:sz w:val="28"/>
                <w:szCs w:val="28"/>
                <w:highlight w:val="none"/>
                <w:lang w:val="en-US" w:eastAsia="zh-CN" w:bidi="ar-SA"/>
              </w:rPr>
              <w:t>文化和旅游</w:t>
            </w:r>
            <w:r>
              <w:rPr>
                <w:rFonts w:hint="eastAsia" w:ascii="仿宋_GB2312" w:hAnsi="仿宋_GB2312" w:eastAsia="仿宋_GB2312" w:cs="仿宋_GB2312"/>
                <w:color w:val="auto"/>
                <w:kern w:val="0"/>
                <w:sz w:val="28"/>
                <w:szCs w:val="28"/>
                <w:highlight w:val="none"/>
                <w:lang w:val="en-US" w:eastAsia="zh-CN" w:bidi="ar-SA"/>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cs="仿宋_GB2312"/>
                <w:color w:val="auto"/>
                <w:sz w:val="28"/>
                <w:szCs w:val="28"/>
                <w:highlight w:val="none"/>
                <w:lang w:val="en-US" w:eastAsia="zh-CN"/>
              </w:rPr>
              <w:t>13</w:t>
            </w:r>
          </w:p>
        </w:tc>
        <w:tc>
          <w:tcPr>
            <w:tcW w:w="106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color w:val="auto"/>
                <w:sz w:val="28"/>
                <w:szCs w:val="28"/>
                <w:highlight w:val="none"/>
              </w:rPr>
              <w:t>开</w:t>
            </w:r>
            <w:bookmarkStart w:id="0" w:name="lawyee_37028_8"/>
            <w:r>
              <w:rPr>
                <w:rFonts w:hint="eastAsia" w:ascii="仿宋_GB2312" w:hAnsi="仿宋_GB2312" w:eastAsia="仿宋_GB2312" w:cs="仿宋_GB2312"/>
                <w:color w:val="auto"/>
                <w:sz w:val="28"/>
                <w:szCs w:val="28"/>
                <w:highlight w:val="none"/>
              </w:rPr>
              <w:t>展</w:t>
            </w:r>
            <w:r>
              <w:rPr>
                <w:rFonts w:hint="eastAsia" w:ascii="仿宋_GB2312" w:hAnsi="仿宋_GB2312" w:eastAsia="仿宋_GB2312" w:cs="仿宋_GB2312"/>
                <w:b w:val="0"/>
                <w:bCs w:val="0"/>
                <w:color w:val="auto"/>
                <w:kern w:val="0"/>
                <w:sz w:val="28"/>
                <w:szCs w:val="28"/>
                <w:highlight w:val="none"/>
                <w:lang w:eastAsia="zh-CN"/>
              </w:rPr>
              <w:t>GEP-R</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核算</w:t>
            </w:r>
            <w:bookmarkEnd w:id="0"/>
            <w:r>
              <w:rPr>
                <w:rFonts w:hint="eastAsia" w:ascii="仿宋_GB2312" w:hAnsi="仿宋_GB2312" w:eastAsia="仿宋_GB2312" w:cs="仿宋_GB2312"/>
                <w:color w:val="auto"/>
                <w:sz w:val="28"/>
                <w:szCs w:val="28"/>
                <w:highlight w:val="none"/>
                <w:lang w:eastAsia="zh-CN"/>
              </w:rPr>
              <w:t>和应用</w:t>
            </w:r>
          </w:p>
        </w:tc>
        <w:tc>
          <w:tcPr>
            <w:tcW w:w="6040"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以生态系统调节服务价值（GEP-R）不降低为底线，配合市级相关部门稳步推进GEP-R核算结果在全市横向交换补偿中的应用。</w:t>
            </w:r>
          </w:p>
        </w:tc>
        <w:tc>
          <w:tcPr>
            <w:tcW w:w="1104"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rPr>
              <w:t>年底前</w:t>
            </w:r>
          </w:p>
        </w:tc>
        <w:tc>
          <w:tcPr>
            <w:tcW w:w="3988" w:type="dxa"/>
            <w:gridSpan w:val="3"/>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cs="仿宋_GB2312"/>
                <w:color w:val="auto"/>
                <w:kern w:val="0"/>
                <w:sz w:val="28"/>
                <w:szCs w:val="28"/>
                <w:highlight w:val="none"/>
                <w:lang w:val="en-US" w:eastAsia="zh-CN" w:bidi="ar-SA"/>
              </w:rPr>
              <w:t>区发展改革委</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lang w:val="en-US" w:eastAsia="zh-CN"/>
              </w:rPr>
            </w:pPr>
            <w:r>
              <w:rPr>
                <w:rFonts w:hint="eastAsia" w:ascii="仿宋_GB2312" w:hAnsi="仿宋_GB2312" w:eastAsia="仿宋_GB2312" w:cs="仿宋_GB2312"/>
                <w:color w:val="auto"/>
                <w:kern w:val="0"/>
                <w:sz w:val="28"/>
                <w:szCs w:val="28"/>
                <w:highlight w:val="none"/>
                <w:lang w:val="en-US" w:eastAsia="zh-CN" w:bidi="ar-SA"/>
              </w:rPr>
              <w:t>区生态环境局</w:t>
            </w:r>
          </w:p>
        </w:tc>
        <w:tc>
          <w:tcPr>
            <w:tcW w:w="1961" w:type="dxa"/>
            <w:vAlign w:val="center"/>
          </w:tcPr>
          <w:p>
            <w:pPr>
              <w:keepNext w:val="0"/>
              <w:keepLines w:val="0"/>
              <w:pageBreakBefore w:val="0"/>
              <w:widowControl w:val="0"/>
              <w:kinsoku/>
              <w:wordWrap/>
              <w:overflowPunct/>
              <w:topLinePunct w:val="0"/>
              <w:autoSpaceDE w:val="0"/>
              <w:autoSpaceDN/>
              <w:bidi w:val="0"/>
              <w:snapToGrid w:val="0"/>
              <w:spacing w:line="320" w:lineRule="exact"/>
              <w:jc w:val="center"/>
              <w:textAlignment w:val="auto"/>
              <w:rPr>
                <w:rFonts w:hint="default" w:cs="仿宋_GB2312"/>
                <w:color w:val="auto"/>
                <w:sz w:val="28"/>
                <w:szCs w:val="28"/>
                <w:highlight w:val="yellow"/>
                <w:lang w:val="en-US" w:eastAsia="zh-CN"/>
              </w:rPr>
            </w:pPr>
            <w:r>
              <w:rPr>
                <w:rFonts w:hint="eastAsia" w:ascii="仿宋_GB2312" w:hAnsi="仿宋_GB2312" w:eastAsia="仿宋_GB2312" w:cs="仿宋_GB2312"/>
                <w:color w:val="auto"/>
                <w:sz w:val="28"/>
                <w:szCs w:val="28"/>
                <w:lang w:eastAsia="zh-CN"/>
              </w:rPr>
              <w:t>市规划自然资源委密云分局</w:t>
            </w:r>
            <w:r>
              <w:rPr>
                <w:rFonts w:hint="eastAsia" w:cs="仿宋_GB2312"/>
                <w:color w:val="auto"/>
                <w:sz w:val="28"/>
                <w:szCs w:val="28"/>
                <w:highlight w:val="none"/>
                <w:lang w:val="en-US" w:eastAsia="zh-CN"/>
              </w:rPr>
              <w:t>区住房城乡建设委</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水务局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农业农村局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w w:val="80"/>
                <w:sz w:val="28"/>
                <w:szCs w:val="28"/>
              </w:rPr>
            </w:pPr>
            <w:r>
              <w:rPr>
                <w:rFonts w:hint="eastAsia" w:ascii="仿宋_GB2312" w:hAnsi="仿宋_GB2312" w:eastAsia="仿宋_GB2312" w:cs="仿宋_GB2312"/>
                <w:color w:val="auto"/>
                <w:w w:val="80"/>
                <w:sz w:val="28"/>
                <w:szCs w:val="28"/>
                <w:lang w:eastAsia="zh-CN"/>
              </w:rPr>
              <w:t>区</w:t>
            </w:r>
            <w:r>
              <w:rPr>
                <w:rFonts w:hint="eastAsia" w:ascii="仿宋_GB2312" w:hAnsi="仿宋_GB2312" w:eastAsia="仿宋_GB2312" w:cs="仿宋_GB2312"/>
                <w:color w:val="auto"/>
                <w:w w:val="80"/>
                <w:sz w:val="28"/>
                <w:szCs w:val="28"/>
              </w:rPr>
              <w:t>文</w:t>
            </w:r>
            <w:r>
              <w:rPr>
                <w:rFonts w:hint="eastAsia" w:cs="仿宋_GB2312"/>
                <w:color w:val="auto"/>
                <w:w w:val="80"/>
                <w:sz w:val="28"/>
                <w:szCs w:val="28"/>
                <w:lang w:val="en-US" w:eastAsia="zh-CN"/>
              </w:rPr>
              <w:t>化和</w:t>
            </w:r>
            <w:r>
              <w:rPr>
                <w:rFonts w:hint="eastAsia" w:ascii="仿宋_GB2312" w:hAnsi="仿宋_GB2312" w:eastAsia="仿宋_GB2312" w:cs="仿宋_GB2312"/>
                <w:color w:val="auto"/>
                <w:w w:val="80"/>
                <w:sz w:val="28"/>
                <w:szCs w:val="28"/>
              </w:rPr>
              <w:t>旅</w:t>
            </w:r>
            <w:r>
              <w:rPr>
                <w:rFonts w:hint="eastAsia" w:cs="仿宋_GB2312"/>
                <w:color w:val="auto"/>
                <w:w w:val="80"/>
                <w:sz w:val="28"/>
                <w:szCs w:val="28"/>
                <w:lang w:val="en-US" w:eastAsia="zh-CN"/>
              </w:rPr>
              <w:t>游</w:t>
            </w:r>
            <w:r>
              <w:rPr>
                <w:rFonts w:hint="eastAsia" w:ascii="仿宋_GB2312" w:hAnsi="仿宋_GB2312" w:eastAsia="仿宋_GB2312" w:cs="仿宋_GB2312"/>
                <w:color w:val="auto"/>
                <w:w w:val="80"/>
                <w:sz w:val="28"/>
                <w:szCs w:val="28"/>
              </w:rPr>
              <w:t>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园林绿化局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气象局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国家统计局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密云调查队</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各镇街（地区）</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eastAsia="zh-CN"/>
              </w:rPr>
              <w:t>中关村密云园</w:t>
            </w:r>
            <w:r>
              <w:rPr>
                <w:rFonts w:hint="eastAsia" w:cs="仿宋_GB2312"/>
                <w:color w:val="auto"/>
                <w:sz w:val="28"/>
                <w:szCs w:val="28"/>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continue"/>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cs="仿宋_GB2312"/>
                <w:color w:val="auto"/>
                <w:sz w:val="28"/>
                <w:szCs w:val="28"/>
                <w:highlight w:val="none"/>
                <w:lang w:val="en-US" w:eastAsia="zh-CN"/>
              </w:rPr>
            </w:pPr>
          </w:p>
        </w:tc>
        <w:tc>
          <w:tcPr>
            <w:tcW w:w="1065" w:type="dxa"/>
            <w:vMerge w:val="continue"/>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p>
        </w:tc>
        <w:tc>
          <w:tcPr>
            <w:tcW w:w="6040"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eastAsia="zh-CN"/>
              </w:rPr>
              <w:t>配合市级部门开展年度GEP-R核算工作</w:t>
            </w:r>
            <w:r>
              <w:rPr>
                <w:rFonts w:hint="eastAsia" w:ascii="仿宋_GB2312" w:hAnsi="仿宋_GB2312" w:eastAsia="仿宋_GB2312" w:cs="仿宋_GB2312"/>
                <w:b w:val="0"/>
                <w:bCs w:val="0"/>
                <w:color w:val="auto"/>
                <w:kern w:val="0"/>
                <w:sz w:val="28"/>
                <w:szCs w:val="28"/>
                <w:highlight w:val="none"/>
                <w:lang w:val="en-US" w:eastAsia="zh-CN"/>
              </w:rPr>
              <w:t>。</w:t>
            </w:r>
          </w:p>
        </w:tc>
        <w:tc>
          <w:tcPr>
            <w:tcW w:w="1104"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rPr>
              <w:t>年底前</w:t>
            </w:r>
          </w:p>
        </w:tc>
        <w:tc>
          <w:tcPr>
            <w:tcW w:w="3988" w:type="dxa"/>
            <w:gridSpan w:val="3"/>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生态环境局</w:t>
            </w:r>
          </w:p>
          <w:p>
            <w:pPr>
              <w:pStyle w:val="2"/>
              <w:keepNext w:val="0"/>
              <w:keepLines w:val="0"/>
              <w:pageBreakBefore w:val="0"/>
              <w:widowControl w:val="0"/>
              <w:kinsoku/>
              <w:wordWrap/>
              <w:overflowPunct/>
              <w:topLinePunct w:val="0"/>
              <w:autoSpaceDE w:val="0"/>
              <w:bidi w:val="0"/>
              <w:spacing w:line="320" w:lineRule="exact"/>
              <w:ind w:left="0" w:leftChars="0" w:right="0" w:rightChars="0"/>
              <w:jc w:val="center"/>
              <w:textAlignment w:val="auto"/>
              <w:outlineLvl w:val="9"/>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eastAsia="zh-CN"/>
              </w:rPr>
              <w:t>区统计局</w:t>
            </w:r>
          </w:p>
        </w:tc>
        <w:tc>
          <w:tcPr>
            <w:tcW w:w="1961"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cs="仿宋_GB2312"/>
                <w:color w:val="auto"/>
                <w:sz w:val="28"/>
                <w:szCs w:val="28"/>
                <w:lang w:eastAsia="zh-CN"/>
              </w:rPr>
              <w:t>区发展改革委</w:t>
            </w:r>
          </w:p>
          <w:p>
            <w:pPr>
              <w:keepNext w:val="0"/>
              <w:keepLines w:val="0"/>
              <w:pageBreakBefore w:val="0"/>
              <w:widowControl w:val="0"/>
              <w:kinsoku/>
              <w:wordWrap/>
              <w:overflowPunct/>
              <w:topLinePunct w:val="0"/>
              <w:autoSpaceDE w:val="0"/>
              <w:autoSpaceDN/>
              <w:bidi w:val="0"/>
              <w:snapToGrid w:val="0"/>
              <w:spacing w:line="320" w:lineRule="exact"/>
              <w:jc w:val="center"/>
              <w:textAlignment w:val="auto"/>
              <w:rPr>
                <w:rFonts w:hint="default" w:cs="仿宋_GB2312"/>
                <w:color w:val="auto"/>
                <w:sz w:val="28"/>
                <w:szCs w:val="28"/>
                <w:highlight w:val="none"/>
                <w:lang w:val="en-US" w:eastAsia="zh-CN"/>
              </w:rPr>
            </w:pPr>
            <w:r>
              <w:rPr>
                <w:rFonts w:hint="eastAsia" w:ascii="仿宋_GB2312" w:hAnsi="仿宋_GB2312" w:eastAsia="仿宋_GB2312" w:cs="仿宋_GB2312"/>
                <w:color w:val="auto"/>
                <w:sz w:val="28"/>
                <w:szCs w:val="28"/>
                <w:lang w:eastAsia="zh-CN"/>
              </w:rPr>
              <w:t>市规划自然资源委密云分局</w:t>
            </w:r>
            <w:r>
              <w:rPr>
                <w:rFonts w:hint="eastAsia" w:cs="仿宋_GB2312"/>
                <w:color w:val="auto"/>
                <w:sz w:val="28"/>
                <w:szCs w:val="28"/>
                <w:highlight w:val="none"/>
                <w:lang w:val="en-US" w:eastAsia="zh-CN"/>
              </w:rPr>
              <w:t>区住房城乡建设委</w:t>
            </w:r>
          </w:p>
          <w:p>
            <w:pPr>
              <w:keepNext w:val="0"/>
              <w:keepLines w:val="0"/>
              <w:pageBreakBefore w:val="0"/>
              <w:widowControl w:val="0"/>
              <w:kinsoku/>
              <w:wordWrap/>
              <w:overflowPunct/>
              <w:topLinePunct w:val="0"/>
              <w:autoSpaceDE w:val="0"/>
              <w:autoSpaceDN w:val="0"/>
              <w:bidi w:val="0"/>
              <w:adjustRightInd/>
              <w:snapToGrid/>
              <w:spacing w:line="320" w:lineRule="exact"/>
              <w:ind w:firstLine="280" w:firstLineChars="1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水务局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农业农村局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80"/>
                <w:sz w:val="28"/>
                <w:szCs w:val="28"/>
                <w:lang w:eastAsia="zh-CN"/>
              </w:rPr>
              <w:t>区</w:t>
            </w:r>
            <w:r>
              <w:rPr>
                <w:rFonts w:hint="eastAsia" w:cs="仿宋_GB2312"/>
                <w:color w:val="auto"/>
                <w:w w:val="80"/>
                <w:sz w:val="28"/>
                <w:szCs w:val="28"/>
                <w:lang w:val="en-US" w:eastAsia="zh-CN"/>
              </w:rPr>
              <w:t>文化和旅游</w:t>
            </w:r>
            <w:r>
              <w:rPr>
                <w:rFonts w:hint="eastAsia" w:ascii="仿宋_GB2312" w:hAnsi="仿宋_GB2312" w:eastAsia="仿宋_GB2312" w:cs="仿宋_GB2312"/>
                <w:color w:val="auto"/>
                <w:w w:val="80"/>
                <w:sz w:val="28"/>
                <w:szCs w:val="28"/>
              </w:rPr>
              <w:t>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园林绿化局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气象局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国家统计局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密云调查队</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各镇街（地区）</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default"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lang w:eastAsia="zh-CN"/>
              </w:rPr>
              <w:t>中关村密云园</w:t>
            </w:r>
            <w:r>
              <w:rPr>
                <w:rFonts w:hint="eastAsia" w:cs="仿宋_GB2312"/>
                <w:color w:val="auto"/>
                <w:sz w:val="28"/>
                <w:szCs w:val="28"/>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p>
        </w:tc>
        <w:tc>
          <w:tcPr>
            <w:tcW w:w="106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eastAsia="zh-CN"/>
              </w:rPr>
              <w:t>配合市级部门</w:t>
            </w:r>
            <w:r>
              <w:rPr>
                <w:rFonts w:hint="eastAsia" w:cs="仿宋_GB2312"/>
                <w:b w:val="0"/>
                <w:bCs w:val="0"/>
                <w:color w:val="auto"/>
                <w:kern w:val="0"/>
                <w:sz w:val="28"/>
                <w:szCs w:val="28"/>
                <w:highlight w:val="none"/>
                <w:lang w:eastAsia="zh-CN"/>
              </w:rPr>
              <w:t>做好优化以生态贡献为导向的纵向生态补偿及</w:t>
            </w:r>
            <w:r>
              <w:rPr>
                <w:rFonts w:hint="eastAsia" w:ascii="仿宋_GB2312" w:hAnsi="仿宋_GB2312" w:eastAsia="仿宋_GB2312" w:cs="仿宋_GB2312"/>
                <w:color w:val="auto"/>
                <w:kern w:val="0"/>
                <w:sz w:val="28"/>
                <w:szCs w:val="28"/>
                <w:highlight w:val="none"/>
                <w:lang w:val="en-US" w:eastAsia="zh-CN"/>
              </w:rPr>
              <w:t>GEP-R核算结果在</w:t>
            </w:r>
            <w:r>
              <w:rPr>
                <w:rFonts w:hint="eastAsia" w:cs="仿宋_GB2312"/>
                <w:color w:val="auto"/>
                <w:kern w:val="0"/>
                <w:sz w:val="28"/>
                <w:szCs w:val="28"/>
                <w:highlight w:val="none"/>
                <w:lang w:val="en-US" w:eastAsia="zh-CN"/>
              </w:rPr>
              <w:t>综合性</w:t>
            </w:r>
            <w:r>
              <w:rPr>
                <w:rFonts w:hint="eastAsia" w:ascii="仿宋_GB2312" w:hAnsi="仿宋_GB2312" w:eastAsia="仿宋_GB2312" w:cs="仿宋_GB2312"/>
                <w:color w:val="auto"/>
                <w:kern w:val="0"/>
                <w:sz w:val="28"/>
                <w:szCs w:val="28"/>
                <w:highlight w:val="none"/>
                <w:lang w:val="en-US" w:eastAsia="zh-CN"/>
              </w:rPr>
              <w:t>生态保护补偿中的应用</w:t>
            </w:r>
            <w:r>
              <w:rPr>
                <w:rFonts w:hint="eastAsia" w:cs="仿宋_GB2312"/>
                <w:color w:val="auto"/>
                <w:kern w:val="0"/>
                <w:sz w:val="28"/>
                <w:szCs w:val="28"/>
                <w:highlight w:val="none"/>
                <w:lang w:val="en-US" w:eastAsia="zh-CN"/>
              </w:rPr>
              <w:t>。</w:t>
            </w:r>
          </w:p>
        </w:tc>
        <w:tc>
          <w:tcPr>
            <w:tcW w:w="1104"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年底前</w:t>
            </w:r>
          </w:p>
        </w:tc>
        <w:tc>
          <w:tcPr>
            <w:tcW w:w="3988" w:type="dxa"/>
            <w:gridSpan w:val="3"/>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rPr>
            </w:pPr>
            <w:r>
              <w:rPr>
                <w:rFonts w:hint="eastAsia" w:cs="仿宋_GB2312"/>
                <w:color w:val="auto"/>
                <w:sz w:val="28"/>
                <w:szCs w:val="28"/>
                <w:lang w:eastAsia="zh-CN"/>
              </w:rPr>
              <w:t>区发展改革委</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财政局</w:t>
            </w:r>
          </w:p>
        </w:tc>
        <w:tc>
          <w:tcPr>
            <w:tcW w:w="1961" w:type="dxa"/>
            <w:vAlign w:val="center"/>
          </w:tcPr>
          <w:p>
            <w:pPr>
              <w:keepNext w:val="0"/>
              <w:keepLines w:val="0"/>
              <w:pageBreakBefore w:val="0"/>
              <w:widowControl w:val="0"/>
              <w:kinsoku/>
              <w:wordWrap/>
              <w:overflowPunct/>
              <w:topLinePunct w:val="0"/>
              <w:autoSpaceDE w:val="0"/>
              <w:autoSpaceDN/>
              <w:bidi w:val="0"/>
              <w:snapToGrid w:val="0"/>
              <w:spacing w:line="320" w:lineRule="exact"/>
              <w:ind w:left="-110" w:leftChars="-50" w:right="-110" w:rightChars="-5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p>
            <w:pPr>
              <w:keepNext w:val="0"/>
              <w:keepLines w:val="0"/>
              <w:pageBreakBefore w:val="0"/>
              <w:widowControl w:val="0"/>
              <w:kinsoku/>
              <w:wordWrap/>
              <w:overflowPunct/>
              <w:topLinePunct w:val="0"/>
              <w:autoSpaceDE w:val="0"/>
              <w:autoSpaceDN/>
              <w:bidi w:val="0"/>
              <w:snapToGrid w:val="0"/>
              <w:spacing w:line="320" w:lineRule="exact"/>
              <w:ind w:left="-110" w:leftChars="-50" w:right="-110"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各镇街（地区）</w:t>
            </w:r>
          </w:p>
          <w:p>
            <w:pPr>
              <w:keepNext w:val="0"/>
              <w:keepLines w:val="0"/>
              <w:pageBreakBefore w:val="0"/>
              <w:widowControl w:val="0"/>
              <w:kinsoku/>
              <w:wordWrap/>
              <w:overflowPunct/>
              <w:topLinePunct w:val="0"/>
              <w:autoSpaceDE w:val="0"/>
              <w:autoSpaceDN/>
              <w:bidi w:val="0"/>
              <w:snapToGrid w:val="0"/>
              <w:spacing w:line="320" w:lineRule="exact"/>
              <w:ind w:left="-110" w:leftChars="-50" w:right="-110"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中关村密云园</w:t>
            </w:r>
          </w:p>
          <w:p>
            <w:pPr>
              <w:keepNext w:val="0"/>
              <w:keepLines w:val="0"/>
              <w:pageBreakBefore w:val="0"/>
              <w:widowControl w:val="0"/>
              <w:kinsoku/>
              <w:wordWrap/>
              <w:overflowPunct/>
              <w:topLinePunct w:val="0"/>
              <w:autoSpaceDE w:val="0"/>
              <w:autoSpaceDN/>
              <w:bidi w:val="0"/>
              <w:snapToGrid w:val="0"/>
              <w:spacing w:line="320" w:lineRule="exact"/>
              <w:ind w:left="-110" w:leftChars="-50" w:right="-110" w:rightChars="-50"/>
              <w:jc w:val="center"/>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cs="仿宋_GB2312"/>
                <w:color w:val="auto"/>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710" w:type="dxa"/>
            <w:tcBorders>
              <w:top w:val="single" w:color="auto" w:sz="4" w:space="0"/>
            </w:tcBorders>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default" w:ascii="仿宋_GB2312" w:hAnsi="仿宋_GB2312" w:eastAsia="仿宋_GB2312" w:cs="仿宋_GB2312"/>
                <w:color w:val="auto"/>
                <w:sz w:val="28"/>
                <w:szCs w:val="28"/>
                <w:highlight w:val="none"/>
                <w:lang w:val="en-US" w:eastAsia="zh-CN" w:bidi="ar-SA"/>
              </w:rPr>
            </w:pPr>
            <w:r>
              <w:rPr>
                <w:rFonts w:hint="eastAsia" w:cs="仿宋_GB2312"/>
                <w:color w:val="auto"/>
                <w:sz w:val="28"/>
                <w:szCs w:val="28"/>
                <w:highlight w:val="none"/>
                <w:lang w:val="en-US" w:eastAsia="zh-CN"/>
              </w:rPr>
              <w:t>14</w:t>
            </w:r>
          </w:p>
        </w:tc>
        <w:tc>
          <w:tcPr>
            <w:tcW w:w="1065" w:type="dxa"/>
            <w:tcBorders>
              <w:top w:val="single" w:color="auto" w:sz="4" w:space="0"/>
            </w:tcBorders>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left"/>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lang w:eastAsia="zh-CN"/>
              </w:rPr>
              <w:t>深化</w:t>
            </w:r>
            <w:r>
              <w:rPr>
                <w:rFonts w:hint="eastAsia" w:ascii="仿宋_GB2312" w:hAnsi="仿宋_GB2312" w:eastAsia="仿宋_GB2312" w:cs="仿宋_GB2312"/>
                <w:color w:val="auto"/>
                <w:sz w:val="28"/>
                <w:szCs w:val="28"/>
                <w:highlight w:val="none"/>
              </w:rPr>
              <w:t>生态文明示范创建</w:t>
            </w:r>
          </w:p>
        </w:tc>
        <w:tc>
          <w:tcPr>
            <w:tcW w:w="6040"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rPr>
              <w:t>巩固</w:t>
            </w:r>
            <w:r>
              <w:rPr>
                <w:rFonts w:hint="eastAsia" w:ascii="仿宋_GB2312" w:hAnsi="仿宋_GB2312" w:eastAsia="仿宋_GB2312" w:cs="仿宋_GB2312"/>
                <w:color w:val="auto"/>
                <w:sz w:val="28"/>
                <w:szCs w:val="28"/>
                <w:lang w:eastAsia="zh-CN"/>
              </w:rPr>
              <w:t>“国家生态文明建设示范区”和“两山”实践创新基地</w:t>
            </w:r>
            <w:r>
              <w:rPr>
                <w:rFonts w:hint="eastAsia" w:ascii="仿宋_GB2312" w:hAnsi="仿宋_GB2312" w:eastAsia="仿宋_GB2312" w:cs="仿宋_GB2312"/>
                <w:color w:val="auto"/>
                <w:sz w:val="28"/>
                <w:szCs w:val="28"/>
              </w:rPr>
              <w:t>创建成果</w:t>
            </w:r>
            <w:r>
              <w:rPr>
                <w:rFonts w:hint="eastAsia" w:ascii="仿宋_GB2312" w:hAnsi="仿宋_GB2312" w:eastAsia="仿宋_GB2312" w:cs="仿宋_GB2312"/>
                <w:color w:val="auto"/>
                <w:sz w:val="28"/>
                <w:szCs w:val="28"/>
                <w:lang w:eastAsia="zh-CN"/>
              </w:rPr>
              <w:t>，持续落实《北京市密云区生态文明建设规划（</w:t>
            </w:r>
            <w:r>
              <w:rPr>
                <w:rFonts w:hint="eastAsia" w:ascii="仿宋_GB2312" w:hAnsi="仿宋_GB2312" w:eastAsia="仿宋_GB2312" w:cs="仿宋_GB2312"/>
                <w:color w:val="auto"/>
                <w:sz w:val="28"/>
                <w:szCs w:val="28"/>
                <w:lang w:val="en-US" w:eastAsia="zh-CN"/>
              </w:rPr>
              <w:t>2018-2025</w:t>
            </w:r>
            <w:r>
              <w:rPr>
                <w:rFonts w:hint="eastAsia" w:ascii="仿宋_GB2312" w:hAnsi="仿宋_GB2312" w:eastAsia="仿宋_GB2312" w:cs="仿宋_GB2312"/>
                <w:color w:val="auto"/>
                <w:sz w:val="28"/>
                <w:szCs w:val="28"/>
                <w:lang w:eastAsia="zh-CN"/>
              </w:rPr>
              <w:t>）》和《北京市密云区“绿水青山就是金山银山”实践创新基地建设实施方案》</w:t>
            </w:r>
            <w:r>
              <w:rPr>
                <w:rFonts w:hint="eastAsia" w:cs="仿宋_GB2312"/>
                <w:color w:val="auto"/>
                <w:sz w:val="28"/>
                <w:szCs w:val="28"/>
                <w:lang w:eastAsia="zh-CN"/>
              </w:rPr>
              <w:t>。</w:t>
            </w:r>
            <w:r>
              <w:rPr>
                <w:rFonts w:hint="eastAsia" w:ascii="仿宋_GB2312" w:hAnsi="仿宋_GB2312" w:eastAsia="仿宋_GB2312" w:cs="仿宋_GB2312"/>
                <w:color w:val="auto"/>
                <w:sz w:val="28"/>
                <w:szCs w:val="28"/>
                <w:lang w:eastAsia="zh-CN"/>
              </w:rPr>
              <w:t>落实年度目标任务和工程项目，</w:t>
            </w:r>
            <w:r>
              <w:rPr>
                <w:rFonts w:hint="eastAsia" w:ascii="仿宋_GB2312" w:hAnsi="仿宋_GB2312" w:eastAsia="仿宋_GB2312" w:cs="仿宋_GB2312"/>
                <w:color w:val="auto"/>
                <w:sz w:val="28"/>
                <w:szCs w:val="28"/>
              </w:rPr>
              <w:t>努力提高示范水平</w:t>
            </w:r>
            <w:r>
              <w:rPr>
                <w:rFonts w:hint="eastAsia" w:ascii="仿宋_GB2312" w:hAnsi="仿宋_GB2312" w:eastAsia="仿宋_GB2312" w:cs="仿宋_GB2312"/>
                <w:color w:val="auto"/>
                <w:sz w:val="28"/>
                <w:szCs w:val="28"/>
                <w:lang w:eastAsia="zh-CN"/>
              </w:rPr>
              <w:t>，提升</w:t>
            </w:r>
            <w:r>
              <w:rPr>
                <w:rFonts w:hint="eastAsia" w:ascii="仿宋_GB2312" w:hAnsi="仿宋_GB2312" w:eastAsia="仿宋_GB2312" w:cs="仿宋_GB2312"/>
                <w:color w:val="auto"/>
                <w:sz w:val="28"/>
                <w:szCs w:val="28"/>
              </w:rPr>
              <w:t>“两山”转化</w:t>
            </w:r>
            <w:r>
              <w:rPr>
                <w:rFonts w:hint="eastAsia" w:ascii="仿宋_GB2312" w:hAnsi="仿宋_GB2312" w:eastAsia="仿宋_GB2312" w:cs="仿宋_GB2312"/>
                <w:color w:val="auto"/>
                <w:sz w:val="28"/>
                <w:szCs w:val="28"/>
                <w:lang w:eastAsia="zh-CN"/>
              </w:rPr>
              <w:t>成效。</w:t>
            </w:r>
            <w:r>
              <w:rPr>
                <w:rFonts w:hint="eastAsia" w:cs="仿宋_GB2312"/>
                <w:color w:val="auto"/>
                <w:sz w:val="28"/>
                <w:szCs w:val="28"/>
                <w:lang w:eastAsia="zh-CN"/>
              </w:rPr>
              <w:t>推动落实</w:t>
            </w:r>
            <w:r>
              <w:rPr>
                <w:rFonts w:hint="eastAsia" w:ascii="仿宋_GB2312" w:hAnsi="仿宋_GB2312" w:eastAsia="仿宋_GB2312" w:cs="仿宋_GB2312"/>
                <w:color w:val="auto"/>
                <w:sz w:val="28"/>
                <w:szCs w:val="28"/>
                <w:lang w:eastAsia="zh-CN"/>
              </w:rPr>
              <w:t>生态文明示范创建后评估长效机制</w:t>
            </w:r>
            <w:r>
              <w:rPr>
                <w:rFonts w:hint="eastAsia" w:cs="仿宋_GB2312"/>
                <w:color w:val="auto"/>
                <w:sz w:val="28"/>
                <w:szCs w:val="28"/>
                <w:lang w:eastAsia="zh-CN"/>
              </w:rPr>
              <w:t>。谋划开展《</w:t>
            </w:r>
            <w:r>
              <w:rPr>
                <w:rFonts w:hint="eastAsia" w:ascii="仿宋_GB2312" w:hAnsi="仿宋_GB2312" w:eastAsia="仿宋_GB2312" w:cs="仿宋_GB2312"/>
                <w:color w:val="auto"/>
                <w:sz w:val="28"/>
                <w:szCs w:val="28"/>
                <w:lang w:eastAsia="zh-CN"/>
              </w:rPr>
              <w:t>北京市密云区生态文明建设规划（</w:t>
            </w:r>
            <w:r>
              <w:rPr>
                <w:rFonts w:hint="eastAsia" w:ascii="仿宋_GB2312" w:hAnsi="仿宋_GB2312" w:eastAsia="仿宋_GB2312" w:cs="仿宋_GB2312"/>
                <w:color w:val="auto"/>
                <w:sz w:val="28"/>
                <w:szCs w:val="28"/>
                <w:lang w:val="en-US" w:eastAsia="zh-CN"/>
              </w:rPr>
              <w:t>2018-2025</w:t>
            </w:r>
            <w:r>
              <w:rPr>
                <w:rFonts w:hint="eastAsia" w:ascii="仿宋_GB2312" w:hAnsi="仿宋_GB2312" w:eastAsia="仿宋_GB2312" w:cs="仿宋_GB2312"/>
                <w:color w:val="auto"/>
                <w:sz w:val="28"/>
                <w:szCs w:val="28"/>
                <w:lang w:eastAsia="zh-CN"/>
              </w:rPr>
              <w:t>）》和《北京市密云区“绿水青山就是金山银山”实践创新基地建设实施方案》</w:t>
            </w:r>
            <w:r>
              <w:rPr>
                <w:rFonts w:hint="eastAsia" w:cs="仿宋_GB2312"/>
                <w:color w:val="auto"/>
                <w:sz w:val="28"/>
                <w:szCs w:val="28"/>
                <w:lang w:eastAsia="zh-CN"/>
              </w:rPr>
              <w:t>修编工作。</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持续</w:t>
            </w:r>
          </w:p>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pacing w:val="0"/>
                <w:sz w:val="28"/>
                <w:szCs w:val="28"/>
                <w:highlight w:val="none"/>
                <w:lang w:val="en-US" w:eastAsia="en-US" w:bidi="ar-SA"/>
              </w:rPr>
            </w:pPr>
            <w:r>
              <w:rPr>
                <w:rFonts w:hint="eastAsia" w:ascii="仿宋_GB2312" w:hAnsi="仿宋_GB2312" w:eastAsia="仿宋_GB2312" w:cs="仿宋_GB2312"/>
                <w:color w:val="auto"/>
                <w:spacing w:val="0"/>
                <w:kern w:val="0"/>
                <w:sz w:val="28"/>
                <w:szCs w:val="28"/>
                <w:highlight w:val="none"/>
              </w:rPr>
              <w:t>推进</w:t>
            </w:r>
          </w:p>
        </w:tc>
        <w:tc>
          <w:tcPr>
            <w:tcW w:w="2016" w:type="dxa"/>
            <w:gridSpan w:val="2"/>
            <w:vAlign w:val="center"/>
          </w:tcPr>
          <w:p>
            <w:pPr>
              <w:keepNext w:val="0"/>
              <w:keepLines w:val="0"/>
              <w:pageBreakBefore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cs="仿宋_GB2312"/>
                <w:color w:val="auto"/>
                <w:spacing w:val="-11"/>
                <w:kern w:val="2"/>
                <w:sz w:val="28"/>
                <w:szCs w:val="28"/>
                <w:highlight w:val="none"/>
                <w:lang w:eastAsia="zh-CN"/>
              </w:rPr>
              <w:t>区生态环境局</w:t>
            </w:r>
          </w:p>
        </w:tc>
        <w:tc>
          <w:tcPr>
            <w:tcW w:w="1972" w:type="dxa"/>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区委生态文明委成员单位</w:t>
            </w:r>
          </w:p>
        </w:tc>
        <w:tc>
          <w:tcPr>
            <w:tcW w:w="1961" w:type="dxa"/>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各镇街（地区）</w:t>
            </w:r>
          </w:p>
          <w:p>
            <w:pPr>
              <w:keepNext w:val="0"/>
              <w:keepLines w:val="0"/>
              <w:pageBreakBefore w:val="0"/>
              <w:kinsoku/>
              <w:wordWrap/>
              <w:overflowPunct/>
              <w:topLinePunct w:val="0"/>
              <w:autoSpaceDE w:val="0"/>
              <w:autoSpaceDN/>
              <w:bidi w:val="0"/>
              <w:snapToGrid w:val="0"/>
              <w:spacing w:line="320" w:lineRule="exact"/>
              <w:ind w:left="-110" w:leftChars="-50" w:right="-110"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中关村密云园</w:t>
            </w:r>
          </w:p>
          <w:p>
            <w:pPr>
              <w:keepNext w:val="0"/>
              <w:keepLines w:val="0"/>
              <w:pageBreakBefore w:val="0"/>
              <w:kinsoku/>
              <w:wordWrap/>
              <w:overflowPunct/>
              <w:topLinePunct w:val="0"/>
              <w:autoSpaceDE w:val="0"/>
              <w:autoSpaceDN/>
              <w:bidi w:val="0"/>
              <w:snapToGrid w:val="0"/>
              <w:spacing w:line="320" w:lineRule="exact"/>
              <w:ind w:left="-110" w:leftChars="-50" w:right="-110" w:rightChars="-50"/>
              <w:jc w:val="center"/>
              <w:textAlignment w:val="auto"/>
              <w:rPr>
                <w:rFonts w:hint="default" w:ascii="仿宋_GB2312" w:hAnsi="仿宋_GB2312" w:eastAsia="仿宋_GB2312" w:cs="仿宋_GB2312"/>
                <w:color w:val="auto"/>
                <w:kern w:val="0"/>
                <w:sz w:val="28"/>
                <w:szCs w:val="28"/>
                <w:highlight w:val="none"/>
                <w:lang w:val="en-US" w:eastAsia="zh-CN" w:bidi="ar-SA"/>
              </w:rPr>
            </w:pPr>
            <w:r>
              <w:rPr>
                <w:rFonts w:hint="eastAsia" w:cs="仿宋_GB2312"/>
                <w:color w:val="auto"/>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tcBorders>
              <w:top w:val="single" w:color="auto" w:sz="4" w:space="0"/>
            </w:tcBorders>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cs="仿宋_GB2312"/>
                <w:color w:val="auto"/>
                <w:sz w:val="28"/>
                <w:szCs w:val="28"/>
                <w:highlight w:val="none"/>
                <w:lang w:val="en-US" w:eastAsia="zh-CN"/>
              </w:rPr>
              <w:t>15</w:t>
            </w:r>
          </w:p>
        </w:tc>
        <w:tc>
          <w:tcPr>
            <w:tcW w:w="1065" w:type="dxa"/>
            <w:tcBorders>
              <w:top w:val="single" w:color="auto" w:sz="4" w:space="0"/>
            </w:tcBorders>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left"/>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rPr>
              <w:t>加强国家重点生态功能区县域生态环境质量监测与评价工作</w:t>
            </w:r>
          </w:p>
        </w:tc>
        <w:tc>
          <w:tcPr>
            <w:tcW w:w="6040" w:type="dxa"/>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rPr>
              <w:t>全面落实《北京市密云区“十四五”国家重点生态功能区县域生态环境质量监测与评价工作实施方案》，不断提升区域水源涵养能力。</w:t>
            </w:r>
            <w:r>
              <w:rPr>
                <w:rFonts w:hint="eastAsia" w:cs="仿宋_GB2312"/>
                <w:color w:val="auto"/>
                <w:kern w:val="0"/>
                <w:sz w:val="28"/>
                <w:szCs w:val="28"/>
                <w:highlight w:val="none"/>
                <w:lang w:eastAsia="zh-CN"/>
              </w:rPr>
              <w:t>按照市级部门要求，谋划编制</w:t>
            </w:r>
            <w:r>
              <w:rPr>
                <w:rFonts w:hint="eastAsia" w:ascii="仿宋_GB2312" w:hAnsi="仿宋_GB2312" w:eastAsia="仿宋_GB2312" w:cs="仿宋_GB2312"/>
                <w:color w:val="auto"/>
                <w:sz w:val="28"/>
                <w:szCs w:val="28"/>
                <w:highlight w:val="none"/>
              </w:rPr>
              <w:t>《北京市密云区“十</w:t>
            </w:r>
            <w:r>
              <w:rPr>
                <w:rFonts w:hint="eastAsia"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五”国家重点生态功能区县域生态环境质量监测与评价工作实施方案》</w:t>
            </w:r>
            <w:r>
              <w:rPr>
                <w:rFonts w:hint="eastAsia" w:cs="仿宋_GB2312"/>
                <w:color w:val="auto"/>
                <w:sz w:val="28"/>
                <w:szCs w:val="28"/>
                <w:highlight w:val="none"/>
                <w:lang w:eastAsia="zh-CN"/>
              </w:rPr>
              <w:t>。</w:t>
            </w:r>
          </w:p>
        </w:tc>
        <w:tc>
          <w:tcPr>
            <w:tcW w:w="1104" w:type="dxa"/>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持续</w:t>
            </w:r>
          </w:p>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val="en-US" w:eastAsia="en-US" w:bidi="ar-SA"/>
              </w:rPr>
            </w:pPr>
            <w:r>
              <w:rPr>
                <w:rFonts w:hint="eastAsia" w:ascii="仿宋_GB2312" w:hAnsi="仿宋_GB2312" w:eastAsia="仿宋_GB2312" w:cs="仿宋_GB2312"/>
                <w:color w:val="auto"/>
                <w:spacing w:val="0"/>
                <w:kern w:val="0"/>
                <w:sz w:val="28"/>
                <w:szCs w:val="28"/>
                <w:highlight w:val="none"/>
              </w:rPr>
              <w:t>推进</w:t>
            </w:r>
          </w:p>
        </w:tc>
        <w:tc>
          <w:tcPr>
            <w:tcW w:w="2016" w:type="dxa"/>
            <w:gridSpan w:val="2"/>
            <w:vAlign w:val="center"/>
          </w:tcPr>
          <w:p>
            <w:pPr>
              <w:pStyle w:val="16"/>
              <w:keepNext w:val="0"/>
              <w:keepLines w:val="0"/>
              <w:pageBreakBefore w:val="0"/>
              <w:kinsoku/>
              <w:wordWrap/>
              <w:overflowPunct/>
              <w:topLinePunct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cs="仿宋_GB2312"/>
                <w:color w:val="auto"/>
                <w:spacing w:val="-11"/>
                <w:kern w:val="2"/>
                <w:sz w:val="28"/>
                <w:szCs w:val="28"/>
                <w:highlight w:val="none"/>
                <w:lang w:eastAsia="zh-CN"/>
              </w:rPr>
              <w:t>区生态环境局</w:t>
            </w:r>
          </w:p>
        </w:tc>
        <w:tc>
          <w:tcPr>
            <w:tcW w:w="1972" w:type="dxa"/>
            <w:vAlign w:val="center"/>
          </w:tcPr>
          <w:p>
            <w:pPr>
              <w:keepNext w:val="0"/>
              <w:keepLines w:val="0"/>
              <w:pageBreakBefore w:val="0"/>
              <w:kinsoku/>
              <w:wordWrap/>
              <w:overflowPunct/>
              <w:topLinePunct w:val="0"/>
              <w:autoSpaceDE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rPr>
              <w:t>区委生态文明委成员单位</w:t>
            </w:r>
          </w:p>
        </w:tc>
        <w:tc>
          <w:tcPr>
            <w:tcW w:w="1961" w:type="dxa"/>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区民政局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keepNext w:val="0"/>
              <w:keepLines w:val="0"/>
              <w:pageBreakBefore w:val="0"/>
              <w:kinsoku/>
              <w:wordWrap/>
              <w:overflowPunct/>
              <w:topLinePunct w:val="0"/>
              <w:autoSpaceDE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rPr>
              <w:t>中关村密云园</w:t>
            </w:r>
            <w:r>
              <w:rPr>
                <w:rFonts w:hint="eastAsia" w:cs="仿宋_GB2312"/>
                <w:color w:val="auto"/>
                <w:sz w:val="28"/>
                <w:szCs w:val="28"/>
                <w:highlight w:val="none"/>
                <w:lang w:val="en-US" w:eastAsia="zh-CN"/>
              </w:rPr>
              <w:t>管委会</w:t>
            </w:r>
          </w:p>
        </w:tc>
      </w:tr>
    </w:tbl>
    <w:p>
      <w:pPr>
        <w:pStyle w:val="2"/>
        <w:rPr>
          <w:rFonts w:hint="eastAsia"/>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autoSpaceDE w:val="0"/>
        <w:autoSpaceDN w:val="0"/>
        <w:spacing w:before="0" w:after="0" w:line="240" w:lineRule="auto"/>
        <w:ind w:left="0" w:right="0"/>
        <w:jc w:val="left"/>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附件6</w:t>
      </w:r>
    </w:p>
    <w:p>
      <w:pPr>
        <w:autoSpaceDE w:val="0"/>
        <w:autoSpaceDN w:val="0"/>
        <w:spacing w:before="0" w:after="0" w:line="240" w:lineRule="auto"/>
        <w:ind w:left="0" w:right="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eastAsia="en-US"/>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lang w:eastAsia="en-US"/>
        </w:rPr>
        <w:t>年</w:t>
      </w:r>
      <w:r>
        <w:rPr>
          <w:rFonts w:hint="eastAsia" w:ascii="方正小标宋简体" w:hAnsi="方正小标宋简体" w:eastAsia="方正小标宋简体" w:cs="方正小标宋简体"/>
          <w:kern w:val="0"/>
          <w:sz w:val="44"/>
          <w:szCs w:val="44"/>
          <w:lang w:val="en-US" w:eastAsia="zh-CN"/>
        </w:rPr>
        <w:t>密云区</w:t>
      </w:r>
      <w:r>
        <w:rPr>
          <w:rFonts w:hint="eastAsia" w:ascii="方正小标宋简体" w:hAnsi="方正小标宋简体" w:eastAsia="方正小标宋简体" w:cs="方正小标宋简体"/>
          <w:kern w:val="0"/>
          <w:sz w:val="44"/>
          <w:szCs w:val="44"/>
          <w:lang w:eastAsia="en-US"/>
        </w:rPr>
        <w:t>生态环境保护有关指标和重点任务计划</w:t>
      </w:r>
    </w:p>
    <w:tbl>
      <w:tblPr>
        <w:tblStyle w:val="11"/>
        <w:tblW w:w="14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550"/>
        <w:gridCol w:w="1440"/>
        <w:gridCol w:w="1644"/>
        <w:gridCol w:w="1795"/>
        <w:gridCol w:w="1020"/>
        <w:gridCol w:w="1050"/>
        <w:gridCol w:w="1623"/>
        <w:gridCol w:w="1056"/>
        <w:gridCol w:w="1056"/>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500" w:type="dxa"/>
            <w:tcBorders>
              <w:top w:val="single" w:color="auto" w:sz="4" w:space="0"/>
              <w:left w:val="single" w:color="auto" w:sz="4" w:space="0"/>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宋体"/>
                <w:kern w:val="0"/>
                <w:sz w:val="22"/>
                <w:lang w:eastAsia="en-US"/>
              </w:rPr>
              <w:t>单位地区生产总值二氧化碳排放较2020年累计下降率（%）</w:t>
            </w:r>
          </w:p>
        </w:tc>
        <w:tc>
          <w:tcPr>
            <w:tcW w:w="1550" w:type="dxa"/>
            <w:tcBorders>
              <w:top w:val="single" w:color="auto" w:sz="4" w:space="0"/>
              <w:left w:val="nil"/>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仿宋_GB2312"/>
                <w:kern w:val="0"/>
                <w:sz w:val="22"/>
                <w:lang w:eastAsia="en-US"/>
              </w:rPr>
              <w:t>PM</w:t>
            </w:r>
            <w:r>
              <w:rPr>
                <w:rFonts w:hint="eastAsia" w:ascii="黑体" w:hAnsi="黑体" w:eastAsia="黑体" w:cs="仿宋_GB2312"/>
                <w:kern w:val="0"/>
                <w:sz w:val="22"/>
                <w:vertAlign w:val="subscript"/>
                <w:lang w:eastAsia="en-US"/>
              </w:rPr>
              <w:t>2.5</w:t>
            </w:r>
            <w:r>
              <w:rPr>
                <w:rFonts w:hint="eastAsia" w:ascii="黑体" w:hAnsi="黑体" w:eastAsia="黑体" w:cs="仿宋_GB2312"/>
                <w:kern w:val="0"/>
                <w:sz w:val="22"/>
                <w:lang w:eastAsia="en-US"/>
              </w:rPr>
              <w:t>浓度</w:t>
            </w:r>
          </w:p>
          <w:p>
            <w:pPr>
              <w:widowControl/>
              <w:autoSpaceDE w:val="0"/>
              <w:autoSpaceDN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仿宋_GB2312"/>
                <w:kern w:val="0"/>
                <w:sz w:val="22"/>
                <w:lang w:eastAsia="en-US"/>
              </w:rPr>
              <w:t>（微克/立方米）</w:t>
            </w:r>
          </w:p>
        </w:tc>
        <w:tc>
          <w:tcPr>
            <w:tcW w:w="1440" w:type="dxa"/>
            <w:tcBorders>
              <w:top w:val="single" w:color="auto" w:sz="4" w:space="0"/>
              <w:left w:val="nil"/>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仿宋_GB2312"/>
                <w:kern w:val="0"/>
                <w:sz w:val="22"/>
                <w:lang w:eastAsia="en-US"/>
              </w:rPr>
              <w:t>优良天数比率（%）</w:t>
            </w:r>
          </w:p>
        </w:tc>
        <w:tc>
          <w:tcPr>
            <w:tcW w:w="1644" w:type="dxa"/>
            <w:tcBorders>
              <w:top w:val="single" w:color="auto" w:sz="4" w:space="0"/>
              <w:left w:val="nil"/>
              <w:bottom w:val="single" w:color="auto" w:sz="4" w:space="0"/>
              <w:right w:val="single" w:color="auto" w:sz="4" w:space="0"/>
            </w:tcBorders>
            <w:noWrap w:val="0"/>
            <w:vAlign w:val="center"/>
          </w:tcPr>
          <w:p>
            <w:pPr>
              <w:autoSpaceDE w:val="0"/>
              <w:autoSpaceDN w:val="0"/>
              <w:snapToGrid w:val="0"/>
              <w:spacing w:before="0" w:after="0" w:line="240" w:lineRule="auto"/>
              <w:ind w:left="-110" w:leftChars="-50" w:right="-110" w:rightChars="-50"/>
              <w:jc w:val="center"/>
              <w:rPr>
                <w:rFonts w:hint="eastAsia" w:ascii="黑体" w:hAnsi="黑体" w:eastAsia="黑体" w:cs="仿宋_GB2312"/>
                <w:kern w:val="0"/>
                <w:sz w:val="22"/>
                <w:lang w:val="en-US" w:eastAsia="zh-CN"/>
              </w:rPr>
            </w:pPr>
            <w:r>
              <w:rPr>
                <w:rFonts w:hint="eastAsia" w:ascii="黑体" w:hAnsi="黑体" w:eastAsia="黑体" w:cs="仿宋_GB2312"/>
                <w:kern w:val="0"/>
                <w:sz w:val="22"/>
                <w:lang w:eastAsia="en-US"/>
              </w:rPr>
              <w:t>重污染天数</w:t>
            </w:r>
            <w:r>
              <w:rPr>
                <w:rFonts w:hint="eastAsia" w:ascii="黑体" w:hAnsi="黑体" w:eastAsia="黑体" w:cs="仿宋_GB2312"/>
                <w:kern w:val="0"/>
                <w:sz w:val="22"/>
                <w:lang w:val="en-US" w:eastAsia="zh-CN"/>
              </w:rPr>
              <w:t>比率</w:t>
            </w:r>
          </w:p>
          <w:p>
            <w:pPr>
              <w:autoSpaceDE w:val="0"/>
              <w:autoSpaceDN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仿宋_GB2312"/>
                <w:kern w:val="0"/>
                <w:sz w:val="22"/>
                <w:lang w:eastAsia="en-US"/>
              </w:rPr>
              <w:t>（</w:t>
            </w:r>
            <w:r>
              <w:rPr>
                <w:rFonts w:hint="eastAsia" w:ascii="黑体" w:hAnsi="黑体" w:eastAsia="黑体" w:cs="仿宋_GB2312"/>
                <w:kern w:val="0"/>
                <w:sz w:val="22"/>
                <w:lang w:val="en-US" w:eastAsia="zh-CN"/>
              </w:rPr>
              <w:t>%</w:t>
            </w:r>
            <w:r>
              <w:rPr>
                <w:rFonts w:hint="eastAsia" w:ascii="黑体" w:hAnsi="黑体" w:eastAsia="黑体" w:cs="仿宋_GB2312"/>
                <w:kern w:val="0"/>
                <w:sz w:val="22"/>
                <w:lang w:eastAsia="en-US"/>
              </w:rPr>
              <w:t>）</w:t>
            </w:r>
          </w:p>
        </w:tc>
        <w:tc>
          <w:tcPr>
            <w:tcW w:w="1795" w:type="dxa"/>
            <w:tcBorders>
              <w:top w:val="single" w:color="auto" w:sz="4" w:space="0"/>
              <w:left w:val="nil"/>
              <w:right w:val="single" w:color="auto" w:sz="4" w:space="0"/>
            </w:tcBorders>
            <w:noWrap w:val="0"/>
            <w:vAlign w:val="center"/>
          </w:tcPr>
          <w:p>
            <w:pPr>
              <w:widowControl/>
              <w:autoSpaceDE w:val="0"/>
              <w:autoSpaceDN w:val="0"/>
              <w:adjustRightInd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仿宋_GB2312"/>
                <w:kern w:val="0"/>
                <w:sz w:val="22"/>
                <w:lang w:eastAsia="en-US"/>
              </w:rPr>
              <w:t>断面水质达标率（%）（优良水体比例，劣Ⅴ类水体比例）</w:t>
            </w:r>
          </w:p>
        </w:tc>
        <w:tc>
          <w:tcPr>
            <w:tcW w:w="1020" w:type="dxa"/>
            <w:tcBorders>
              <w:top w:val="single" w:color="auto" w:sz="4" w:space="0"/>
              <w:left w:val="nil"/>
              <w:right w:val="single" w:color="auto" w:sz="4" w:space="0"/>
            </w:tcBorders>
            <w:noWrap w:val="0"/>
            <w:vAlign w:val="center"/>
          </w:tcPr>
          <w:p>
            <w:pPr>
              <w:autoSpaceDE w:val="0"/>
              <w:autoSpaceDN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仿宋_GB2312"/>
                <w:kern w:val="0"/>
                <w:sz w:val="22"/>
                <w:lang w:eastAsia="en-US"/>
              </w:rPr>
              <w:t>受污染耕地安全利用率（%）</w:t>
            </w:r>
          </w:p>
        </w:tc>
        <w:tc>
          <w:tcPr>
            <w:tcW w:w="1050" w:type="dxa"/>
            <w:tcBorders>
              <w:top w:val="single" w:color="auto" w:sz="4" w:space="0"/>
              <w:left w:val="nil"/>
              <w:right w:val="single" w:color="auto" w:sz="4" w:space="0"/>
            </w:tcBorders>
            <w:noWrap w:val="0"/>
            <w:vAlign w:val="center"/>
          </w:tcPr>
          <w:p>
            <w:pPr>
              <w:autoSpaceDE w:val="0"/>
              <w:autoSpaceDN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仿宋_GB2312"/>
                <w:kern w:val="0"/>
                <w:sz w:val="22"/>
                <w:lang w:eastAsia="en-US"/>
              </w:rPr>
              <w:t>重点建设用地安全利用率（%）</w:t>
            </w:r>
          </w:p>
        </w:tc>
        <w:tc>
          <w:tcPr>
            <w:tcW w:w="1623" w:type="dxa"/>
            <w:tcBorders>
              <w:top w:val="single" w:color="auto" w:sz="4" w:space="0"/>
              <w:left w:val="nil"/>
              <w:right w:val="single" w:color="auto" w:sz="4" w:space="0"/>
            </w:tcBorders>
            <w:noWrap w:val="0"/>
            <w:vAlign w:val="center"/>
          </w:tcPr>
          <w:p>
            <w:pPr>
              <w:autoSpaceDE w:val="0"/>
              <w:autoSpaceDN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仿宋_GB2312"/>
                <w:kern w:val="0"/>
                <w:sz w:val="22"/>
                <w:lang w:eastAsia="en-US"/>
              </w:rPr>
              <w:t>NOx重点工程累计减排量（吨）</w:t>
            </w:r>
          </w:p>
        </w:tc>
        <w:tc>
          <w:tcPr>
            <w:tcW w:w="1056" w:type="dxa"/>
            <w:tcBorders>
              <w:top w:val="single" w:color="auto" w:sz="4" w:space="0"/>
              <w:left w:val="nil"/>
              <w:right w:val="single" w:color="auto" w:sz="4" w:space="0"/>
            </w:tcBorders>
            <w:noWrap w:val="0"/>
            <w:vAlign w:val="center"/>
          </w:tcPr>
          <w:p>
            <w:pPr>
              <w:autoSpaceDE w:val="0"/>
              <w:autoSpaceDN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仿宋_GB2312"/>
                <w:kern w:val="0"/>
                <w:sz w:val="22"/>
                <w:lang w:eastAsia="en-US"/>
              </w:rPr>
              <w:t>VOCs重点工程累计减排量（吨）</w:t>
            </w:r>
          </w:p>
        </w:tc>
        <w:tc>
          <w:tcPr>
            <w:tcW w:w="1056" w:type="dxa"/>
            <w:tcBorders>
              <w:top w:val="single" w:color="auto" w:sz="4" w:space="0"/>
              <w:left w:val="nil"/>
              <w:right w:val="single" w:color="auto" w:sz="4" w:space="0"/>
            </w:tcBorders>
            <w:noWrap w:val="0"/>
            <w:vAlign w:val="center"/>
          </w:tcPr>
          <w:p>
            <w:pPr>
              <w:autoSpaceDE w:val="0"/>
              <w:autoSpaceDN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仿宋_GB2312"/>
                <w:kern w:val="0"/>
                <w:sz w:val="22"/>
                <w:lang w:eastAsia="en-US"/>
              </w:rPr>
              <w:t>COD重点工程累计减排量（吨）</w:t>
            </w:r>
          </w:p>
        </w:tc>
        <w:tc>
          <w:tcPr>
            <w:tcW w:w="1060" w:type="dxa"/>
            <w:tcBorders>
              <w:top w:val="single" w:color="auto" w:sz="4" w:space="0"/>
              <w:left w:val="nil"/>
              <w:right w:val="single" w:color="auto" w:sz="4" w:space="0"/>
            </w:tcBorders>
            <w:noWrap w:val="0"/>
            <w:vAlign w:val="center"/>
          </w:tcPr>
          <w:p>
            <w:pPr>
              <w:widowControl/>
              <w:autoSpaceDE w:val="0"/>
              <w:autoSpaceDN w:val="0"/>
              <w:adjustRightInd w:val="0"/>
              <w:snapToGrid w:val="0"/>
              <w:spacing w:before="0" w:after="0" w:line="240" w:lineRule="auto"/>
              <w:ind w:left="-110" w:leftChars="-50" w:right="-110" w:rightChars="-50"/>
              <w:jc w:val="center"/>
              <w:rPr>
                <w:rFonts w:hint="eastAsia" w:ascii="黑体" w:hAnsi="黑体" w:eastAsia="黑体" w:cs="仿宋_GB2312"/>
                <w:kern w:val="0"/>
                <w:sz w:val="22"/>
                <w:lang w:eastAsia="en-US"/>
              </w:rPr>
            </w:pPr>
            <w:r>
              <w:rPr>
                <w:rFonts w:hint="eastAsia" w:ascii="黑体" w:hAnsi="黑体" w:eastAsia="黑体" w:cs="仿宋_GB2312"/>
                <w:kern w:val="0"/>
                <w:sz w:val="22"/>
                <w:lang w:eastAsia="en-US"/>
              </w:rPr>
              <w:t>NH</w:t>
            </w:r>
            <w:r>
              <w:rPr>
                <w:rFonts w:hint="eastAsia" w:ascii="黑体" w:hAnsi="黑体" w:eastAsia="黑体" w:cs="仿宋_GB2312"/>
                <w:kern w:val="0"/>
                <w:sz w:val="22"/>
                <w:vertAlign w:val="subscript"/>
                <w:lang w:eastAsia="en-US"/>
              </w:rPr>
              <w:t>3</w:t>
            </w:r>
            <w:r>
              <w:rPr>
                <w:rFonts w:hint="eastAsia" w:ascii="黑体" w:hAnsi="黑体" w:eastAsia="黑体" w:cs="仿宋_GB2312"/>
                <w:kern w:val="0"/>
                <w:sz w:val="22"/>
                <w:lang w:eastAsia="en-US"/>
              </w:rPr>
              <w:t>-N重点工程累计减排量（吨）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left="0" w:right="-66" w:rightChars="-30"/>
              <w:jc w:val="center"/>
              <w:rPr>
                <w:rFonts w:hint="default" w:ascii="宋体" w:hAnsi="宋体" w:eastAsia="宋体" w:cs="宋体"/>
                <w:kern w:val="0"/>
                <w:sz w:val="22"/>
                <w:szCs w:val="21"/>
                <w:lang w:val="en-US" w:eastAsia="zh-CN"/>
              </w:rPr>
            </w:pPr>
            <w:r>
              <w:rPr>
                <w:rFonts w:hint="eastAsia" w:ascii="宋体" w:hAnsi="宋体" w:eastAsia="宋体" w:cs="宋体"/>
                <w:kern w:val="0"/>
                <w:sz w:val="22"/>
                <w:szCs w:val="21"/>
                <w:highlight w:val="none"/>
                <w:lang w:val="en-US" w:eastAsia="zh-CN"/>
              </w:rPr>
              <w:t>21</w:t>
            </w:r>
          </w:p>
        </w:tc>
        <w:tc>
          <w:tcPr>
            <w:tcW w:w="1550" w:type="dxa"/>
            <w:tcBorders>
              <w:left w:val="nil"/>
              <w:right w:val="single" w:color="auto" w:sz="4" w:space="0"/>
            </w:tcBorders>
            <w:noWrap w:val="0"/>
            <w:vAlign w:val="center"/>
          </w:tcPr>
          <w:p>
            <w:pPr>
              <w:widowControl/>
              <w:autoSpaceDE w:val="0"/>
              <w:autoSpaceDN w:val="0"/>
              <w:adjustRightInd w:val="0"/>
              <w:snapToGrid w:val="0"/>
              <w:spacing w:before="0" w:after="0" w:line="240" w:lineRule="auto"/>
              <w:ind w:left="0" w:right="0"/>
              <w:jc w:val="center"/>
              <w:rPr>
                <w:rFonts w:hint="default" w:ascii="宋体" w:hAnsi="宋体" w:eastAsia="宋体" w:cs="宋体"/>
                <w:kern w:val="0"/>
                <w:sz w:val="22"/>
                <w:szCs w:val="21"/>
                <w:lang w:val="en-US" w:eastAsia="zh-CN"/>
              </w:rPr>
            </w:pPr>
            <w:r>
              <w:rPr>
                <w:rFonts w:hint="eastAsia" w:ascii="宋体" w:hAnsi="宋体" w:eastAsia="宋体" w:cs="宋体"/>
                <w:kern w:val="0"/>
                <w:sz w:val="22"/>
                <w:szCs w:val="21"/>
                <w:highlight w:val="none"/>
                <w:lang w:val="en-US" w:eastAsia="zh-CN"/>
              </w:rPr>
              <w:t>27</w:t>
            </w:r>
          </w:p>
        </w:tc>
        <w:tc>
          <w:tcPr>
            <w:tcW w:w="144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left="0" w:right="0"/>
              <w:jc w:val="center"/>
              <w:rPr>
                <w:rFonts w:hint="eastAsia" w:ascii="宋体" w:hAnsi="宋体" w:eastAsia="宋体" w:cs="宋体"/>
                <w:kern w:val="0"/>
                <w:sz w:val="22"/>
                <w:szCs w:val="21"/>
                <w:lang w:val="en-US" w:eastAsia="zh-CN"/>
              </w:rPr>
            </w:pPr>
            <w:r>
              <w:rPr>
                <w:rFonts w:hint="eastAsia" w:ascii="宋体" w:hAnsi="宋体" w:eastAsia="宋体" w:cs="宋体"/>
                <w:kern w:val="0"/>
                <w:sz w:val="22"/>
                <w:szCs w:val="21"/>
                <w:lang w:val="en-US" w:eastAsia="zh-CN"/>
              </w:rPr>
              <w:t>80</w:t>
            </w:r>
          </w:p>
        </w:tc>
        <w:tc>
          <w:tcPr>
            <w:tcW w:w="1644"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795"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0" w:right="0"/>
              <w:jc w:val="center"/>
              <w:textAlignment w:val="center"/>
              <w:rPr>
                <w:rFonts w:hint="default" w:ascii="宋体" w:hAnsi="宋体" w:eastAsia="宋体" w:cs="宋体"/>
                <w:kern w:val="0"/>
                <w:sz w:val="22"/>
                <w:szCs w:val="21"/>
                <w:lang w:val="en-US" w:eastAsia="zh-CN"/>
              </w:rPr>
            </w:pPr>
            <w:r>
              <w:rPr>
                <w:rFonts w:hint="eastAsia" w:ascii="宋体" w:hAnsi="宋体" w:eastAsia="宋体" w:cs="宋体"/>
                <w:kern w:val="0"/>
                <w:sz w:val="22"/>
                <w:szCs w:val="21"/>
                <w:lang w:val="en-US" w:eastAsia="zh-CN"/>
              </w:rPr>
              <w:t>100（100，0）</w:t>
            </w:r>
          </w:p>
        </w:tc>
        <w:tc>
          <w:tcPr>
            <w:tcW w:w="1020"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0" w:right="0"/>
              <w:jc w:val="center"/>
              <w:textAlignment w:val="center"/>
              <w:rPr>
                <w:rFonts w:hint="default" w:ascii="宋体" w:hAnsi="宋体" w:eastAsia="宋体" w:cs="宋体"/>
                <w:color w:val="000000"/>
                <w:kern w:val="0"/>
                <w:sz w:val="22"/>
                <w:szCs w:val="21"/>
                <w:lang w:val="en-US" w:eastAsia="zh-CN" w:bidi="ar"/>
              </w:rPr>
            </w:pPr>
            <w:r>
              <w:rPr>
                <w:rFonts w:hint="eastAsia" w:ascii="宋体" w:hAnsi="宋体" w:eastAsia="宋体" w:cs="宋体"/>
                <w:color w:val="000000"/>
                <w:kern w:val="0"/>
                <w:sz w:val="22"/>
                <w:szCs w:val="21"/>
                <w:lang w:val="en-US" w:eastAsia="zh-CN" w:bidi="ar"/>
              </w:rPr>
              <w:t>100</w:t>
            </w:r>
          </w:p>
        </w:tc>
        <w:tc>
          <w:tcPr>
            <w:tcW w:w="1050"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0" w:right="0"/>
              <w:jc w:val="center"/>
              <w:textAlignment w:val="center"/>
              <w:rPr>
                <w:rFonts w:hint="default" w:ascii="宋体" w:hAnsi="宋体" w:eastAsia="宋体" w:cs="宋体"/>
                <w:color w:val="000000"/>
                <w:kern w:val="0"/>
                <w:sz w:val="22"/>
                <w:szCs w:val="21"/>
                <w:lang w:val="en-US" w:eastAsia="zh-CN" w:bidi="ar"/>
              </w:rPr>
            </w:pPr>
            <w:r>
              <w:rPr>
                <w:rFonts w:hint="eastAsia" w:ascii="宋体" w:hAnsi="宋体" w:eastAsia="宋体" w:cs="宋体"/>
                <w:color w:val="000000"/>
                <w:kern w:val="0"/>
                <w:sz w:val="22"/>
                <w:szCs w:val="21"/>
                <w:lang w:val="en-US" w:eastAsia="zh-CN" w:bidi="ar"/>
              </w:rPr>
              <w:t>100</w:t>
            </w:r>
          </w:p>
        </w:tc>
        <w:tc>
          <w:tcPr>
            <w:tcW w:w="1623" w:type="dxa"/>
            <w:tcBorders>
              <w:top w:val="single" w:color="auto" w:sz="4" w:space="0"/>
              <w:left w:val="nil"/>
              <w:bottom w:val="single" w:color="auto" w:sz="4" w:space="0"/>
              <w:right w:val="single" w:color="auto" w:sz="4" w:space="0"/>
            </w:tcBorders>
            <w:noWrap w:val="0"/>
            <w:vAlign w:val="center"/>
          </w:tcPr>
          <w:p>
            <w:pPr>
              <w:autoSpaceDE w:val="0"/>
              <w:autoSpaceDN w:val="0"/>
              <w:snapToGrid w:val="0"/>
              <w:spacing w:before="0" w:after="0" w:line="240" w:lineRule="auto"/>
              <w:ind w:left="0" w:right="0"/>
              <w:jc w:val="center"/>
              <w:rPr>
                <w:rFonts w:hint="default" w:ascii="宋体" w:hAnsi="宋体" w:eastAsia="宋体" w:cs="宋体"/>
                <w:kern w:val="0"/>
                <w:sz w:val="22"/>
                <w:szCs w:val="21"/>
                <w:lang w:val="en-US" w:eastAsia="zh-CN"/>
              </w:rPr>
            </w:pPr>
            <w:r>
              <w:rPr>
                <w:rFonts w:hint="eastAsia" w:ascii="宋体" w:hAnsi="宋体" w:eastAsia="宋体" w:cs="宋体"/>
                <w:kern w:val="0"/>
                <w:sz w:val="22"/>
                <w:szCs w:val="21"/>
                <w:lang w:val="en-US" w:eastAsia="zh-CN"/>
              </w:rPr>
              <w:t>735</w:t>
            </w:r>
          </w:p>
        </w:tc>
        <w:tc>
          <w:tcPr>
            <w:tcW w:w="1056" w:type="dxa"/>
            <w:tcBorders>
              <w:top w:val="single" w:color="auto" w:sz="4" w:space="0"/>
              <w:left w:val="nil"/>
              <w:bottom w:val="single" w:color="auto" w:sz="4" w:space="0"/>
              <w:right w:val="single" w:color="auto" w:sz="4" w:space="0"/>
            </w:tcBorders>
            <w:noWrap w:val="0"/>
            <w:vAlign w:val="center"/>
          </w:tcPr>
          <w:p>
            <w:pPr>
              <w:autoSpaceDE w:val="0"/>
              <w:autoSpaceDN w:val="0"/>
              <w:snapToGrid w:val="0"/>
              <w:spacing w:before="0" w:after="0" w:line="240" w:lineRule="auto"/>
              <w:ind w:left="0" w:right="0"/>
              <w:jc w:val="center"/>
              <w:rPr>
                <w:rFonts w:hint="default" w:ascii="宋体" w:hAnsi="宋体" w:eastAsia="宋体" w:cs="宋体"/>
                <w:kern w:val="0"/>
                <w:sz w:val="22"/>
                <w:szCs w:val="21"/>
                <w:lang w:val="en-US" w:eastAsia="zh-CN"/>
              </w:rPr>
            </w:pPr>
            <w:r>
              <w:rPr>
                <w:rFonts w:hint="eastAsia" w:ascii="宋体" w:hAnsi="宋体" w:eastAsia="宋体" w:cs="宋体"/>
                <w:kern w:val="0"/>
                <w:sz w:val="22"/>
                <w:szCs w:val="21"/>
                <w:lang w:val="en-US" w:eastAsia="zh-CN"/>
              </w:rPr>
              <w:t>420</w:t>
            </w:r>
          </w:p>
        </w:tc>
        <w:tc>
          <w:tcPr>
            <w:tcW w:w="1056"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0" w:right="0"/>
              <w:jc w:val="center"/>
              <w:textAlignment w:val="center"/>
              <w:rPr>
                <w:rFonts w:hint="default" w:ascii="宋体" w:hAnsi="宋体" w:eastAsia="宋体" w:cs="宋体"/>
                <w:kern w:val="0"/>
                <w:sz w:val="22"/>
                <w:szCs w:val="21"/>
                <w:highlight w:val="none"/>
                <w:lang w:val="en-US" w:eastAsia="zh-CN"/>
              </w:rPr>
            </w:pPr>
            <w:r>
              <w:rPr>
                <w:rFonts w:hint="eastAsia" w:ascii="宋体" w:hAnsi="宋体" w:eastAsia="宋体" w:cs="宋体"/>
                <w:kern w:val="0"/>
                <w:sz w:val="22"/>
                <w:szCs w:val="21"/>
                <w:highlight w:val="none"/>
                <w:lang w:val="en-US" w:eastAsia="zh-CN"/>
              </w:rPr>
              <w:t>790</w:t>
            </w:r>
          </w:p>
        </w:tc>
        <w:tc>
          <w:tcPr>
            <w:tcW w:w="1060"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0" w:right="0"/>
              <w:jc w:val="center"/>
              <w:textAlignment w:val="center"/>
              <w:rPr>
                <w:rFonts w:hint="default" w:ascii="宋体" w:hAnsi="宋体" w:eastAsia="宋体" w:cs="宋体"/>
                <w:kern w:val="0"/>
                <w:sz w:val="22"/>
                <w:szCs w:val="21"/>
                <w:highlight w:val="none"/>
                <w:lang w:val="en-US" w:eastAsia="zh-CN"/>
              </w:rPr>
            </w:pPr>
            <w:r>
              <w:rPr>
                <w:rFonts w:hint="eastAsia" w:ascii="宋体" w:hAnsi="宋体" w:eastAsia="宋体" w:cs="宋体"/>
                <w:kern w:val="0"/>
                <w:sz w:val="22"/>
                <w:szCs w:val="21"/>
                <w:highlight w:val="no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2025年注册登记货车和大中型客车中新</w:t>
            </w:r>
            <w:r>
              <w:rPr>
                <w:rFonts w:hint="eastAsia" w:ascii="黑体" w:hAnsi="黑体" w:eastAsia="黑体" w:cs="宋体"/>
                <w:kern w:val="0"/>
                <w:sz w:val="22"/>
                <w:lang w:eastAsia="zh-CN"/>
              </w:rPr>
              <w:t>能源车上牌比例（</w:t>
            </w:r>
            <w:r>
              <w:rPr>
                <w:rFonts w:hint="eastAsia" w:ascii="黑体" w:hAnsi="黑体" w:eastAsia="黑体" w:cs="宋体"/>
                <w:kern w:val="0"/>
                <w:sz w:val="22"/>
                <w:lang w:val="en-US" w:eastAsia="zh-CN"/>
              </w:rPr>
              <w:t>%</w:t>
            </w:r>
            <w:r>
              <w:rPr>
                <w:rFonts w:hint="eastAsia" w:ascii="黑体" w:hAnsi="黑体" w:eastAsia="黑体" w:cs="宋体"/>
                <w:kern w:val="0"/>
                <w:sz w:val="22"/>
                <w:lang w:eastAsia="zh-CN"/>
              </w:rPr>
              <w:t>）</w:t>
            </w:r>
          </w:p>
        </w:tc>
        <w:tc>
          <w:tcPr>
            <w:tcW w:w="1550" w:type="dxa"/>
            <w:tcBorders>
              <w:left w:val="nil"/>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2025年</w:t>
            </w:r>
            <w:r>
              <w:rPr>
                <w:rFonts w:hint="eastAsia" w:ascii="黑体" w:hAnsi="黑体" w:eastAsia="黑体" w:cs="宋体"/>
                <w:kern w:val="0"/>
                <w:sz w:val="22"/>
                <w:lang w:eastAsia="zh-CN"/>
              </w:rPr>
              <w:t>新登记叉车、升降平台、挖掘机、装载机的新能源化率（</w:t>
            </w:r>
            <w:r>
              <w:rPr>
                <w:rFonts w:hint="eastAsia" w:ascii="黑体" w:hAnsi="黑体" w:eastAsia="黑体" w:cs="宋体"/>
                <w:kern w:val="0"/>
                <w:sz w:val="22"/>
                <w:lang w:val="en-US" w:eastAsia="zh-CN"/>
              </w:rPr>
              <w:t>%</w:t>
            </w:r>
            <w:r>
              <w:rPr>
                <w:rFonts w:hint="eastAsia" w:ascii="黑体" w:hAnsi="黑体" w:eastAsia="黑体" w:cs="宋体"/>
                <w:kern w:val="0"/>
                <w:sz w:val="22"/>
                <w:lang w:eastAsia="zh-CN"/>
              </w:rPr>
              <w:t>）</w:t>
            </w:r>
          </w:p>
        </w:tc>
        <w:tc>
          <w:tcPr>
            <w:tcW w:w="1440"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绿色企业比例（%）</w:t>
            </w:r>
          </w:p>
        </w:tc>
        <w:tc>
          <w:tcPr>
            <w:tcW w:w="1644"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餐饮治理提升家数（个）</w:t>
            </w:r>
          </w:p>
        </w:tc>
        <w:tc>
          <w:tcPr>
            <w:tcW w:w="1795"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温拌沥青使用比例提升（%）</w:t>
            </w:r>
          </w:p>
        </w:tc>
        <w:tc>
          <w:tcPr>
            <w:tcW w:w="2070" w:type="dxa"/>
            <w:gridSpan w:val="2"/>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B级及以上锅炉使用单位（家）</w:t>
            </w:r>
          </w:p>
        </w:tc>
        <w:tc>
          <w:tcPr>
            <w:tcW w:w="1623"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氨减排试点项目（个）</w:t>
            </w:r>
          </w:p>
        </w:tc>
        <w:tc>
          <w:tcPr>
            <w:tcW w:w="1056"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交通噪声治理（项）</w:t>
            </w:r>
          </w:p>
        </w:tc>
        <w:tc>
          <w:tcPr>
            <w:tcW w:w="1056"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商业固定设备噪声治理（项）</w:t>
            </w:r>
          </w:p>
        </w:tc>
        <w:tc>
          <w:tcPr>
            <w:tcW w:w="1060" w:type="dxa"/>
            <w:tcBorders>
              <w:top w:val="single" w:color="auto" w:sz="4" w:space="0"/>
              <w:left w:val="nil"/>
              <w:bottom w:val="single" w:color="auto" w:sz="4" w:space="0"/>
              <w:right w:val="single" w:color="auto" w:sz="4" w:space="0"/>
            </w:tcBorders>
            <w:noWrap w:val="0"/>
            <w:vAlign w:val="center"/>
          </w:tcPr>
          <w:p>
            <w:pPr>
              <w:widowControl/>
              <w:autoSpaceDE w:val="0"/>
              <w:autoSpaceDN w:val="0"/>
              <w:snapToGrid w:val="0"/>
              <w:spacing w:before="0" w:after="0" w:line="240" w:lineRule="auto"/>
              <w:ind w:left="-110" w:leftChars="-50" w:right="-110" w:rightChars="-50"/>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文体娱乐活动噪声治理（项）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40" w:lineRule="auto"/>
              <w:ind w:left="0" w:right="-66" w:rightChars="-30"/>
              <w:jc w:val="center"/>
              <w:rPr>
                <w:rFonts w:hint="default" w:ascii="宋体" w:hAnsi="宋体" w:eastAsia="宋体" w:cs="宋体"/>
                <w:kern w:val="0"/>
                <w:sz w:val="22"/>
                <w:szCs w:val="21"/>
                <w:highlight w:val="none"/>
                <w:lang w:val="en-US" w:eastAsia="zh-CN"/>
              </w:rPr>
            </w:pPr>
            <w:r>
              <w:rPr>
                <w:rFonts w:hint="eastAsia" w:ascii="宋体" w:hAnsi="宋体" w:eastAsia="宋体" w:cs="宋体"/>
                <w:kern w:val="0"/>
                <w:sz w:val="22"/>
                <w:szCs w:val="21"/>
                <w:highlight w:val="none"/>
                <w:lang w:val="en-US" w:eastAsia="zh-CN"/>
              </w:rPr>
              <w:t>≥29</w:t>
            </w:r>
          </w:p>
        </w:tc>
        <w:tc>
          <w:tcPr>
            <w:tcW w:w="1550" w:type="dxa"/>
            <w:tcBorders>
              <w:left w:val="nil"/>
              <w:right w:val="single" w:color="auto" w:sz="4" w:space="0"/>
            </w:tcBorders>
            <w:noWrap w:val="0"/>
            <w:vAlign w:val="center"/>
          </w:tcPr>
          <w:p>
            <w:pPr>
              <w:widowControl/>
              <w:autoSpaceDE w:val="0"/>
              <w:autoSpaceDN w:val="0"/>
              <w:adjustRightInd w:val="0"/>
              <w:snapToGrid w:val="0"/>
              <w:spacing w:before="0" w:after="0" w:line="240" w:lineRule="auto"/>
              <w:ind w:left="0" w:right="0"/>
              <w:jc w:val="center"/>
              <w:rPr>
                <w:rFonts w:hint="default" w:ascii="宋体" w:hAnsi="宋体" w:eastAsia="宋体" w:cs="宋体"/>
                <w:kern w:val="0"/>
                <w:sz w:val="22"/>
                <w:szCs w:val="21"/>
                <w:highlight w:val="none"/>
                <w:lang w:val="en-US" w:eastAsia="zh-CN"/>
              </w:rPr>
            </w:pPr>
            <w:r>
              <w:rPr>
                <w:rFonts w:hint="eastAsia" w:ascii="宋体" w:hAnsi="宋体" w:eastAsia="宋体" w:cs="宋体"/>
                <w:kern w:val="0"/>
                <w:sz w:val="22"/>
                <w:szCs w:val="21"/>
                <w:highlight w:val="none"/>
                <w:lang w:val="en-US" w:eastAsia="zh-CN"/>
              </w:rPr>
              <w:t>≥50</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after="0" w:line="280" w:lineRule="exact"/>
              <w:ind w:left="0" w:leftChars="0" w:right="0" w:rightChars="0"/>
              <w:jc w:val="center"/>
              <w:textAlignment w:val="center"/>
              <w:rPr>
                <w:rFonts w:hint="default" w:ascii="宋体" w:hAnsi="宋体" w:eastAsia="宋体" w:cs="宋体"/>
                <w:kern w:val="0"/>
                <w:sz w:val="22"/>
                <w:szCs w:val="21"/>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644"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80" w:lineRule="exact"/>
              <w:ind w:left="0" w:leftChars="0" w:right="0" w:rightChars="0"/>
              <w:jc w:val="center"/>
              <w:rPr>
                <w:rFonts w:hint="eastAsia" w:ascii="宋体" w:hAnsi="宋体" w:eastAsia="宋体" w:cs="宋体"/>
                <w:kern w:val="0"/>
                <w:sz w:val="21"/>
                <w:szCs w:val="21"/>
                <w:lang w:val="en-US" w:eastAsia="zh-CN" w:bidi="ar-SA"/>
              </w:rPr>
            </w:pPr>
            <w:r>
              <w:rPr>
                <w:rFonts w:hint="eastAsia" w:ascii="仿宋_GB2312" w:hAnsi="仿宋_GB2312" w:eastAsia="仿宋_GB2312" w:cs="仿宋_GB2312"/>
                <w:kern w:val="0"/>
                <w:sz w:val="24"/>
                <w:highlight w:val="none"/>
                <w:lang w:eastAsia="en-US"/>
              </w:rPr>
              <w:t>10</w:t>
            </w:r>
          </w:p>
        </w:tc>
        <w:tc>
          <w:tcPr>
            <w:tcW w:w="1795"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80" w:lineRule="exact"/>
              <w:ind w:left="0" w:leftChars="0" w:right="0" w:rightChars="0"/>
              <w:jc w:val="center"/>
              <w:rPr>
                <w:rFonts w:hint="eastAsia" w:ascii="宋体" w:hAnsi="宋体" w:eastAsia="宋体" w:cs="宋体"/>
                <w:kern w:val="0"/>
                <w:sz w:val="22"/>
                <w:szCs w:val="21"/>
                <w:lang w:val="en-US" w:eastAsia="zh-CN"/>
              </w:rPr>
            </w:pPr>
            <w:r>
              <w:rPr>
                <w:rFonts w:hint="eastAsia" w:ascii="仿宋_GB2312" w:hAnsi="仿宋_GB2312" w:eastAsia="仿宋_GB2312" w:cs="仿宋_GB2312"/>
                <w:kern w:val="0"/>
                <w:sz w:val="24"/>
                <w:highlight w:val="none"/>
                <w:lang w:eastAsia="en-US"/>
              </w:rPr>
              <w:t>10</w:t>
            </w:r>
          </w:p>
        </w:tc>
        <w:tc>
          <w:tcPr>
            <w:tcW w:w="2070" w:type="dxa"/>
            <w:gridSpan w:val="2"/>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80" w:lineRule="exact"/>
              <w:ind w:left="0" w:leftChars="0" w:right="6" w:rightChars="0"/>
              <w:jc w:val="center"/>
              <w:rPr>
                <w:rFonts w:hint="eastAsia" w:ascii="宋体" w:hAnsi="宋体" w:eastAsia="宋体" w:cs="宋体"/>
                <w:color w:val="000000"/>
                <w:kern w:val="0"/>
                <w:sz w:val="22"/>
                <w:szCs w:val="21"/>
                <w:lang w:val="en-US" w:eastAsia="zh-CN" w:bidi="ar"/>
              </w:rPr>
            </w:pPr>
            <w:r>
              <w:rPr>
                <w:rFonts w:hint="eastAsia" w:ascii="仿宋_GB2312" w:hAnsi="仿宋_GB2312" w:eastAsia="仿宋_GB2312" w:cs="仿宋_GB2312"/>
                <w:kern w:val="0"/>
                <w:sz w:val="24"/>
                <w:lang w:eastAsia="en-US"/>
              </w:rPr>
              <w:t>12</w:t>
            </w:r>
          </w:p>
        </w:tc>
        <w:tc>
          <w:tcPr>
            <w:tcW w:w="1623" w:type="dxa"/>
            <w:tcBorders>
              <w:top w:val="single" w:color="auto" w:sz="4" w:space="0"/>
              <w:left w:val="nil"/>
              <w:bottom w:val="single" w:color="auto" w:sz="4" w:space="0"/>
              <w:right w:val="single" w:color="auto" w:sz="4" w:space="0"/>
            </w:tcBorders>
            <w:noWrap w:val="0"/>
            <w:vAlign w:val="center"/>
          </w:tcPr>
          <w:p>
            <w:pPr>
              <w:autoSpaceDE w:val="0"/>
              <w:autoSpaceDN w:val="0"/>
              <w:snapToGrid w:val="0"/>
              <w:spacing w:before="0" w:after="0" w:line="240" w:lineRule="auto"/>
              <w:ind w:left="0" w:right="0"/>
              <w:jc w:val="center"/>
              <w:rPr>
                <w:rFonts w:hint="default" w:ascii="宋体" w:hAnsi="宋体" w:eastAsia="宋体" w:cs="宋体"/>
                <w:kern w:val="0"/>
                <w:sz w:val="22"/>
                <w:szCs w:val="21"/>
                <w:lang w:val="en-US" w:eastAsia="zh-CN"/>
              </w:rPr>
            </w:pPr>
            <w:r>
              <w:rPr>
                <w:rFonts w:hint="eastAsia" w:ascii="宋体" w:hAnsi="宋体" w:eastAsia="宋体" w:cs="宋体"/>
                <w:kern w:val="0"/>
                <w:sz w:val="22"/>
                <w:szCs w:val="21"/>
                <w:lang w:val="en-US" w:eastAsia="zh-CN"/>
              </w:rPr>
              <w:t>2</w:t>
            </w:r>
          </w:p>
        </w:tc>
        <w:tc>
          <w:tcPr>
            <w:tcW w:w="105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80" w:lineRule="exact"/>
              <w:ind w:left="0" w:leftChars="0" w:right="6" w:rightChars="0"/>
              <w:jc w:val="center"/>
              <w:rPr>
                <w:rFonts w:hint="eastAsia" w:ascii="宋体" w:hAnsi="宋体" w:eastAsia="宋体" w:cs="宋体"/>
                <w:kern w:val="0"/>
                <w:sz w:val="22"/>
                <w:szCs w:val="21"/>
                <w:lang w:val="en-US" w:eastAsia="zh-CN"/>
              </w:rPr>
            </w:pPr>
            <w:r>
              <w:rPr>
                <w:rFonts w:hint="eastAsia" w:ascii="仿宋_GB2312" w:hAnsi="仿宋_GB2312" w:eastAsia="仿宋_GB2312" w:cs="仿宋_GB2312"/>
                <w:kern w:val="0"/>
                <w:sz w:val="24"/>
                <w:lang w:val="en-US" w:eastAsia="zh-CN"/>
              </w:rPr>
              <w:t>1</w:t>
            </w:r>
          </w:p>
        </w:tc>
        <w:tc>
          <w:tcPr>
            <w:tcW w:w="105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80" w:lineRule="exact"/>
              <w:ind w:left="0" w:leftChars="0" w:right="6" w:rightChars="0"/>
              <w:jc w:val="center"/>
              <w:rPr>
                <w:rFonts w:hint="eastAsia" w:ascii="宋体" w:hAnsi="宋体" w:eastAsia="宋体" w:cs="宋体"/>
                <w:kern w:val="0"/>
                <w:sz w:val="22"/>
                <w:szCs w:val="21"/>
                <w:highlight w:val="yellow"/>
                <w:lang w:val="en-US" w:eastAsia="zh-CN"/>
              </w:rPr>
            </w:pPr>
            <w:r>
              <w:rPr>
                <w:rFonts w:hint="eastAsia" w:ascii="仿宋_GB2312" w:hAnsi="仿宋_GB2312" w:eastAsia="仿宋_GB2312" w:cs="仿宋_GB2312"/>
                <w:kern w:val="0"/>
                <w:sz w:val="24"/>
                <w:lang w:eastAsia="en-US"/>
              </w:rPr>
              <w:t>1</w:t>
            </w:r>
          </w:p>
        </w:tc>
        <w:tc>
          <w:tcPr>
            <w:tcW w:w="106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80" w:lineRule="exact"/>
              <w:ind w:left="0" w:leftChars="0" w:right="6" w:rightChars="0"/>
              <w:jc w:val="center"/>
              <w:rPr>
                <w:rFonts w:hint="eastAsia" w:ascii="宋体" w:hAnsi="宋体" w:eastAsia="宋体" w:cs="宋体"/>
                <w:kern w:val="0"/>
                <w:sz w:val="22"/>
                <w:szCs w:val="21"/>
                <w:highlight w:val="yellow"/>
                <w:lang w:val="en-US" w:eastAsia="zh-CN"/>
              </w:rPr>
            </w:pPr>
            <w:r>
              <w:rPr>
                <w:rFonts w:hint="eastAsia" w:ascii="仿宋_GB2312" w:hAnsi="仿宋_GB2312" w:eastAsia="仿宋_GB2312" w:cs="仿宋_GB2312"/>
                <w:kern w:val="0"/>
                <w:sz w:val="24"/>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29" w:type="dxa"/>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80" w:lineRule="exact"/>
              <w:ind w:left="0" w:leftChars="0" w:right="0" w:rightChars="0"/>
              <w:jc w:val="center"/>
              <w:rPr>
                <w:rFonts w:hint="default" w:ascii="仿宋_GB2312" w:hAnsi="仿宋_GB2312" w:eastAsia="仿宋_GB2312" w:cs="仿宋_GB2312"/>
                <w:kern w:val="0"/>
                <w:sz w:val="24"/>
                <w:highlight w:val="none"/>
                <w:lang w:val="en-US" w:eastAsia="zh-CN"/>
              </w:rPr>
            </w:pPr>
            <w:r>
              <w:rPr>
                <w:rFonts w:hint="eastAsia" w:ascii="黑体" w:hAnsi="黑体" w:eastAsia="黑体" w:cs="宋体"/>
                <w:kern w:val="0"/>
                <w:sz w:val="22"/>
                <w:lang w:val="en-US" w:eastAsia="zh-CN"/>
              </w:rPr>
              <w:t>优先监管地块（块）</w:t>
            </w:r>
          </w:p>
        </w:tc>
        <w:tc>
          <w:tcPr>
            <w:tcW w:w="6865" w:type="dxa"/>
            <w:gridSpan w:val="6"/>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80" w:lineRule="exact"/>
              <w:ind w:left="0" w:leftChars="0" w:right="6" w:rightChars="0"/>
              <w:jc w:val="center"/>
              <w:rPr>
                <w:rFonts w:hint="default" w:ascii="仿宋_GB2312" w:hAnsi="仿宋_GB2312" w:eastAsia="仿宋_GB2312" w:cs="仿宋_GB2312"/>
                <w:kern w:val="0"/>
                <w:sz w:val="24"/>
                <w:lang w:val="en-US" w:eastAsia="zh-CN"/>
              </w:rPr>
            </w:pPr>
            <w:r>
              <w:rPr>
                <w:rFonts w:hint="default" w:ascii="黑体" w:hAnsi="黑体" w:eastAsia="黑体" w:cs="宋体"/>
                <w:kern w:val="0"/>
                <w:sz w:val="22"/>
                <w:lang w:val="en-US" w:eastAsia="zh-CN"/>
              </w:rPr>
              <w:t>新增完成农村环境整治的行政村（个）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29" w:type="dxa"/>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before="0" w:after="0" w:line="280" w:lineRule="exact"/>
              <w:ind w:left="0" w:leftChars="0" w:right="0" w:rightChars="0"/>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w:t>
            </w:r>
          </w:p>
        </w:tc>
        <w:tc>
          <w:tcPr>
            <w:tcW w:w="6865" w:type="dxa"/>
            <w:gridSpan w:val="6"/>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napToGrid w:val="0"/>
              <w:spacing w:before="0" w:after="0" w:line="280" w:lineRule="exact"/>
              <w:ind w:left="0" w:leftChars="0" w:right="6" w:rightChars="0"/>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27</w:t>
            </w:r>
          </w:p>
        </w:tc>
      </w:tr>
    </w:tbl>
    <w:p>
      <w:pPr>
        <w:autoSpaceDE w:val="0"/>
        <w:autoSpaceDN w:val="0"/>
        <w:spacing w:before="0" w:after="0" w:line="240" w:lineRule="auto"/>
        <w:ind w:left="0" w:right="0"/>
        <w:jc w:val="center"/>
        <w:rPr>
          <w:rFonts w:hint="eastAsia" w:ascii="方正小标宋_GBK" w:hAnsi="方正小标宋_GBK" w:eastAsia="方正小标宋_GBK" w:cs="方正小标宋_GBK"/>
          <w:kern w:val="0"/>
          <w:sz w:val="44"/>
          <w:szCs w:val="44"/>
          <w:lang w:eastAsia="en-US"/>
        </w:rPr>
      </w:pPr>
    </w:p>
    <w:p>
      <w:pPr>
        <w:pStyle w:val="2"/>
        <w:rPr>
          <w:rFonts w:hint="eastAsia"/>
          <w:lang w:val="en-US" w:eastAsia="zh-CN"/>
        </w:rPr>
      </w:pPr>
    </w:p>
    <w:sectPr>
      <w:footerReference r:id="rId4" w:type="default"/>
      <w:pgSz w:w="16838" w:h="11906" w:orient="landscape"/>
      <w:pgMar w:top="1587" w:right="1984" w:bottom="1474" w:left="209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val="0"/>
                            <w:autoSpaceDN w:val="0"/>
                            <w:bidi w:val="0"/>
                            <w:adjustRightInd/>
                            <w:snapToGrid w:val="0"/>
                            <w:ind w:left="220" w:leftChars="100" w:right="2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val="0"/>
                      <w:autoSpaceDN w:val="0"/>
                      <w:bidi w:val="0"/>
                      <w:adjustRightInd/>
                      <w:snapToGrid w:val="0"/>
                      <w:ind w:left="220" w:leftChars="100" w:right="2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54BE"/>
    <w:rsid w:val="00171E69"/>
    <w:rsid w:val="001B039F"/>
    <w:rsid w:val="001F3824"/>
    <w:rsid w:val="002270C2"/>
    <w:rsid w:val="00797983"/>
    <w:rsid w:val="00CA4CA7"/>
    <w:rsid w:val="00E12CE7"/>
    <w:rsid w:val="00FB37CD"/>
    <w:rsid w:val="01054D6E"/>
    <w:rsid w:val="012262EA"/>
    <w:rsid w:val="016E0C40"/>
    <w:rsid w:val="019337CB"/>
    <w:rsid w:val="01B106FB"/>
    <w:rsid w:val="035F5584"/>
    <w:rsid w:val="036224F9"/>
    <w:rsid w:val="043C3162"/>
    <w:rsid w:val="04847B92"/>
    <w:rsid w:val="04B970A4"/>
    <w:rsid w:val="05051074"/>
    <w:rsid w:val="052F42FD"/>
    <w:rsid w:val="05474C3D"/>
    <w:rsid w:val="05AA5EEC"/>
    <w:rsid w:val="05AE01C8"/>
    <w:rsid w:val="064F7508"/>
    <w:rsid w:val="073658BD"/>
    <w:rsid w:val="07B310B2"/>
    <w:rsid w:val="080459E5"/>
    <w:rsid w:val="085D7593"/>
    <w:rsid w:val="08E42507"/>
    <w:rsid w:val="096D2E6F"/>
    <w:rsid w:val="09A97BCD"/>
    <w:rsid w:val="0A0C5048"/>
    <w:rsid w:val="0A277BE1"/>
    <w:rsid w:val="0A3300F4"/>
    <w:rsid w:val="0A733E9A"/>
    <w:rsid w:val="0AA72837"/>
    <w:rsid w:val="0BFC032C"/>
    <w:rsid w:val="0C382934"/>
    <w:rsid w:val="0C5535A1"/>
    <w:rsid w:val="0C8A7D10"/>
    <w:rsid w:val="0CF06B7C"/>
    <w:rsid w:val="0D4C7197"/>
    <w:rsid w:val="0DBB5793"/>
    <w:rsid w:val="0DEF2CCB"/>
    <w:rsid w:val="0DFD2FCC"/>
    <w:rsid w:val="0E161B88"/>
    <w:rsid w:val="0E344CE2"/>
    <w:rsid w:val="0E3A45DD"/>
    <w:rsid w:val="0E3E5200"/>
    <w:rsid w:val="0E487E18"/>
    <w:rsid w:val="0E990980"/>
    <w:rsid w:val="0FE26F6D"/>
    <w:rsid w:val="0FFD2699"/>
    <w:rsid w:val="10084BE4"/>
    <w:rsid w:val="100D0211"/>
    <w:rsid w:val="10186064"/>
    <w:rsid w:val="10815A82"/>
    <w:rsid w:val="10AD4826"/>
    <w:rsid w:val="116B250F"/>
    <w:rsid w:val="118931F3"/>
    <w:rsid w:val="119775F2"/>
    <w:rsid w:val="11B02B95"/>
    <w:rsid w:val="124C74A9"/>
    <w:rsid w:val="127647CC"/>
    <w:rsid w:val="127918AE"/>
    <w:rsid w:val="12813890"/>
    <w:rsid w:val="12C63E82"/>
    <w:rsid w:val="12EE687E"/>
    <w:rsid w:val="130B4C33"/>
    <w:rsid w:val="13EF1281"/>
    <w:rsid w:val="13FF075C"/>
    <w:rsid w:val="14346D56"/>
    <w:rsid w:val="147D3DD3"/>
    <w:rsid w:val="14E426FD"/>
    <w:rsid w:val="14F7348A"/>
    <w:rsid w:val="152A6619"/>
    <w:rsid w:val="157E5C88"/>
    <w:rsid w:val="15BD477F"/>
    <w:rsid w:val="161664BF"/>
    <w:rsid w:val="16201639"/>
    <w:rsid w:val="16BD73D3"/>
    <w:rsid w:val="16F53097"/>
    <w:rsid w:val="17646F47"/>
    <w:rsid w:val="177A2917"/>
    <w:rsid w:val="178D57A3"/>
    <w:rsid w:val="180B52A7"/>
    <w:rsid w:val="18115F0B"/>
    <w:rsid w:val="183B4B91"/>
    <w:rsid w:val="19307355"/>
    <w:rsid w:val="198C5A63"/>
    <w:rsid w:val="19A77A39"/>
    <w:rsid w:val="19E6476C"/>
    <w:rsid w:val="1A6C5556"/>
    <w:rsid w:val="1A846392"/>
    <w:rsid w:val="1B246518"/>
    <w:rsid w:val="1B726CFE"/>
    <w:rsid w:val="1C7A0EA8"/>
    <w:rsid w:val="1C8D578E"/>
    <w:rsid w:val="1CBD0EF1"/>
    <w:rsid w:val="1D4A079C"/>
    <w:rsid w:val="1D600C0D"/>
    <w:rsid w:val="1E110D6B"/>
    <w:rsid w:val="1E4B2F4B"/>
    <w:rsid w:val="1E563DB0"/>
    <w:rsid w:val="1E6E3013"/>
    <w:rsid w:val="1EDC0494"/>
    <w:rsid w:val="1F0434AE"/>
    <w:rsid w:val="1FD64480"/>
    <w:rsid w:val="1FFC4B11"/>
    <w:rsid w:val="207D46E0"/>
    <w:rsid w:val="20DD422B"/>
    <w:rsid w:val="217A57DD"/>
    <w:rsid w:val="217B51D6"/>
    <w:rsid w:val="21987DC2"/>
    <w:rsid w:val="21B5797F"/>
    <w:rsid w:val="22423EAE"/>
    <w:rsid w:val="227E35A3"/>
    <w:rsid w:val="22905D03"/>
    <w:rsid w:val="22EC18B7"/>
    <w:rsid w:val="232221E0"/>
    <w:rsid w:val="23AE3F03"/>
    <w:rsid w:val="242376C5"/>
    <w:rsid w:val="24464F4D"/>
    <w:rsid w:val="24BE5333"/>
    <w:rsid w:val="24C02C1A"/>
    <w:rsid w:val="24C147D4"/>
    <w:rsid w:val="24D97348"/>
    <w:rsid w:val="24DA7A9A"/>
    <w:rsid w:val="261F6B03"/>
    <w:rsid w:val="275D293E"/>
    <w:rsid w:val="2771676E"/>
    <w:rsid w:val="279F6FC4"/>
    <w:rsid w:val="28B008DC"/>
    <w:rsid w:val="28BA0A1E"/>
    <w:rsid w:val="28CC4358"/>
    <w:rsid w:val="28E96BC5"/>
    <w:rsid w:val="2908553C"/>
    <w:rsid w:val="292F6D88"/>
    <w:rsid w:val="293E71D4"/>
    <w:rsid w:val="29F12F21"/>
    <w:rsid w:val="2A032185"/>
    <w:rsid w:val="2ADB4D7C"/>
    <w:rsid w:val="2AEC3077"/>
    <w:rsid w:val="2B1A3F72"/>
    <w:rsid w:val="2B4C3DBE"/>
    <w:rsid w:val="2B556E12"/>
    <w:rsid w:val="2B5A6B8C"/>
    <w:rsid w:val="2B5F45F5"/>
    <w:rsid w:val="2B8C3EDD"/>
    <w:rsid w:val="2BA53EBF"/>
    <w:rsid w:val="2C545B56"/>
    <w:rsid w:val="2CB01721"/>
    <w:rsid w:val="2D16713A"/>
    <w:rsid w:val="2D1805D9"/>
    <w:rsid w:val="2D305822"/>
    <w:rsid w:val="2D352BDD"/>
    <w:rsid w:val="2D476660"/>
    <w:rsid w:val="2DBC43EE"/>
    <w:rsid w:val="2DE66D70"/>
    <w:rsid w:val="2E155A8A"/>
    <w:rsid w:val="2E4D38FB"/>
    <w:rsid w:val="2E523760"/>
    <w:rsid w:val="2E62387C"/>
    <w:rsid w:val="2EE71D3A"/>
    <w:rsid w:val="2F81032A"/>
    <w:rsid w:val="2F836F67"/>
    <w:rsid w:val="2FE311E8"/>
    <w:rsid w:val="30073AE2"/>
    <w:rsid w:val="30C97C22"/>
    <w:rsid w:val="30E200AC"/>
    <w:rsid w:val="3115744D"/>
    <w:rsid w:val="311B1E5B"/>
    <w:rsid w:val="31860AB4"/>
    <w:rsid w:val="318D5A98"/>
    <w:rsid w:val="31C5551B"/>
    <w:rsid w:val="31D0069E"/>
    <w:rsid w:val="32083847"/>
    <w:rsid w:val="32610E4F"/>
    <w:rsid w:val="33320C87"/>
    <w:rsid w:val="33D120AF"/>
    <w:rsid w:val="34043EFB"/>
    <w:rsid w:val="34B24A7C"/>
    <w:rsid w:val="34BD5ABC"/>
    <w:rsid w:val="35BA5A27"/>
    <w:rsid w:val="36347F4C"/>
    <w:rsid w:val="365347DB"/>
    <w:rsid w:val="36644923"/>
    <w:rsid w:val="368F3C38"/>
    <w:rsid w:val="36FC42C2"/>
    <w:rsid w:val="37037BE3"/>
    <w:rsid w:val="37601B73"/>
    <w:rsid w:val="37991995"/>
    <w:rsid w:val="37F91CB2"/>
    <w:rsid w:val="38B80CAE"/>
    <w:rsid w:val="38C65F8D"/>
    <w:rsid w:val="38D54F22"/>
    <w:rsid w:val="39296139"/>
    <w:rsid w:val="39587B00"/>
    <w:rsid w:val="39B87074"/>
    <w:rsid w:val="3AA2643A"/>
    <w:rsid w:val="3AA54B65"/>
    <w:rsid w:val="3C2762A0"/>
    <w:rsid w:val="3CB12F05"/>
    <w:rsid w:val="3CEF6B14"/>
    <w:rsid w:val="3D136F7C"/>
    <w:rsid w:val="3D632928"/>
    <w:rsid w:val="3DA566C7"/>
    <w:rsid w:val="3DB8582F"/>
    <w:rsid w:val="3E277368"/>
    <w:rsid w:val="3E2A76BA"/>
    <w:rsid w:val="3E797013"/>
    <w:rsid w:val="3F005984"/>
    <w:rsid w:val="3F2D2ED3"/>
    <w:rsid w:val="3F3758AE"/>
    <w:rsid w:val="3FA20D00"/>
    <w:rsid w:val="404341B8"/>
    <w:rsid w:val="407B45E2"/>
    <w:rsid w:val="40AB1F18"/>
    <w:rsid w:val="40B60967"/>
    <w:rsid w:val="40C51A32"/>
    <w:rsid w:val="41064256"/>
    <w:rsid w:val="410E50BC"/>
    <w:rsid w:val="411118F1"/>
    <w:rsid w:val="41A31561"/>
    <w:rsid w:val="41BF7119"/>
    <w:rsid w:val="42AC389D"/>
    <w:rsid w:val="432156F6"/>
    <w:rsid w:val="437C508B"/>
    <w:rsid w:val="43EE7B1F"/>
    <w:rsid w:val="44A945CD"/>
    <w:rsid w:val="44B875F8"/>
    <w:rsid w:val="45ED5566"/>
    <w:rsid w:val="462F7F43"/>
    <w:rsid w:val="46B77747"/>
    <w:rsid w:val="46C03379"/>
    <w:rsid w:val="47166312"/>
    <w:rsid w:val="4749784B"/>
    <w:rsid w:val="478432EE"/>
    <w:rsid w:val="47B43951"/>
    <w:rsid w:val="47D253A0"/>
    <w:rsid w:val="48074D12"/>
    <w:rsid w:val="48A11496"/>
    <w:rsid w:val="48BB7627"/>
    <w:rsid w:val="490C7DA8"/>
    <w:rsid w:val="4927790F"/>
    <w:rsid w:val="493D5C0A"/>
    <w:rsid w:val="4A1B4844"/>
    <w:rsid w:val="4A3F4FEA"/>
    <w:rsid w:val="4AF27585"/>
    <w:rsid w:val="4B0C62C7"/>
    <w:rsid w:val="4B7B237E"/>
    <w:rsid w:val="4BC917AB"/>
    <w:rsid w:val="4BCC42FC"/>
    <w:rsid w:val="4C3D06DD"/>
    <w:rsid w:val="4C42726D"/>
    <w:rsid w:val="4C6E094D"/>
    <w:rsid w:val="4C901E5D"/>
    <w:rsid w:val="4C984399"/>
    <w:rsid w:val="4CFC41CF"/>
    <w:rsid w:val="4D0075E4"/>
    <w:rsid w:val="4D8E14F9"/>
    <w:rsid w:val="4DC81033"/>
    <w:rsid w:val="4DE90F05"/>
    <w:rsid w:val="4DEE76A1"/>
    <w:rsid w:val="4E0B0324"/>
    <w:rsid w:val="4E521659"/>
    <w:rsid w:val="4F1F69AC"/>
    <w:rsid w:val="5003477C"/>
    <w:rsid w:val="50222943"/>
    <w:rsid w:val="503C3532"/>
    <w:rsid w:val="5066185A"/>
    <w:rsid w:val="50772009"/>
    <w:rsid w:val="50A9443C"/>
    <w:rsid w:val="50FA14C1"/>
    <w:rsid w:val="511D5AE8"/>
    <w:rsid w:val="5121661D"/>
    <w:rsid w:val="51295679"/>
    <w:rsid w:val="513628FA"/>
    <w:rsid w:val="51955281"/>
    <w:rsid w:val="51C42636"/>
    <w:rsid w:val="51ED2E4C"/>
    <w:rsid w:val="5239084E"/>
    <w:rsid w:val="529044F3"/>
    <w:rsid w:val="52EF77F1"/>
    <w:rsid w:val="532523E3"/>
    <w:rsid w:val="537D6245"/>
    <w:rsid w:val="53A635EE"/>
    <w:rsid w:val="53BF1656"/>
    <w:rsid w:val="54653E65"/>
    <w:rsid w:val="551612DA"/>
    <w:rsid w:val="554B5C0D"/>
    <w:rsid w:val="557E6690"/>
    <w:rsid w:val="55A00B3B"/>
    <w:rsid w:val="560C1D00"/>
    <w:rsid w:val="56144D86"/>
    <w:rsid w:val="566E6F02"/>
    <w:rsid w:val="56D6559C"/>
    <w:rsid w:val="56F12C3E"/>
    <w:rsid w:val="57023B1A"/>
    <w:rsid w:val="5767228A"/>
    <w:rsid w:val="579163F6"/>
    <w:rsid w:val="58090066"/>
    <w:rsid w:val="58D21EC7"/>
    <w:rsid w:val="58DF3DA9"/>
    <w:rsid w:val="590E3651"/>
    <w:rsid w:val="592672A7"/>
    <w:rsid w:val="59482BC9"/>
    <w:rsid w:val="596129F7"/>
    <w:rsid w:val="59EB7848"/>
    <w:rsid w:val="5A540790"/>
    <w:rsid w:val="5A621854"/>
    <w:rsid w:val="5A660AFA"/>
    <w:rsid w:val="5A936740"/>
    <w:rsid w:val="5AB26CE0"/>
    <w:rsid w:val="5ADF1B0F"/>
    <w:rsid w:val="5B472839"/>
    <w:rsid w:val="5BC57B35"/>
    <w:rsid w:val="5DE71BCE"/>
    <w:rsid w:val="5DF936D6"/>
    <w:rsid w:val="5E1B18D5"/>
    <w:rsid w:val="5E2B5772"/>
    <w:rsid w:val="5E4277CC"/>
    <w:rsid w:val="5F4F0A45"/>
    <w:rsid w:val="5F721B25"/>
    <w:rsid w:val="5F7741E3"/>
    <w:rsid w:val="5F8070C1"/>
    <w:rsid w:val="5FD53F8F"/>
    <w:rsid w:val="5FE907DE"/>
    <w:rsid w:val="6012763C"/>
    <w:rsid w:val="605A73CF"/>
    <w:rsid w:val="6066023B"/>
    <w:rsid w:val="60A05464"/>
    <w:rsid w:val="611C38C2"/>
    <w:rsid w:val="619E7B51"/>
    <w:rsid w:val="62286C86"/>
    <w:rsid w:val="62BA0D3E"/>
    <w:rsid w:val="62C32C15"/>
    <w:rsid w:val="62D82E7D"/>
    <w:rsid w:val="62F00195"/>
    <w:rsid w:val="636368D2"/>
    <w:rsid w:val="637F50D4"/>
    <w:rsid w:val="639346C2"/>
    <w:rsid w:val="63D91A6E"/>
    <w:rsid w:val="63D97D70"/>
    <w:rsid w:val="640671B1"/>
    <w:rsid w:val="6457096D"/>
    <w:rsid w:val="64E04C72"/>
    <w:rsid w:val="6522512B"/>
    <w:rsid w:val="65627CAA"/>
    <w:rsid w:val="65AD0934"/>
    <w:rsid w:val="660A1D16"/>
    <w:rsid w:val="666E700D"/>
    <w:rsid w:val="671158B6"/>
    <w:rsid w:val="67461197"/>
    <w:rsid w:val="676D3A77"/>
    <w:rsid w:val="67C443A5"/>
    <w:rsid w:val="67D80EF3"/>
    <w:rsid w:val="67E26AAE"/>
    <w:rsid w:val="680B4477"/>
    <w:rsid w:val="685376FC"/>
    <w:rsid w:val="68FD7615"/>
    <w:rsid w:val="69353428"/>
    <w:rsid w:val="69623CFC"/>
    <w:rsid w:val="69812327"/>
    <w:rsid w:val="69CE793F"/>
    <w:rsid w:val="69FE2356"/>
    <w:rsid w:val="6A002323"/>
    <w:rsid w:val="6A9B212A"/>
    <w:rsid w:val="6AB8699E"/>
    <w:rsid w:val="6AC22FC5"/>
    <w:rsid w:val="6B587629"/>
    <w:rsid w:val="6C2E0B09"/>
    <w:rsid w:val="6CA53429"/>
    <w:rsid w:val="6CFD32CD"/>
    <w:rsid w:val="6D162186"/>
    <w:rsid w:val="6D165FC3"/>
    <w:rsid w:val="6D1673ED"/>
    <w:rsid w:val="6DFA4516"/>
    <w:rsid w:val="6E0A1F12"/>
    <w:rsid w:val="6E496E41"/>
    <w:rsid w:val="6E9F05EE"/>
    <w:rsid w:val="6ECD664A"/>
    <w:rsid w:val="6ED25D91"/>
    <w:rsid w:val="6EEA7785"/>
    <w:rsid w:val="6F0964CE"/>
    <w:rsid w:val="6F1E35C2"/>
    <w:rsid w:val="6F656A85"/>
    <w:rsid w:val="6FB00E95"/>
    <w:rsid w:val="6FB47866"/>
    <w:rsid w:val="700C3CD0"/>
    <w:rsid w:val="70112EEA"/>
    <w:rsid w:val="701142B4"/>
    <w:rsid w:val="70232E21"/>
    <w:rsid w:val="704F550D"/>
    <w:rsid w:val="707916A5"/>
    <w:rsid w:val="710F6511"/>
    <w:rsid w:val="71121FE9"/>
    <w:rsid w:val="7115240B"/>
    <w:rsid w:val="71213307"/>
    <w:rsid w:val="729613F2"/>
    <w:rsid w:val="73C108DC"/>
    <w:rsid w:val="74997611"/>
    <w:rsid w:val="74AB26AF"/>
    <w:rsid w:val="74DD1C4D"/>
    <w:rsid w:val="75336DB9"/>
    <w:rsid w:val="75763972"/>
    <w:rsid w:val="75843EAD"/>
    <w:rsid w:val="75A54510"/>
    <w:rsid w:val="762243AF"/>
    <w:rsid w:val="762839CE"/>
    <w:rsid w:val="766E3353"/>
    <w:rsid w:val="775D6D3F"/>
    <w:rsid w:val="77B60DBB"/>
    <w:rsid w:val="77FC4B8B"/>
    <w:rsid w:val="78C21DBD"/>
    <w:rsid w:val="791442D6"/>
    <w:rsid w:val="7930284F"/>
    <w:rsid w:val="79365935"/>
    <w:rsid w:val="799C2625"/>
    <w:rsid w:val="79B25AD9"/>
    <w:rsid w:val="79BE32E2"/>
    <w:rsid w:val="79EB553A"/>
    <w:rsid w:val="79F62E93"/>
    <w:rsid w:val="7A260A3E"/>
    <w:rsid w:val="7A6769D4"/>
    <w:rsid w:val="7A7F239E"/>
    <w:rsid w:val="7AAE0661"/>
    <w:rsid w:val="7B2017B7"/>
    <w:rsid w:val="7B6A59E3"/>
    <w:rsid w:val="7B760D31"/>
    <w:rsid w:val="7BBD3ECE"/>
    <w:rsid w:val="7C396B8F"/>
    <w:rsid w:val="7C467BDF"/>
    <w:rsid w:val="7C742CB1"/>
    <w:rsid w:val="7C80348E"/>
    <w:rsid w:val="7C8C2099"/>
    <w:rsid w:val="7CE3329D"/>
    <w:rsid w:val="7CFD4E41"/>
    <w:rsid w:val="7D213D98"/>
    <w:rsid w:val="7D562894"/>
    <w:rsid w:val="7DBE2610"/>
    <w:rsid w:val="7DC45FB0"/>
    <w:rsid w:val="7DEC62F7"/>
    <w:rsid w:val="7E914199"/>
    <w:rsid w:val="7ECB3C74"/>
    <w:rsid w:val="7EDC7A43"/>
    <w:rsid w:val="7EE330C0"/>
    <w:rsid w:val="7F3D6F9D"/>
    <w:rsid w:val="7F876EF5"/>
    <w:rsid w:val="7FED3F6C"/>
    <w:rsid w:val="7FF4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rPr>
  </w:style>
  <w:style w:type="paragraph" w:styleId="3">
    <w:name w:val="Plain Text"/>
    <w:basedOn w:val="1"/>
    <w:next w:val="4"/>
    <w:unhideWhenUsed/>
    <w:qFormat/>
    <w:uiPriority w:val="99"/>
    <w:rPr>
      <w:rFonts w:ascii="宋体" w:hAnsi="Courier New"/>
      <w:szCs w:val="21"/>
    </w:rPr>
  </w:style>
  <w:style w:type="paragraph" w:styleId="4">
    <w:name w:val="toc 2"/>
    <w:basedOn w:val="1"/>
    <w:next w:val="1"/>
    <w:qFormat/>
    <w:uiPriority w:val="99"/>
    <w:pPr>
      <w:ind w:left="420" w:leftChars="200"/>
    </w:pPr>
    <w:rPr>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8">
    <w:name w:val="index 9"/>
    <w:basedOn w:val="1"/>
    <w:next w:val="1"/>
    <w:qFormat/>
    <w:uiPriority w:val="0"/>
    <w:pPr>
      <w:ind w:left="1600" w:leftChars="1600"/>
    </w:p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
    <w:name w:val="Table Paragraph"/>
    <w:basedOn w:val="1"/>
    <w:qFormat/>
    <w:uiPriority w:val="1"/>
    <w:rPr>
      <w:rFonts w:ascii="仿宋_GB2312" w:hAnsi="仿宋_GB2312" w:eastAsia="仿宋_GB2312" w:cs="仿宋_GB2312"/>
    </w:rPr>
  </w:style>
  <w:style w:type="paragraph" w:customStyle="1" w:styleId="16">
    <w:name w:val="正文 缩进2字符"/>
    <w:basedOn w:val="1"/>
    <w:next w:val="1"/>
    <w:qFormat/>
    <w:uiPriority w:val="0"/>
    <w:pPr>
      <w:spacing w:line="288" w:lineRule="auto"/>
    </w:pPr>
    <w:rPr>
      <w:rFonts w:ascii="宋体" w:hAnsi="宋体" w:cs="宋体"/>
      <w:szCs w:val="21"/>
    </w:rPr>
  </w:style>
  <w:style w:type="character" w:customStyle="1" w:styleId="17">
    <w:name w:val="font21"/>
    <w:basedOn w:val="12"/>
    <w:qFormat/>
    <w:uiPriority w:val="0"/>
    <w:rPr>
      <w:rFonts w:hint="eastAsia" w:ascii="宋体" w:hAnsi="宋体" w:eastAsia="宋体" w:cs="宋体"/>
      <w:color w:val="000000"/>
      <w:sz w:val="28"/>
      <w:szCs w:val="28"/>
      <w:u w:val="none"/>
      <w:vertAlign w:val="subscript"/>
    </w:rPr>
  </w:style>
  <w:style w:type="character" w:customStyle="1" w:styleId="18">
    <w:name w:val="font11"/>
    <w:basedOn w:val="12"/>
    <w:qFormat/>
    <w:uiPriority w:val="0"/>
    <w:rPr>
      <w:rFonts w:hint="eastAsia" w:ascii="宋体" w:hAnsi="宋体" w:eastAsia="宋体" w:cs="宋体"/>
      <w:color w:val="000000"/>
      <w:sz w:val="28"/>
      <w:szCs w:val="28"/>
      <w:u w:val="none"/>
    </w:rPr>
  </w:style>
  <w:style w:type="character" w:customStyle="1" w:styleId="19">
    <w:name w:val="font01"/>
    <w:basedOn w:val="12"/>
    <w:qFormat/>
    <w:uiPriority w:val="0"/>
    <w:rPr>
      <w:rFonts w:ascii="仿宋_GB2312" w:eastAsia="仿宋_GB2312" w:cs="仿宋_GB2312"/>
      <w:color w:val="000000"/>
      <w:sz w:val="28"/>
      <w:szCs w:val="28"/>
      <w:u w:val="none"/>
    </w:rPr>
  </w:style>
  <w:style w:type="character" w:customStyle="1" w:styleId="20">
    <w:name w:val="font91"/>
    <w:basedOn w:val="1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罗铁永</dc:creator>
  <cp:lastModifiedBy>Administrator</cp:lastModifiedBy>
  <dcterms:modified xsi:type="dcterms:W3CDTF">2025-01-21T06:25:09Z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