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pStyle w:val="2"/>
        <w:rPr>
          <w:rFonts w:hint="eastAsia"/>
          <w:lang w:eastAsia="zh-CN"/>
        </w:rPr>
      </w:pPr>
      <w:bookmarkStart w:id="1" w:name="_GoBack"/>
      <w:bookmarkEnd w:id="1"/>
    </w:p>
    <w:p>
      <w:pPr>
        <w:wordWrap/>
        <w:spacing w:line="560" w:lineRule="exact"/>
        <w:ind w:left="0" w:leftChars="0" w:right="0"/>
        <w:jc w:val="center"/>
        <w:textAlignment w:val="auto"/>
        <w:rPr>
          <w:rStyle w:val="15"/>
          <w:rFonts w:hint="eastAsia" w:ascii="方正小标宋简体" w:hAnsi="方正小标宋简体" w:eastAsia="方正小标宋简体" w:cs="方正小标宋简体"/>
          <w:b w:val="0"/>
          <w:bCs/>
          <w:color w:val="323232"/>
          <w:sz w:val="44"/>
          <w:szCs w:val="44"/>
          <w:shd w:val="clear" w:color="auto" w:fill="FFFFFF"/>
          <w:lang w:val="en-US" w:eastAsia="zh-CN"/>
        </w:rPr>
      </w:pPr>
      <w:r>
        <w:rPr>
          <w:rStyle w:val="15"/>
          <w:rFonts w:hint="eastAsia" w:ascii="方正小标宋简体" w:hAnsi="方正小标宋简体" w:eastAsia="方正小标宋简体" w:cs="方正小标宋简体"/>
          <w:b w:val="0"/>
          <w:bCs/>
          <w:color w:val="323232"/>
          <w:sz w:val="44"/>
          <w:szCs w:val="44"/>
          <w:shd w:val="clear" w:color="auto" w:fill="FFFFFF"/>
          <w:lang w:eastAsia="zh-CN"/>
        </w:rPr>
        <w:t>北京市</w:t>
      </w:r>
      <w:r>
        <w:rPr>
          <w:rStyle w:val="15"/>
          <w:rFonts w:hint="eastAsia" w:ascii="方正小标宋简体" w:hAnsi="方正小标宋简体" w:eastAsia="方正小标宋简体" w:cs="方正小标宋简体"/>
          <w:b w:val="0"/>
          <w:bCs/>
          <w:color w:val="323232"/>
          <w:sz w:val="44"/>
          <w:szCs w:val="44"/>
          <w:shd w:val="clear" w:color="auto" w:fill="FFFFFF"/>
        </w:rPr>
        <w:t>东城区</w:t>
      </w:r>
      <w:r>
        <w:rPr>
          <w:rStyle w:val="15"/>
          <w:rFonts w:hint="eastAsia" w:ascii="方正小标宋简体" w:hAnsi="方正小标宋简体" w:eastAsia="方正小标宋简体" w:cs="方正小标宋简体"/>
          <w:b w:val="0"/>
          <w:bCs/>
          <w:color w:val="323232"/>
          <w:sz w:val="44"/>
          <w:szCs w:val="44"/>
          <w:shd w:val="clear" w:color="auto" w:fill="FFFFFF"/>
          <w:lang w:eastAsia="zh-CN"/>
        </w:rPr>
        <w:t>关于推动商务领域</w:t>
      </w:r>
      <w:r>
        <w:rPr>
          <w:rStyle w:val="15"/>
          <w:rFonts w:hint="eastAsia" w:ascii="方正小标宋简体" w:hAnsi="方正小标宋简体" w:eastAsia="方正小标宋简体" w:cs="方正小标宋简体"/>
          <w:b w:val="0"/>
          <w:bCs/>
          <w:color w:val="323232"/>
          <w:sz w:val="44"/>
          <w:szCs w:val="44"/>
          <w:shd w:val="clear" w:color="auto" w:fill="FFFFFF"/>
          <w:lang w:val="en-US" w:eastAsia="zh-CN"/>
        </w:rPr>
        <w:t>高质量发展</w:t>
      </w:r>
    </w:p>
    <w:p>
      <w:pPr>
        <w:wordWrap/>
        <w:spacing w:line="560" w:lineRule="exact"/>
        <w:ind w:left="0" w:leftChars="0" w:right="0"/>
        <w:jc w:val="center"/>
        <w:textAlignment w:val="auto"/>
        <w:rPr>
          <w:rStyle w:val="15"/>
          <w:rFonts w:hint="eastAsia" w:ascii="方正小标宋简体" w:hAnsi="方正小标宋简体" w:eastAsia="方正小标宋简体" w:cs="方正小标宋简体"/>
          <w:b w:val="0"/>
          <w:bCs/>
          <w:color w:val="323232"/>
          <w:sz w:val="44"/>
          <w:szCs w:val="44"/>
          <w:shd w:val="clear" w:color="auto" w:fill="FFFFFF"/>
        </w:rPr>
      </w:pPr>
      <w:r>
        <w:rPr>
          <w:rStyle w:val="15"/>
          <w:rFonts w:hint="eastAsia" w:ascii="方正小标宋简体" w:hAnsi="方正小标宋简体" w:eastAsia="方正小标宋简体" w:cs="方正小标宋简体"/>
          <w:b w:val="0"/>
          <w:bCs/>
          <w:color w:val="323232"/>
          <w:sz w:val="44"/>
          <w:szCs w:val="44"/>
          <w:shd w:val="clear" w:color="auto" w:fill="FFFFFF"/>
        </w:rPr>
        <w:t>若干措施</w:t>
      </w:r>
    </w:p>
    <w:p>
      <w:pPr>
        <w:wordWrap/>
        <w:spacing w:line="560" w:lineRule="exact"/>
        <w:ind w:left="0" w:leftChars="0" w:right="0" w:firstLine="880" w:firstLineChars="200"/>
        <w:jc w:val="center"/>
        <w:textAlignment w:val="auto"/>
        <w:rPr>
          <w:rStyle w:val="15"/>
          <w:rFonts w:hint="eastAsia" w:ascii="方正小标宋简体" w:hAnsi="方正小标宋简体" w:eastAsia="方正小标宋简体" w:cs="方正小标宋简体"/>
          <w:b w:val="0"/>
          <w:bCs/>
          <w:color w:val="323232"/>
          <w:sz w:val="44"/>
          <w:szCs w:val="44"/>
          <w:shd w:val="clear" w:color="auto" w:fill="FFFFFF"/>
          <w:lang w:val="en-US" w:eastAsia="zh-CN"/>
        </w:rPr>
      </w:pPr>
      <w:r>
        <w:rPr>
          <w:rStyle w:val="15"/>
          <w:rFonts w:hint="eastAsia" w:ascii="方正小标宋简体" w:hAnsi="方正小标宋简体" w:eastAsia="方正小标宋简体" w:cs="方正小标宋简体"/>
          <w:b w:val="0"/>
          <w:bCs/>
          <w:color w:val="323232"/>
          <w:sz w:val="44"/>
          <w:szCs w:val="44"/>
          <w:shd w:val="clear" w:color="auto" w:fill="FFFFFF"/>
          <w:lang w:val="en-US" w:eastAsia="zh-CN"/>
        </w:rPr>
        <w:t xml:space="preserve"> </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rPr>
        <w:t>党中央、国务院部署和北京市工作要求，</w:t>
      </w:r>
      <w:r>
        <w:rPr>
          <w:rFonts w:hint="eastAsia" w:ascii="仿宋_GB2312" w:hAnsi="仿宋_GB2312" w:eastAsia="仿宋_GB2312" w:cs="仿宋_GB2312"/>
          <w:sz w:val="32"/>
          <w:szCs w:val="32"/>
          <w:lang w:eastAsia="zh-CN"/>
        </w:rPr>
        <w:t>根据《北京市东城区促进产业高质量发展指导意见》，进一步促进商务领域高质量发展，现制定《北京市东城区关于推动商务领域高质量发展若干措施》如下：</w:t>
      </w:r>
    </w:p>
    <w:p>
      <w:pPr>
        <w:pStyle w:val="4"/>
        <w:widowControl w:val="0"/>
        <w:wordWrap/>
        <w:adjustRightInd/>
        <w:snapToGrid/>
        <w:spacing w:after="0" w:afterLines="0" w:line="560" w:lineRule="exact"/>
        <w:ind w:left="0" w:leftChars="0" w:righ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一、总则</w:t>
      </w:r>
    </w:p>
    <w:p>
      <w:pPr>
        <w:widowControl w:val="0"/>
        <w:wordWrap/>
        <w:adjustRightInd/>
        <w:snapToGrid/>
        <w:spacing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为贯彻落实</w:t>
      </w:r>
      <w:r>
        <w:rPr>
          <w:rFonts w:hint="eastAsia" w:ascii="仿宋_GB2312" w:hAnsi="仿宋_GB2312" w:eastAsia="仿宋_GB2312" w:cs="仿宋_GB2312"/>
          <w:sz w:val="32"/>
          <w:szCs w:val="32"/>
        </w:rPr>
        <w:t>党中央、国务院部署和北京市工作要求</w:t>
      </w:r>
      <w:r>
        <w:rPr>
          <w:rFonts w:hint="eastAsia" w:ascii="仿宋_GB2312" w:hAnsi="仿宋_GB2312" w:eastAsia="仿宋_GB2312" w:cs="仿宋_GB2312"/>
          <w:sz w:val="32"/>
          <w:szCs w:val="32"/>
          <w:lang w:eastAsia="zh-CN"/>
        </w:rPr>
        <w:t>，进一步规范支持资金的管理和使用，</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国际消费中心城市建设，促进东城区商务经济提质增效</w:t>
      </w:r>
      <w:r>
        <w:rPr>
          <w:rFonts w:hint="eastAsia" w:ascii="仿宋_GB2312" w:hAnsi="仿宋_GB2312" w:eastAsia="仿宋_GB2312" w:cs="仿宋_GB2312"/>
          <w:sz w:val="32"/>
          <w:szCs w:val="32"/>
          <w:lang w:eastAsia="zh-CN"/>
        </w:rPr>
        <w:t>，推动商务领域高质量发展。</w:t>
      </w:r>
    </w:p>
    <w:p>
      <w:pPr>
        <w:pStyle w:val="1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第二条</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 xml:space="preserve"> 资金使用与管理原则。</w:t>
      </w:r>
      <w:r>
        <w:rPr>
          <w:rFonts w:hint="default" w:ascii="Times New Roman" w:hAnsi="Times New Roman" w:eastAsia="仿宋_GB2312" w:cs="Times New Roman"/>
          <w:color w:val="auto"/>
          <w:kern w:val="0"/>
          <w:sz w:val="32"/>
          <w:szCs w:val="32"/>
          <w:highlight w:val="none"/>
          <w:lang w:val="en-US" w:eastAsia="zh-CN" w:bidi="ar-SA"/>
        </w:rPr>
        <w:t>本措施按照公开、公平、公正原则，实行总量控制、自愿申报、</w:t>
      </w:r>
      <w:r>
        <w:rPr>
          <w:rFonts w:hint="eastAsia" w:ascii="Times New Roman" w:hAnsi="Times New Roman" w:eastAsia="仿宋_GB2312" w:cs="Times New Roman"/>
          <w:color w:val="auto"/>
          <w:kern w:val="0"/>
          <w:sz w:val="32"/>
          <w:szCs w:val="32"/>
          <w:highlight w:val="none"/>
          <w:lang w:val="en-US" w:eastAsia="zh-CN" w:bidi="ar-SA"/>
        </w:rPr>
        <w:t>专家评审、</w:t>
      </w:r>
      <w:r>
        <w:rPr>
          <w:rFonts w:hint="default" w:ascii="Times New Roman" w:hAnsi="Times New Roman" w:eastAsia="仿宋_GB2312" w:cs="Times New Roman"/>
          <w:color w:val="auto"/>
          <w:kern w:val="0"/>
          <w:sz w:val="32"/>
          <w:szCs w:val="32"/>
          <w:highlight w:val="none"/>
          <w:lang w:val="en-US" w:eastAsia="zh-CN" w:bidi="ar-SA"/>
        </w:rPr>
        <w:t>政府决策的原则，</w:t>
      </w:r>
      <w:r>
        <w:rPr>
          <w:rFonts w:hint="eastAsia" w:ascii="Times New Roman" w:hAnsi="Times New Roman" w:eastAsia="仿宋_GB2312" w:cs="Times New Roman"/>
          <w:color w:val="auto"/>
          <w:kern w:val="0"/>
          <w:sz w:val="32"/>
          <w:szCs w:val="32"/>
          <w:highlight w:val="none"/>
          <w:lang w:val="en-US" w:eastAsia="zh-CN" w:bidi="ar-SA"/>
        </w:rPr>
        <w:t>采取企业为主体，项目为依托的“项目支持资金申报制度”，</w:t>
      </w:r>
      <w:r>
        <w:rPr>
          <w:rFonts w:hint="default" w:ascii="Times New Roman" w:hAnsi="Times New Roman" w:eastAsia="仿宋_GB2312" w:cs="Times New Roman"/>
          <w:color w:val="auto"/>
          <w:kern w:val="0"/>
          <w:sz w:val="32"/>
          <w:szCs w:val="32"/>
          <w:highlight w:val="none"/>
          <w:lang w:val="en-US" w:eastAsia="zh-CN" w:bidi="ar-SA"/>
        </w:rPr>
        <w:t>在每年</w:t>
      </w:r>
      <w:r>
        <w:rPr>
          <w:rFonts w:hint="eastAsia" w:ascii="Times New Roman" w:hAnsi="Times New Roman" w:eastAsia="仿宋_GB2312" w:cs="Times New Roman"/>
          <w:color w:val="auto"/>
          <w:kern w:val="0"/>
          <w:sz w:val="32"/>
          <w:szCs w:val="32"/>
          <w:highlight w:val="none"/>
          <w:lang w:val="en-US" w:eastAsia="zh-CN" w:bidi="ar-SA"/>
        </w:rPr>
        <w:t>东城区</w:t>
      </w:r>
      <w:r>
        <w:rPr>
          <w:rFonts w:hint="default" w:ascii="Times New Roman" w:hAnsi="Times New Roman" w:eastAsia="仿宋_GB2312" w:cs="Times New Roman"/>
          <w:color w:val="auto"/>
          <w:kern w:val="0"/>
          <w:sz w:val="32"/>
          <w:szCs w:val="32"/>
          <w:highlight w:val="none"/>
          <w:lang w:val="en-US" w:eastAsia="zh-CN" w:bidi="ar-SA"/>
        </w:rPr>
        <w:t>产业发展专项资金总预算内对符合东城区产业发展的项目给予资金扶持。</w:t>
      </w:r>
    </w:p>
    <w:p>
      <w:pPr>
        <w:wordWrap/>
        <w:spacing w:line="560" w:lineRule="exact"/>
        <w:ind w:left="0" w:leftChars="0" w:right="0" w:firstLine="643" w:firstLineChars="200"/>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第三条</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 xml:space="preserve"> 政策适用对象。本措施适用对象为在东城区注册经营或有实际经营活动，为东城区经济高质量发展做出贡献的企业。</w:t>
      </w:r>
    </w:p>
    <w:p>
      <w:pPr>
        <w:pStyle w:val="3"/>
        <w:wordWrap/>
        <w:spacing w:before="0" w:beforeAutospacing="0" w:after="0" w:afterAutospacing="0" w:line="560" w:lineRule="exact"/>
        <w:ind w:left="0" w:leftChars="0" w:right="0" w:firstLine="640"/>
        <w:jc w:val="both"/>
        <w:textAlignment w:val="baseline"/>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第四条</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 xml:space="preserve"> 申报条件。第三条适用对象参照本措施</w:t>
      </w:r>
      <w:r>
        <w:rPr>
          <w:rFonts w:hint="default" w:ascii="Times New Roman" w:hAnsi="Times New Roman" w:eastAsia="仿宋_GB2312" w:cs="Times New Roman"/>
          <w:b w:val="0"/>
          <w:bCs w:val="0"/>
          <w:color w:val="auto"/>
          <w:kern w:val="0"/>
          <w:sz w:val="32"/>
          <w:szCs w:val="32"/>
          <w:highlight w:val="none"/>
          <w:lang w:val="en-US" w:eastAsia="zh-CN" w:bidi="ar-SA"/>
        </w:rPr>
        <w:t>申请</w:t>
      </w:r>
      <w:r>
        <w:rPr>
          <w:rFonts w:hint="eastAsia" w:ascii="Times New Roman" w:hAnsi="Times New Roman" w:eastAsia="仿宋_GB2312" w:cs="Times New Roman"/>
          <w:b w:val="0"/>
          <w:bCs w:val="0"/>
          <w:color w:val="auto"/>
          <w:kern w:val="0"/>
          <w:sz w:val="32"/>
          <w:szCs w:val="32"/>
          <w:highlight w:val="none"/>
          <w:lang w:val="en-US" w:eastAsia="zh-CN" w:bidi="ar-SA"/>
        </w:rPr>
        <w:t>支持</w:t>
      </w:r>
      <w:r>
        <w:rPr>
          <w:rFonts w:hint="default" w:ascii="Times New Roman" w:hAnsi="Times New Roman" w:eastAsia="仿宋_GB2312" w:cs="Times New Roman"/>
          <w:b w:val="0"/>
          <w:bCs w:val="0"/>
          <w:color w:val="auto"/>
          <w:kern w:val="0"/>
          <w:sz w:val="32"/>
          <w:szCs w:val="32"/>
          <w:highlight w:val="none"/>
          <w:lang w:val="en-US" w:eastAsia="zh-CN" w:bidi="ar-SA"/>
        </w:rPr>
        <w:t>资金的项目应当符合以下基本条件：</w:t>
      </w:r>
    </w:p>
    <w:p>
      <w:pPr>
        <w:pStyle w:val="1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（一）申报单位依法经营，具有健全的财务管理与核算体系；生产及经营状况良好，具有相应的资金筹措能力；</w:t>
      </w:r>
    </w:p>
    <w:p>
      <w:pPr>
        <w:pStyle w:val="1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（二）申报项目符合东城区各产业发展方向，符合区产业政策支持的条件，发展目标明确，具有较好的社会效益和经济效益；</w:t>
      </w:r>
    </w:p>
    <w:p>
      <w:pPr>
        <w:pStyle w:val="1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（三）项目程序合法、手续齐全完备。</w:t>
      </w:r>
    </w:p>
    <w:p>
      <w:pPr>
        <w:pStyle w:val="1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（四）申报单位有下列情形之一的，不予支持：</w:t>
      </w:r>
    </w:p>
    <w:p>
      <w:pPr>
        <w:pStyle w:val="1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当年度发生重大生产安全事故、重大环境污染事故、严重产品质量问题、严重失信行为、偷税漏税被税务机关立案查处、被列入有关失信联合惩戒黑名单等对社会产生重大负面影响。</w:t>
      </w:r>
    </w:p>
    <w:p>
      <w:pPr>
        <w:widowControl w:val="0"/>
        <w:numPr>
          <w:ilvl w:val="0"/>
          <w:numId w:val="1"/>
        </w:numPr>
        <w:wordWrap/>
        <w:adjustRightInd w:val="0"/>
        <w:snapToGrid w:val="0"/>
        <w:spacing w:line="56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促进消费扩容提质增效</w:t>
      </w:r>
    </w:p>
    <w:p>
      <w:pPr>
        <w:widowControl w:val="0"/>
        <w:numPr>
          <w:ilvl w:val="0"/>
          <w:numId w:val="0"/>
        </w:numPr>
        <w:wordWrap/>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积极培育壮大市场主体，大力发展首发经济，推动多元消费业态融合，支持老字号传承</w:t>
      </w:r>
      <w:r>
        <w:rPr>
          <w:rFonts w:hint="eastAsia" w:ascii="仿宋_GB2312" w:hAnsi="仿宋_GB2312" w:eastAsia="仿宋_GB2312" w:cs="仿宋_GB2312"/>
          <w:b w:val="0"/>
          <w:bCs w:val="0"/>
          <w:sz w:val="32"/>
          <w:szCs w:val="32"/>
          <w:lang w:eastAsia="zh-CN"/>
        </w:rPr>
        <w:t>保护与创新</w:t>
      </w:r>
      <w:r>
        <w:rPr>
          <w:rFonts w:hint="eastAsia" w:ascii="仿宋_GB2312" w:hAnsi="仿宋_GB2312" w:eastAsia="仿宋_GB2312" w:cs="仿宋_GB2312"/>
          <w:b w:val="0"/>
          <w:bCs w:val="0"/>
          <w:sz w:val="32"/>
          <w:szCs w:val="32"/>
        </w:rPr>
        <w:t>发展，支持商圈商街以及重点商业设施改造升级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2"/>
          <w:sz w:val="32"/>
          <w:szCs w:val="32"/>
          <w:lang w:val="en-US" w:eastAsia="zh-CN" w:bidi="ar-SA"/>
        </w:rPr>
        <w:t>支持餐饮企业提质升级，稳定和扩大餐饮消费</w:t>
      </w:r>
      <w:r>
        <w:rPr>
          <w:rFonts w:hint="eastAsia" w:ascii="仿宋_GB2312" w:hAnsi="仿宋_GB2312" w:eastAsia="仿宋_GB2312" w:cs="仿宋_GB2312"/>
          <w:b w:val="0"/>
          <w:bCs w:val="0"/>
          <w:sz w:val="32"/>
          <w:szCs w:val="32"/>
        </w:rPr>
        <w:t>。</w:t>
      </w:r>
    </w:p>
    <w:p>
      <w:pPr>
        <w:widowControl w:val="0"/>
        <w:wordWrap/>
        <w:adjustRightInd w:val="0"/>
        <w:snapToGrid w:val="0"/>
        <w:spacing w:line="56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积极培育壮大市场主体，吸引规模大、增长快、品牌影响力强企业落地。对于在东城注册且具有独立法人资格的零售业企业，社会消费品零售额增速为正且高于东城区年增速的企业，全年零售额每增长1亿元给予最高100万元的资金支持，单个企业最高支持金额不超过1000万元。对在东城区开设的国内外品牌店铺，年度销售额规模达到1亿元以上稳步增长的亿元零售店铺，给予最高不超过100万元的资金支持。</w:t>
      </w:r>
    </w:p>
    <w:p>
      <w:pPr>
        <w:widowControl w:val="0"/>
        <w:wordWrap/>
        <w:adjustRightInd w:val="0"/>
        <w:snapToGrid w:val="0"/>
        <w:spacing w:line="56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b w:val="0"/>
          <w:bCs w:val="0"/>
          <w:sz w:val="32"/>
          <w:szCs w:val="32"/>
          <w:lang w:val="en-US" w:eastAsia="zh-CN"/>
        </w:rPr>
        <w:t xml:space="preserve"> 大力发展首发经济，支持</w:t>
      </w:r>
      <w:r>
        <w:rPr>
          <w:rFonts w:hint="eastAsia" w:ascii="仿宋_GB2312" w:hAnsi="仿宋_GB2312" w:eastAsia="仿宋_GB2312" w:cs="仿宋_GB2312"/>
          <w:b w:val="0"/>
          <w:bCs w:val="0"/>
          <w:color w:val="auto"/>
          <w:sz w:val="32"/>
          <w:szCs w:val="32"/>
          <w:lang w:val="en-US" w:eastAsia="zh-CN"/>
        </w:rPr>
        <w:t>国内外知名品牌</w:t>
      </w:r>
      <w:r>
        <w:rPr>
          <w:rFonts w:hint="eastAsia" w:ascii="仿宋_GB2312" w:hAnsi="仿宋_GB2312" w:eastAsia="仿宋_GB2312" w:cs="仿宋_GB2312"/>
          <w:b w:val="0"/>
          <w:bCs w:val="0"/>
          <w:sz w:val="32"/>
          <w:szCs w:val="32"/>
          <w:lang w:val="en-US" w:eastAsia="zh-CN"/>
        </w:rPr>
        <w:t>在东城开设品牌首店、旗舰店、创新概念店、</w:t>
      </w:r>
      <w:r>
        <w:rPr>
          <w:rFonts w:hint="eastAsia" w:ascii="仿宋_GB2312" w:hAnsi="仿宋_GB2312" w:eastAsia="仿宋_GB2312" w:cs="仿宋_GB2312"/>
          <w:b w:val="0"/>
          <w:bCs w:val="0"/>
          <w:color w:val="auto"/>
          <w:sz w:val="32"/>
          <w:szCs w:val="32"/>
          <w:lang w:val="en-US" w:eastAsia="zh-CN"/>
        </w:rPr>
        <w:t>用户体验中心等</w:t>
      </w:r>
      <w:r>
        <w:rPr>
          <w:rFonts w:hint="eastAsia" w:ascii="仿宋_GB2312" w:hAnsi="仿宋_GB2312" w:eastAsia="仿宋_GB2312" w:cs="仿宋_GB2312"/>
          <w:b w:val="0"/>
          <w:bCs w:val="0"/>
          <w:sz w:val="32"/>
          <w:szCs w:val="32"/>
          <w:lang w:val="en-US" w:eastAsia="zh-CN"/>
        </w:rPr>
        <w:t>，支持举办具有国际影响力和市场引领性的首发首秀首展活动、新品发布活动。对在东城注册且具有独立法人资格的零售业企业，按照项目核定实际投资总额的50%，北京首店给予最高不超过50万元资金支持，中国（内地）首店给予最高不超过100万元资金支持，亚洲首店给予最高不超过200万元资金支持；旗舰店、创新概念店给予最高不超过100万元资金支持；新品发布</w:t>
      </w:r>
      <w:r>
        <w:rPr>
          <w:rFonts w:hint="eastAsia" w:ascii="仿宋_GB2312" w:hAnsi="仿宋_GB2312" w:eastAsia="仿宋_GB2312" w:cs="仿宋_GB2312"/>
          <w:b w:val="0"/>
          <w:bCs w:val="0"/>
          <w:color w:val="auto"/>
          <w:sz w:val="32"/>
          <w:szCs w:val="32"/>
          <w:lang w:val="en-US" w:eastAsia="zh-CN"/>
        </w:rPr>
        <w:t>活动给予最高</w:t>
      </w:r>
      <w:r>
        <w:rPr>
          <w:rFonts w:hint="eastAsia" w:ascii="仿宋_GB2312" w:hAnsi="仿宋_GB2312" w:eastAsia="仿宋_GB2312" w:cs="仿宋_GB2312"/>
          <w:b w:val="0"/>
          <w:bCs w:val="0"/>
          <w:sz w:val="32"/>
          <w:szCs w:val="32"/>
          <w:lang w:val="en-US" w:eastAsia="zh-CN"/>
        </w:rPr>
        <w:t>不超过20万元资金支持，每年度不超过一次。</w:t>
      </w:r>
    </w:p>
    <w:p>
      <w:pPr>
        <w:widowControl w:val="0"/>
        <w:wordWrap/>
        <w:adjustRightInd w:val="0"/>
        <w:snapToGrid w:val="0"/>
        <w:spacing w:line="56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推动多元消费业态融合，培育新业态、新模式、新场景，支持在东城区投资打造文商旅体融合新消费</w:t>
      </w:r>
      <w:r>
        <w:rPr>
          <w:rFonts w:hint="eastAsia" w:ascii="仿宋_GB2312" w:hAnsi="仿宋_GB2312" w:eastAsia="仿宋_GB2312" w:cs="仿宋_GB2312"/>
          <w:b w:val="0"/>
          <w:bCs w:val="0"/>
          <w:color w:val="auto"/>
          <w:sz w:val="32"/>
          <w:szCs w:val="32"/>
          <w:lang w:val="en-US" w:eastAsia="zh-CN"/>
        </w:rPr>
        <w:t>场景</w:t>
      </w:r>
      <w:r>
        <w:rPr>
          <w:rFonts w:hint="eastAsia" w:ascii="仿宋_GB2312" w:hAnsi="仿宋_GB2312" w:eastAsia="仿宋_GB2312" w:cs="仿宋_GB2312"/>
          <w:b w:val="0"/>
          <w:bCs w:val="0"/>
          <w:sz w:val="32"/>
          <w:szCs w:val="32"/>
          <w:lang w:val="en-US" w:eastAsia="zh-CN"/>
        </w:rPr>
        <w:t>，按照投资总额的50%，给予最高不超过200万元的资金支持。</w:t>
      </w:r>
    </w:p>
    <w:p>
      <w:pPr>
        <w:widowControl w:val="0"/>
        <w:wordWrap/>
        <w:adjustRightInd w:val="0"/>
        <w:snapToGrid w:val="0"/>
        <w:spacing w:line="56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b w:val="0"/>
          <w:bCs w:val="0"/>
          <w:sz w:val="32"/>
          <w:szCs w:val="32"/>
          <w:lang w:val="en-US" w:eastAsia="zh-CN"/>
        </w:rPr>
        <w:t>支持老字号传承保护与创新发展。支持老字号认定，新技术认证。对2023年以来，认定为中华老字号的企业给予一次性5万元资金支持；认定为北京市老字号的给予一次性3万元资金支持；对产品认证、技术认证给予一次性不超过5万元资金支持。支持老字号“走出去”，鼓励老字号“出海”，对老字号企业提升国际化经营能力，开拓海外市场给予不超过支出总额50%的支持。对同一企业同一年度支持金额不超过30万元。支持建立老字号“必带必购”清单，每年区级商务交往伴手礼及节日福利采购对应品类的30%应从清单采购。</w:t>
      </w:r>
    </w:p>
    <w:p>
      <w:pPr>
        <w:widowControl w:val="0"/>
        <w:wordWrap/>
        <w:adjustRightInd w:val="0"/>
        <w:snapToGrid w:val="0"/>
        <w:spacing w:line="56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lang w:val="en-US" w:eastAsia="zh-CN"/>
        </w:rPr>
        <w:t>支持商业企业升级改造。支持辖区内商业企业</w:t>
      </w:r>
      <w:r>
        <w:rPr>
          <w:rFonts w:hint="eastAsia" w:ascii="仿宋_GB2312" w:hAnsi="仿宋_GB2312" w:eastAsia="仿宋_GB2312" w:cs="仿宋_GB2312"/>
          <w:b w:val="0"/>
          <w:bCs w:val="0"/>
          <w:kern w:val="2"/>
          <w:sz w:val="32"/>
          <w:szCs w:val="32"/>
          <w:lang w:val="en-US" w:eastAsia="zh-CN" w:bidi="ar-SA"/>
        </w:rPr>
        <w:t>进行经营场所、配套设施改造升级。</w:t>
      </w:r>
      <w:r>
        <w:rPr>
          <w:rFonts w:hint="eastAsia" w:ascii="仿宋_GB2312" w:hAnsi="仿宋_GB2312" w:eastAsia="仿宋_GB2312" w:cs="仿宋_GB2312"/>
          <w:b w:val="0"/>
          <w:bCs w:val="0"/>
          <w:sz w:val="32"/>
          <w:szCs w:val="32"/>
          <w:lang w:val="en-US" w:eastAsia="zh-CN"/>
        </w:rPr>
        <w:t>经综合评估，</w:t>
      </w:r>
      <w:r>
        <w:rPr>
          <w:rFonts w:hint="eastAsia" w:ascii="仿宋_GB2312" w:hAnsi="仿宋_GB2312" w:eastAsia="仿宋_GB2312" w:cs="仿宋_GB2312"/>
          <w:b w:val="0"/>
          <w:bCs w:val="0"/>
          <w:kern w:val="2"/>
          <w:sz w:val="32"/>
          <w:szCs w:val="32"/>
          <w:lang w:val="en-US" w:eastAsia="zh-CN" w:bidi="ar-SA"/>
        </w:rPr>
        <w:t>认定投资金额在300万以上的，且</w:t>
      </w:r>
      <w:r>
        <w:rPr>
          <w:rFonts w:hint="eastAsia" w:ascii="仿宋_GB2312" w:hAnsi="仿宋_GB2312" w:eastAsia="仿宋_GB2312" w:cs="仿宋_GB2312"/>
          <w:b w:val="0"/>
          <w:bCs w:val="0"/>
          <w:sz w:val="32"/>
          <w:szCs w:val="32"/>
          <w:lang w:val="en-US" w:eastAsia="zh-CN"/>
        </w:rPr>
        <w:t>符合条件的项目补助金额不超过核定实际投资总额的</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0%，单个项目每年最高</w:t>
      </w:r>
      <w:r>
        <w:rPr>
          <w:rFonts w:hint="eastAsia" w:ascii="仿宋_GB2312" w:hAnsi="仿宋_GB2312" w:eastAsia="仿宋_GB2312" w:cs="仿宋_GB2312"/>
          <w:b w:val="0"/>
          <w:bCs w:val="0"/>
          <w:kern w:val="2"/>
          <w:sz w:val="32"/>
          <w:szCs w:val="32"/>
          <w:lang w:val="en-US" w:eastAsia="zh-CN" w:bidi="ar-SA"/>
        </w:rPr>
        <w:t>资金</w:t>
      </w:r>
      <w:r>
        <w:rPr>
          <w:rFonts w:hint="eastAsia" w:ascii="仿宋_GB2312" w:hAnsi="仿宋_GB2312" w:eastAsia="仿宋_GB2312" w:cs="仿宋_GB2312"/>
          <w:b w:val="0"/>
          <w:bCs w:val="0"/>
          <w:sz w:val="32"/>
          <w:szCs w:val="32"/>
          <w:lang w:val="en-US" w:eastAsia="zh-CN"/>
        </w:rPr>
        <w:t>支持不超过</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00万元。</w:t>
      </w:r>
    </w:p>
    <w:p>
      <w:pPr>
        <w:widowControl w:val="0"/>
        <w:wordWrap/>
        <w:adjustRightInd w:val="0"/>
        <w:snapToGrid w:val="0"/>
        <w:spacing w:line="560" w:lineRule="exact"/>
        <w:ind w:left="0" w:leftChars="0" w:right="0" w:firstLine="643"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 xml:space="preserve">第十条 </w:t>
      </w:r>
      <w:r>
        <w:rPr>
          <w:rFonts w:hint="eastAsia" w:ascii="仿宋_GB2312" w:hAnsi="仿宋_GB2312" w:eastAsia="仿宋_GB2312" w:cs="仿宋_GB2312"/>
          <w:b w:val="0"/>
          <w:bCs w:val="0"/>
          <w:kern w:val="2"/>
          <w:sz w:val="32"/>
          <w:szCs w:val="32"/>
          <w:lang w:val="en-US" w:eastAsia="zh-CN" w:bidi="ar-SA"/>
        </w:rPr>
        <w:t>支持餐饮企业提质升级。对东城区域内被相关权威品牌榜单内新认定为黑珍珠、米其林等餐厅或新设立的权威品牌榜单餐厅给予一次性不超过30万元的资金支持。对在东城区域内注册纳统且提质升级符合条件的单个餐厅，给予不超过实际审定投资的50%且最高不超过30万元的资金支持。对在东城区域内公园、等级景区、公共体育场馆、演出场所、博物馆内开设满足大众消费且租期不少于3年的餐厅</w:t>
      </w:r>
      <w:r>
        <w:rPr>
          <w:rFonts w:hint="eastAsia" w:ascii="仿宋_GB2312" w:hAnsi="仿宋_GB2312" w:eastAsia="仿宋_GB2312" w:cs="仿宋_GB2312"/>
          <w:b w:val="0"/>
          <w:bCs w:val="0"/>
          <w:color w:val="auto"/>
          <w:kern w:val="2"/>
          <w:sz w:val="32"/>
          <w:szCs w:val="32"/>
          <w:lang w:val="en-US" w:eastAsia="zh-CN" w:bidi="ar-SA"/>
        </w:rPr>
        <w:t>，经综合评估，</w:t>
      </w:r>
      <w:r>
        <w:rPr>
          <w:rFonts w:hint="eastAsia" w:ascii="仿宋_GB2312" w:hAnsi="仿宋_GB2312" w:eastAsia="仿宋_GB2312" w:cs="仿宋_GB2312"/>
          <w:b w:val="0"/>
          <w:bCs w:val="0"/>
          <w:kern w:val="2"/>
          <w:sz w:val="32"/>
          <w:szCs w:val="32"/>
          <w:lang w:val="en-US" w:eastAsia="zh-CN" w:bidi="ar-SA"/>
        </w:rPr>
        <w:t>给予不超过实际审定投资的50%且最高不超过10万元的资金支持</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color="0B0000" w:fill="FFFFFF"/>
          <w:lang w:val="en-US" w:eastAsia="zh-CN"/>
        </w:rPr>
      </w:pPr>
      <w:r>
        <w:rPr>
          <w:rFonts w:hint="eastAsia" w:ascii="黑体" w:hAnsi="黑体" w:eastAsia="黑体" w:cs="黑体"/>
          <w:b w:val="0"/>
          <w:bCs w:val="0"/>
          <w:i w:val="0"/>
          <w:iCs w:val="0"/>
          <w:caps w:val="0"/>
          <w:color w:val="000000"/>
          <w:spacing w:val="0"/>
          <w:sz w:val="32"/>
          <w:szCs w:val="32"/>
          <w:highlight w:val="none"/>
          <w:shd w:val="clear" w:color="0B0000" w:fill="FFFFFF"/>
          <w:lang w:val="en-US" w:eastAsia="zh-CN"/>
        </w:rPr>
        <w:t>三、鼓励更高水平对外开放</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外资企业在促进国际合作、实现资源整合、提升区域利用外资效益等方面集聚业务、拓展功能、提升能级。鼓励境外投资者通过并购、跨境人民币出资、股权出资、分配利润再投资等方式在我区投资。支持企业国际化发展，积极拓展海外市场，加快培育外贸新业态新模式。</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 xml:space="preserve">第十一条 </w:t>
      </w:r>
      <w:r>
        <w:rPr>
          <w:rFonts w:hint="eastAsia" w:ascii="仿宋_GB2312" w:hAnsi="仿宋_GB2312" w:eastAsia="仿宋_GB2312" w:cs="仿宋_GB2312"/>
          <w:b w:val="0"/>
          <w:bCs w:val="0"/>
          <w:sz w:val="32"/>
          <w:szCs w:val="32"/>
          <w:lang w:val="en-US" w:eastAsia="zh-CN"/>
        </w:rPr>
        <w:t>支持外资企业增设投资中心、研发中心、运营中心、结算中心等功能性机构。经综合评估，给予一定的专项资金支持，单个主体资金支持不超过500万元。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 xml:space="preserve">第十二条 </w:t>
      </w:r>
      <w:r>
        <w:rPr>
          <w:rFonts w:hint="eastAsia" w:ascii="仿宋_GB2312" w:hAnsi="仿宋_GB2312" w:eastAsia="仿宋_GB2312" w:cs="仿宋_GB2312"/>
          <w:b w:val="0"/>
          <w:bCs w:val="0"/>
          <w:sz w:val="32"/>
          <w:szCs w:val="32"/>
          <w:lang w:val="en-US" w:eastAsia="zh-CN"/>
        </w:rPr>
        <w:t>加大重点领域引进外资力度，提升区域利用外资质量和水平。对年度实际使用外资5000万美元（含）以上，且经商务部纳统的，根据企业实际使用外资规模，经综合评估，给予最高不超过500万元的资金支持。</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 xml:space="preserve">第十三条 </w:t>
      </w:r>
      <w:r>
        <w:rPr>
          <w:rFonts w:hint="eastAsia" w:ascii="仿宋_GB2312" w:hAnsi="仿宋_GB2312" w:eastAsia="仿宋_GB2312" w:cs="仿宋_GB2312"/>
          <w:b w:val="0"/>
          <w:bCs w:val="0"/>
          <w:sz w:val="32"/>
          <w:szCs w:val="32"/>
          <w:lang w:val="en-US" w:eastAsia="zh-CN"/>
        </w:rPr>
        <w:t>鼓励外商投资企业利润再投资。落实境外投资者境内取得利润再投资暂不征收预提所得税政策。境外投资者利润再投资形成实际外资的，可按本政策第十二条规定享受相关支持政策。</w:t>
      </w:r>
    </w:p>
    <w:p>
      <w:pPr>
        <w:pStyle w:val="2"/>
        <w:spacing w:line="560" w:lineRule="exact"/>
        <w:ind w:firstLine="643" w:firstLineChars="200"/>
        <w:rPr>
          <w:rFonts w:hint="eastAsia" w:ascii="仿宋_GB2312" w:hAnsi="仿宋_GB2312" w:eastAsia="仿宋_GB2312" w:cs="仿宋_GB2312"/>
          <w:b w:val="0"/>
          <w:bCs w:val="0"/>
          <w:color w:val="000000"/>
          <w:kern w:val="0"/>
          <w:sz w:val="32"/>
          <w:szCs w:val="32"/>
          <w:shd w:val="clear" w:color="auto" w:fill="auto"/>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第十四条</w:t>
      </w:r>
      <w:r>
        <w:rPr>
          <w:rFonts w:hint="eastAsia" w:ascii="黑体" w:hAnsi="黑体" w:eastAsia="黑体" w:cs="黑体"/>
          <w:b w:val="0"/>
          <w:bCs w:val="0"/>
          <w:i w:val="0"/>
          <w:iCs w:val="0"/>
          <w:caps w:val="0"/>
          <w:color w:val="000000"/>
          <w:spacing w:val="0"/>
          <w:sz w:val="32"/>
          <w:szCs w:val="32"/>
          <w:highlight w:val="none"/>
          <w:shd w:val="clear" w:color="0B0000" w:fill="FFFFFF"/>
          <w:lang w:val="en-US" w:eastAsia="zh-CN"/>
        </w:rPr>
        <w:t xml:space="preserve"> </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auto"/>
          <w:lang w:val="en-US" w:eastAsia="zh-CN"/>
        </w:rPr>
        <w:t>支持服务贸易数字化、智能化、绿色化发展。加大跨境电商企业引育力度，推动跨境电商赋能产业带，鼓励跨境电商企业发展新模式新场景，支持有条件的跨境电商企业建设独立站、海外品牌运营中心等</w:t>
      </w:r>
      <w:r>
        <w:rPr>
          <w:rFonts w:hint="eastAsia" w:ascii="仿宋_GB2312" w:hAnsi="仿宋_GB2312" w:eastAsia="仿宋_GB2312" w:cs="仿宋_GB2312"/>
          <w:b w:val="0"/>
          <w:bCs w:val="0"/>
          <w:sz w:val="32"/>
          <w:szCs w:val="32"/>
          <w:lang w:val="en-US" w:eastAsia="zh-CN"/>
        </w:rPr>
        <w:t>。</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黑体" w:hAnsi="黑体" w:eastAsia="黑体" w:cs="黑体"/>
          <w:b w:val="0"/>
          <w:bCs w:val="0"/>
          <w:kern w:val="0"/>
          <w:sz w:val="32"/>
          <w:szCs w:val="22"/>
        </w:rPr>
      </w:pPr>
      <w:r>
        <w:rPr>
          <w:rFonts w:hint="eastAsia" w:ascii="黑体" w:hAnsi="黑体" w:eastAsia="黑体" w:cs="黑体"/>
          <w:b w:val="0"/>
          <w:bCs w:val="0"/>
          <w:kern w:val="0"/>
          <w:sz w:val="32"/>
          <w:szCs w:val="22"/>
          <w:lang w:eastAsia="zh-CN"/>
        </w:rPr>
        <w:t>四、</w:t>
      </w:r>
      <w:r>
        <w:rPr>
          <w:rFonts w:hint="eastAsia" w:ascii="黑体" w:hAnsi="黑体" w:eastAsia="黑体" w:cs="黑体"/>
          <w:b w:val="0"/>
          <w:bCs w:val="0"/>
          <w:kern w:val="0"/>
          <w:sz w:val="32"/>
          <w:szCs w:val="22"/>
        </w:rPr>
        <w:t>推动发展更高能级的总部经济</w:t>
      </w:r>
    </w:p>
    <w:p>
      <w:pPr>
        <w:pStyle w:val="4"/>
        <w:numPr>
          <w:ilvl w:val="0"/>
          <w:numId w:val="0"/>
        </w:numPr>
        <w:wordWrap/>
        <w:spacing w:after="0" w:afterLines="0" w:line="560" w:lineRule="exact"/>
        <w:ind w:left="0" w:leftChars="0" w:right="0" w:firstLine="640" w:firstLineChars="200"/>
        <w:textAlignment w:val="auto"/>
        <w:rPr>
          <w:rFonts w:hint="eastAsia" w:ascii="黑体" w:hAnsi="黑体" w:eastAsia="黑体" w:cs="黑体"/>
          <w:b w:val="0"/>
          <w:bCs w:val="0"/>
          <w:i w:val="0"/>
          <w:iCs w:val="0"/>
          <w:caps w:val="0"/>
          <w:color w:val="000000"/>
          <w:spacing w:val="0"/>
          <w:sz w:val="32"/>
          <w:szCs w:val="32"/>
          <w:highlight w:val="none"/>
          <w:shd w:val="clear" w:color="0B0000" w:fill="FFFFFF"/>
          <w:lang w:val="en-US" w:eastAsia="zh-CN"/>
        </w:rPr>
      </w:pPr>
      <w:r>
        <w:rPr>
          <w:rFonts w:hint="eastAsia" w:ascii="仿宋_GB2312" w:hAnsi="仿宋_GB2312" w:eastAsia="仿宋_GB2312" w:cs="仿宋_GB2312"/>
          <w:sz w:val="32"/>
          <w:szCs w:val="32"/>
        </w:rPr>
        <w:t>支持总部企业提升全球资源配置能力，加快培育具有全球视野、运营能力强的跨国公司地区总部；发展贸易型总部以及资源掌控力强、辐射范围广的区域性总部。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 xml:space="preserve">第十五条 </w:t>
      </w:r>
      <w:r>
        <w:rPr>
          <w:rFonts w:hint="eastAsia" w:ascii="仿宋_GB2312" w:hAnsi="仿宋_GB2312" w:eastAsia="仿宋_GB2312" w:cs="仿宋_GB2312"/>
          <w:b w:val="0"/>
          <w:bCs w:val="0"/>
          <w:sz w:val="32"/>
          <w:szCs w:val="32"/>
        </w:rPr>
        <w:t>支持总部企业提升全球资源配置能力，加快培育具有全球视野、运营能力强的跨国公司地区总部。对在东城区内注册且经本市新认定的跨国公司地区总部（含亚太区总部），给予</w:t>
      </w:r>
      <w:r>
        <w:rPr>
          <w:rFonts w:hint="eastAsia" w:ascii="仿宋_GB2312" w:hAnsi="仿宋_GB2312" w:eastAsia="仿宋_GB2312" w:cs="仿宋_GB2312"/>
          <w:b w:val="0"/>
          <w:bCs w:val="0"/>
          <w:sz w:val="32"/>
          <w:szCs w:val="32"/>
          <w:lang w:eastAsia="zh-CN"/>
        </w:rPr>
        <w:t>最高不超过</w:t>
      </w:r>
      <w:r>
        <w:rPr>
          <w:rFonts w:hint="eastAsia" w:ascii="仿宋_GB2312" w:hAnsi="仿宋_GB2312" w:eastAsia="仿宋_GB2312" w:cs="仿宋_GB2312"/>
          <w:b w:val="0"/>
          <w:bCs w:val="0"/>
          <w:sz w:val="32"/>
          <w:szCs w:val="32"/>
        </w:rPr>
        <w:t>1000万元</w:t>
      </w:r>
      <w:r>
        <w:rPr>
          <w:rFonts w:hint="eastAsia" w:ascii="仿宋_GB2312" w:hAnsi="仿宋_GB2312" w:eastAsia="仿宋_GB2312" w:cs="仿宋_GB2312"/>
          <w:b w:val="0"/>
          <w:bCs w:val="0"/>
          <w:sz w:val="32"/>
          <w:szCs w:val="32"/>
          <w:lang w:eastAsia="zh-CN"/>
        </w:rPr>
        <w:t>的资金支持</w:t>
      </w:r>
      <w:r>
        <w:rPr>
          <w:rFonts w:hint="eastAsia" w:ascii="仿宋_GB2312" w:hAnsi="仿宋_GB2312" w:eastAsia="仿宋_GB2312" w:cs="仿宋_GB2312"/>
          <w:b w:val="0"/>
          <w:bCs w:val="0"/>
          <w:sz w:val="32"/>
          <w:szCs w:val="32"/>
        </w:rPr>
        <w:t>；对在东城区内注册且经本市新认定的跨国公司全球总部，给予</w:t>
      </w:r>
      <w:r>
        <w:rPr>
          <w:rFonts w:hint="eastAsia" w:ascii="仿宋_GB2312" w:hAnsi="仿宋_GB2312" w:eastAsia="仿宋_GB2312" w:cs="仿宋_GB2312"/>
          <w:b w:val="0"/>
          <w:bCs w:val="0"/>
          <w:sz w:val="32"/>
          <w:szCs w:val="32"/>
          <w:lang w:eastAsia="zh-CN"/>
        </w:rPr>
        <w:t>最高不超过</w:t>
      </w:r>
      <w:r>
        <w:rPr>
          <w:rFonts w:hint="eastAsia" w:ascii="仿宋_GB2312" w:hAnsi="仿宋_GB2312" w:eastAsia="仿宋_GB2312" w:cs="仿宋_GB2312"/>
          <w:b w:val="0"/>
          <w:bCs w:val="0"/>
          <w:sz w:val="32"/>
          <w:szCs w:val="32"/>
        </w:rPr>
        <w:t>2000万元</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一次性</w:t>
      </w:r>
      <w:r>
        <w:rPr>
          <w:rFonts w:hint="eastAsia" w:ascii="仿宋_GB2312" w:hAnsi="仿宋_GB2312" w:eastAsia="仿宋_GB2312" w:cs="仿宋_GB2312"/>
          <w:b w:val="0"/>
          <w:bCs w:val="0"/>
          <w:sz w:val="32"/>
          <w:szCs w:val="32"/>
          <w:lang w:eastAsia="zh-CN"/>
        </w:rPr>
        <w:t>资金支持</w:t>
      </w:r>
      <w:r>
        <w:rPr>
          <w:rFonts w:hint="eastAsia" w:ascii="仿宋_GB2312" w:hAnsi="仿宋_GB2312" w:eastAsia="仿宋_GB2312" w:cs="仿宋_GB2312"/>
          <w:b w:val="0"/>
          <w:bCs w:val="0"/>
          <w:sz w:val="32"/>
          <w:szCs w:val="32"/>
        </w:rPr>
        <w:t>；对新迁入的跨国公司地区总部，给予最高不超过1000万元的</w:t>
      </w:r>
      <w:r>
        <w:rPr>
          <w:rFonts w:hint="eastAsia" w:ascii="仿宋_GB2312" w:hAnsi="仿宋_GB2312" w:eastAsia="仿宋_GB2312" w:cs="仿宋_GB2312"/>
          <w:b w:val="0"/>
          <w:bCs w:val="0"/>
          <w:sz w:val="32"/>
          <w:szCs w:val="32"/>
          <w:lang w:eastAsia="zh-CN"/>
        </w:rPr>
        <w:t>资金支持</w:t>
      </w:r>
      <w:r>
        <w:rPr>
          <w:rFonts w:hint="eastAsia" w:ascii="仿宋_GB2312" w:hAnsi="仿宋_GB2312" w:eastAsia="仿宋_GB2312" w:cs="仿宋_GB2312"/>
          <w:b w:val="0"/>
          <w:bCs w:val="0"/>
          <w:sz w:val="32"/>
          <w:szCs w:val="32"/>
        </w:rPr>
        <w:t>。</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 xml:space="preserve">第十六条 </w:t>
      </w:r>
      <w:r>
        <w:rPr>
          <w:rFonts w:hint="eastAsia" w:ascii="仿宋_GB2312" w:hAnsi="仿宋_GB2312" w:eastAsia="仿宋_GB2312" w:cs="仿宋_GB2312"/>
          <w:b w:val="0"/>
          <w:bCs w:val="0"/>
          <w:sz w:val="32"/>
          <w:szCs w:val="32"/>
        </w:rPr>
        <w:t>支持发展资源掌控力强、辐射范围广的贸易型总部。对在东城区内注册且经本市新认定的贸易型地区总部企业，给予</w:t>
      </w:r>
      <w:r>
        <w:rPr>
          <w:rFonts w:hint="eastAsia" w:ascii="仿宋_GB2312" w:hAnsi="仿宋_GB2312" w:eastAsia="仿宋_GB2312" w:cs="仿宋_GB2312"/>
          <w:b w:val="0"/>
          <w:bCs w:val="0"/>
          <w:sz w:val="32"/>
          <w:szCs w:val="32"/>
          <w:lang w:eastAsia="zh-CN"/>
        </w:rPr>
        <w:t>最高不超过</w:t>
      </w:r>
      <w:r>
        <w:rPr>
          <w:rFonts w:hint="eastAsia" w:ascii="仿宋_GB2312" w:hAnsi="仿宋_GB2312" w:eastAsia="仿宋_GB2312" w:cs="仿宋_GB2312"/>
          <w:b w:val="0"/>
          <w:bCs w:val="0"/>
          <w:sz w:val="32"/>
          <w:szCs w:val="32"/>
        </w:rPr>
        <w:t>1000万元</w:t>
      </w:r>
      <w:r>
        <w:rPr>
          <w:rFonts w:hint="eastAsia" w:ascii="仿宋_GB2312" w:hAnsi="仿宋_GB2312" w:eastAsia="仿宋_GB2312" w:cs="仿宋_GB2312"/>
          <w:b w:val="0"/>
          <w:bCs w:val="0"/>
          <w:sz w:val="32"/>
          <w:szCs w:val="32"/>
          <w:lang w:eastAsia="zh-CN"/>
        </w:rPr>
        <w:t>的资金支持</w:t>
      </w:r>
      <w:r>
        <w:rPr>
          <w:rFonts w:hint="eastAsia" w:ascii="仿宋_GB2312" w:hAnsi="仿宋_GB2312" w:eastAsia="仿宋_GB2312" w:cs="仿宋_GB2312"/>
          <w:b w:val="0"/>
          <w:bCs w:val="0"/>
          <w:sz w:val="32"/>
          <w:szCs w:val="32"/>
        </w:rPr>
        <w:t>。对新迁入的贸易型总部企业，给予</w:t>
      </w:r>
      <w:r>
        <w:rPr>
          <w:rFonts w:hint="eastAsia" w:ascii="仿宋_GB2312" w:hAnsi="仿宋_GB2312" w:eastAsia="仿宋_GB2312" w:cs="仿宋_GB2312"/>
          <w:b w:val="0"/>
          <w:bCs w:val="0"/>
          <w:sz w:val="32"/>
          <w:szCs w:val="32"/>
          <w:lang w:eastAsia="zh-CN"/>
        </w:rPr>
        <w:t>最高不超过</w:t>
      </w:r>
      <w:r>
        <w:rPr>
          <w:rFonts w:hint="eastAsia" w:ascii="仿宋_GB2312" w:hAnsi="仿宋_GB2312" w:eastAsia="仿宋_GB2312" w:cs="仿宋_GB2312"/>
          <w:b w:val="0"/>
          <w:bCs w:val="0"/>
          <w:sz w:val="32"/>
          <w:szCs w:val="32"/>
        </w:rPr>
        <w:t>1000万元</w:t>
      </w:r>
      <w:r>
        <w:rPr>
          <w:rFonts w:hint="eastAsia" w:ascii="仿宋_GB2312" w:hAnsi="仿宋_GB2312" w:eastAsia="仿宋_GB2312" w:cs="仿宋_GB2312"/>
          <w:b w:val="0"/>
          <w:bCs w:val="0"/>
          <w:sz w:val="32"/>
          <w:szCs w:val="32"/>
          <w:lang w:eastAsia="zh-CN"/>
        </w:rPr>
        <w:t>的资金支持</w:t>
      </w:r>
      <w:r>
        <w:rPr>
          <w:rFonts w:hint="eastAsia" w:ascii="仿宋_GB2312" w:hAnsi="仿宋_GB2312" w:eastAsia="仿宋_GB2312" w:cs="仿宋_GB2312"/>
          <w:b w:val="0"/>
          <w:bCs w:val="0"/>
          <w:sz w:val="32"/>
          <w:szCs w:val="32"/>
        </w:rPr>
        <w:t>。</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黑体" w:hAnsi="黑体" w:eastAsia="黑体" w:cs="黑体"/>
          <w:b w:val="0"/>
          <w:bCs w:val="0"/>
          <w:i w:val="0"/>
          <w:iCs w:val="0"/>
          <w:caps w:val="0"/>
          <w:color w:val="000000"/>
          <w:spacing w:val="0"/>
          <w:kern w:val="0"/>
          <w:sz w:val="32"/>
          <w:szCs w:val="32"/>
          <w:highlight w:val="none"/>
          <w:shd w:val="clear" w:color="0C0000" w:fill="FFFFFF"/>
          <w:lang w:val="en-US" w:eastAsia="zh-CN" w:bidi="ar-SA"/>
        </w:rPr>
      </w:pPr>
      <w:r>
        <w:rPr>
          <w:rFonts w:hint="eastAsia" w:ascii="黑体" w:hAnsi="黑体" w:eastAsia="黑体" w:cs="黑体"/>
          <w:b w:val="0"/>
          <w:bCs w:val="0"/>
          <w:i w:val="0"/>
          <w:iCs w:val="0"/>
          <w:caps w:val="0"/>
          <w:color w:val="000000"/>
          <w:spacing w:val="0"/>
          <w:kern w:val="0"/>
          <w:sz w:val="32"/>
          <w:szCs w:val="32"/>
          <w:highlight w:val="none"/>
          <w:shd w:val="clear" w:color="0C0000" w:fill="FFFFFF"/>
          <w:lang w:val="en-US" w:eastAsia="zh-CN" w:bidi="ar-SA"/>
        </w:rPr>
        <w:t>五、发挥</w:t>
      </w:r>
      <w:bookmarkStart w:id="0" w:name="OLE_LINK4"/>
      <w:r>
        <w:rPr>
          <w:rFonts w:hint="eastAsia" w:ascii="黑体" w:hAnsi="黑体" w:eastAsia="黑体" w:cs="黑体"/>
          <w:b w:val="0"/>
          <w:bCs w:val="0"/>
          <w:i w:val="0"/>
          <w:iCs w:val="0"/>
          <w:caps w:val="0"/>
          <w:color w:val="000000"/>
          <w:spacing w:val="0"/>
          <w:kern w:val="0"/>
          <w:sz w:val="32"/>
          <w:szCs w:val="32"/>
          <w:highlight w:val="none"/>
          <w:shd w:val="clear" w:color="0C0000" w:fill="FFFFFF"/>
          <w:lang w:val="en-US" w:eastAsia="zh-CN" w:bidi="ar-SA"/>
        </w:rPr>
        <w:t>商务服务业</w:t>
      </w:r>
      <w:bookmarkEnd w:id="0"/>
      <w:r>
        <w:rPr>
          <w:rFonts w:hint="eastAsia" w:ascii="黑体" w:hAnsi="黑体" w:eastAsia="黑体" w:cs="黑体"/>
          <w:b w:val="0"/>
          <w:bCs w:val="0"/>
          <w:i w:val="0"/>
          <w:iCs w:val="0"/>
          <w:caps w:val="0"/>
          <w:color w:val="000000"/>
          <w:spacing w:val="0"/>
          <w:kern w:val="0"/>
          <w:sz w:val="32"/>
          <w:szCs w:val="32"/>
          <w:highlight w:val="none"/>
          <w:shd w:val="clear" w:color="0C0000" w:fill="FFFFFF"/>
          <w:lang w:val="en-US" w:eastAsia="zh-CN" w:bidi="ar-SA"/>
        </w:rPr>
        <w:t>赋能优势</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国际、国内排名前列的咨询与调查、广告、法律服务等领域专业服务业企业与机构集聚，释放集聚区域产业支撑和辐射带动能力。鼓励商务服务企业规模化、专业化、国际化发展，全面提升商务服务业市场主体的影响力和竞争力，提高东城商务服务品牌知名度。</w:t>
      </w:r>
    </w:p>
    <w:p>
      <w:pPr>
        <w:wordWrap/>
        <w:spacing w:line="560" w:lineRule="exact"/>
        <w:ind w:left="0" w:leftChars="0" w:right="0" w:firstLine="640"/>
        <w:rPr>
          <w:rFonts w:hint="eastAsia" w:ascii="Times New Roman" w:hAnsi="Times New Roman" w:eastAsia="仿宋_GB2312"/>
          <w:bCs/>
          <w:color w:val="auto"/>
          <w:sz w:val="32"/>
          <w:lang w:val="en-US" w:eastAsia="zh-CN"/>
        </w:rPr>
      </w:pPr>
      <w:r>
        <w:rPr>
          <w:rFonts w:hint="eastAsia" w:ascii="仿宋_GB2312" w:hAnsi="仿宋_GB2312" w:eastAsia="仿宋_GB2312" w:cs="仿宋_GB2312"/>
          <w:b/>
          <w:bCs/>
          <w:color w:val="auto"/>
          <w:kern w:val="0"/>
          <w:sz w:val="32"/>
          <w:szCs w:val="32"/>
          <w:lang w:val="en-US" w:eastAsia="zh-CN" w:bidi="ar-SA"/>
        </w:rPr>
        <w:t>第十七条</w:t>
      </w:r>
      <w:r>
        <w:rPr>
          <w:rFonts w:hint="eastAsia" w:ascii="仿宋_GB2312" w:hAnsi="仿宋_GB2312" w:eastAsia="仿宋_GB2312" w:cs="仿宋_GB2312"/>
          <w:b w:val="0"/>
          <w:bCs w:val="0"/>
          <w:color w:val="auto"/>
          <w:kern w:val="0"/>
          <w:sz w:val="32"/>
          <w:szCs w:val="32"/>
          <w:lang w:val="en-US" w:eastAsia="zh-CN" w:bidi="ar-SA"/>
        </w:rPr>
        <w:t xml:space="preserve"> </w:t>
      </w:r>
      <w:r>
        <w:rPr>
          <w:rFonts w:ascii="Times New Roman" w:hAnsi="Times New Roman" w:eastAsia="仿宋_GB2312"/>
          <w:bCs/>
          <w:color w:val="auto"/>
          <w:sz w:val="32"/>
        </w:rPr>
        <w:t>对新设立或新迁入的突出贡献商务服务业企业及国际知名商务服务业企业，</w:t>
      </w:r>
      <w:r>
        <w:rPr>
          <w:rFonts w:hint="eastAsia" w:ascii="Times New Roman" w:hAnsi="Times New Roman" w:eastAsia="仿宋_GB2312"/>
          <w:bCs/>
          <w:color w:val="auto"/>
          <w:sz w:val="32"/>
          <w:lang w:eastAsia="zh-CN"/>
        </w:rPr>
        <w:t>经综合评估，</w:t>
      </w:r>
      <w:r>
        <w:rPr>
          <w:rFonts w:ascii="Times New Roman" w:hAnsi="Times New Roman" w:eastAsia="仿宋_GB2312"/>
          <w:bCs/>
          <w:color w:val="auto"/>
          <w:sz w:val="32"/>
        </w:rPr>
        <w:t>给予</w:t>
      </w:r>
      <w:r>
        <w:rPr>
          <w:rFonts w:hint="eastAsia" w:eastAsia="仿宋_GB2312"/>
          <w:bCs/>
          <w:color w:val="auto"/>
          <w:sz w:val="32"/>
          <w:lang w:eastAsia="zh-CN"/>
        </w:rPr>
        <w:t>最高不超过</w:t>
      </w:r>
      <w:r>
        <w:rPr>
          <w:rFonts w:ascii="Times New Roman" w:hAnsi="Times New Roman" w:eastAsia="仿宋_GB2312"/>
          <w:bCs/>
          <w:color w:val="auto"/>
          <w:sz w:val="32"/>
        </w:rPr>
        <w:t>1000万元</w:t>
      </w:r>
      <w:r>
        <w:rPr>
          <w:rFonts w:hint="eastAsia" w:eastAsia="仿宋_GB2312"/>
          <w:bCs/>
          <w:color w:val="auto"/>
          <w:sz w:val="32"/>
          <w:lang w:eastAsia="zh-CN"/>
        </w:rPr>
        <w:t>的</w:t>
      </w:r>
      <w:r>
        <w:rPr>
          <w:rFonts w:ascii="Times New Roman" w:hAnsi="Times New Roman" w:eastAsia="仿宋_GB2312"/>
          <w:bCs/>
          <w:color w:val="auto"/>
          <w:sz w:val="32"/>
        </w:rPr>
        <w:t>资金</w:t>
      </w:r>
      <w:r>
        <w:rPr>
          <w:rFonts w:hint="eastAsia" w:eastAsia="仿宋_GB2312"/>
          <w:bCs/>
          <w:color w:val="auto"/>
          <w:sz w:val="32"/>
          <w:lang w:eastAsia="zh-CN"/>
        </w:rPr>
        <w:t>支持</w:t>
      </w:r>
      <w:r>
        <w:rPr>
          <w:rFonts w:ascii="Times New Roman" w:hAnsi="Times New Roman" w:eastAsia="仿宋_GB2312"/>
          <w:bCs/>
          <w:color w:val="auto"/>
          <w:sz w:val="32"/>
        </w:rPr>
        <w:t>。</w:t>
      </w:r>
    </w:p>
    <w:p>
      <w:pPr>
        <w:widowControl w:val="0"/>
        <w:wordWrap/>
        <w:adjustRightInd w:val="0"/>
        <w:snapToGrid w:val="0"/>
        <w:spacing w:line="560" w:lineRule="exact"/>
        <w:ind w:left="0" w:leftChars="0" w:right="0" w:firstLine="643" w:firstLineChars="200"/>
        <w:jc w:val="both"/>
        <w:textAlignment w:val="auto"/>
        <w:rPr>
          <w:rFonts w:hint="eastAsia" w:eastAsia="仿宋_GB2312"/>
          <w:bCs/>
          <w:color w:val="auto"/>
          <w:sz w:val="32"/>
          <w:lang w:val="en-US" w:eastAsia="zh-CN"/>
        </w:rPr>
      </w:pPr>
      <w:r>
        <w:rPr>
          <w:rFonts w:hint="eastAsia" w:eastAsia="仿宋_GB2312"/>
          <w:b/>
          <w:bCs w:val="0"/>
          <w:color w:val="auto"/>
          <w:sz w:val="32"/>
          <w:lang w:val="en-US" w:eastAsia="zh-CN"/>
        </w:rPr>
        <w:t>第十</w:t>
      </w:r>
      <w:r>
        <w:rPr>
          <w:rFonts w:hint="eastAsia" w:ascii="仿宋_GB2312" w:hAnsi="仿宋_GB2312" w:eastAsia="仿宋_GB2312" w:cs="仿宋_GB2312"/>
          <w:b/>
          <w:bCs/>
          <w:color w:val="auto"/>
          <w:kern w:val="0"/>
          <w:sz w:val="32"/>
          <w:szCs w:val="32"/>
          <w:lang w:val="en-US" w:eastAsia="zh-CN" w:bidi="ar-SA"/>
        </w:rPr>
        <w:t>八</w:t>
      </w:r>
      <w:r>
        <w:rPr>
          <w:rFonts w:hint="eastAsia" w:eastAsia="仿宋_GB2312"/>
          <w:b/>
          <w:bCs w:val="0"/>
          <w:color w:val="auto"/>
          <w:sz w:val="32"/>
          <w:lang w:val="en-US" w:eastAsia="zh-CN"/>
        </w:rPr>
        <w:t>条</w:t>
      </w:r>
      <w:r>
        <w:rPr>
          <w:rFonts w:hint="eastAsia" w:eastAsia="仿宋_GB2312"/>
          <w:bCs/>
          <w:color w:val="auto"/>
          <w:sz w:val="32"/>
          <w:lang w:val="en-US" w:eastAsia="zh-CN"/>
        </w:rPr>
        <w:t xml:space="preserve"> 对已设立的企业，上年度年营业收入达1亿元及以上，且年营业收入增速高于全区平均增速的商务服务业企业，经综合评估，每年度给予最高不超过1000万元</w:t>
      </w:r>
      <w:r>
        <w:rPr>
          <w:rFonts w:hint="eastAsia" w:eastAsia="仿宋_GB2312"/>
          <w:bCs/>
          <w:color w:val="auto"/>
          <w:sz w:val="32"/>
          <w:lang w:eastAsia="zh-CN"/>
        </w:rPr>
        <w:t>的</w:t>
      </w:r>
      <w:r>
        <w:rPr>
          <w:rFonts w:ascii="Times New Roman" w:hAnsi="Times New Roman" w:eastAsia="仿宋_GB2312"/>
          <w:bCs/>
          <w:color w:val="auto"/>
          <w:sz w:val="32"/>
        </w:rPr>
        <w:t>资金</w:t>
      </w:r>
      <w:r>
        <w:rPr>
          <w:rFonts w:hint="eastAsia" w:eastAsia="仿宋_GB2312"/>
          <w:bCs/>
          <w:color w:val="auto"/>
          <w:sz w:val="32"/>
          <w:lang w:eastAsia="zh-CN"/>
        </w:rPr>
        <w:t>支持</w:t>
      </w:r>
      <w:r>
        <w:rPr>
          <w:rFonts w:hint="eastAsia" w:eastAsia="仿宋_GB2312"/>
          <w:bCs/>
          <w:color w:val="auto"/>
          <w:sz w:val="32"/>
          <w:lang w:val="en-US" w:eastAsia="zh-CN"/>
        </w:rPr>
        <w:t>。</w:t>
      </w:r>
    </w:p>
    <w:p>
      <w:pPr>
        <w:widowControl w:val="0"/>
        <w:wordWrap/>
        <w:adjustRightInd w:val="0"/>
        <w:snapToGrid w:val="0"/>
        <w:spacing w:line="560" w:lineRule="exact"/>
        <w:ind w:left="0" w:leftChars="0" w:right="0" w:firstLine="643" w:firstLineChars="200"/>
        <w:jc w:val="both"/>
        <w:textAlignment w:val="auto"/>
        <w:rPr>
          <w:rFonts w:hint="eastAsia"/>
          <w:b w:val="0"/>
          <w:bCs w:val="0"/>
          <w:lang w:val="en-US" w:eastAsia="zh-CN"/>
        </w:rPr>
      </w:pPr>
      <w:r>
        <w:rPr>
          <w:rFonts w:hint="eastAsia" w:eastAsia="仿宋_GB2312"/>
          <w:b/>
          <w:bCs w:val="0"/>
          <w:color w:val="auto"/>
          <w:sz w:val="32"/>
          <w:lang w:val="en-US" w:eastAsia="zh-CN"/>
        </w:rPr>
        <w:t>第十九条</w:t>
      </w:r>
      <w:r>
        <w:rPr>
          <w:rFonts w:hint="eastAsia" w:eastAsia="仿宋_GB2312"/>
          <w:bCs/>
          <w:color w:val="auto"/>
          <w:sz w:val="32"/>
          <w:lang w:val="en-US" w:eastAsia="zh-CN"/>
        </w:rPr>
        <w:t xml:space="preserve"> </w:t>
      </w:r>
      <w:r>
        <w:rPr>
          <w:rFonts w:hint="eastAsia" w:eastAsia="仿宋_GB2312"/>
          <w:b w:val="0"/>
          <w:bCs w:val="0"/>
          <w:color w:val="auto"/>
          <w:sz w:val="32"/>
          <w:lang w:val="en-US" w:eastAsia="zh-CN"/>
        </w:rPr>
        <w:t>鼓励广告业企业充分挖掘我区文商旅资源，利用广告营销等手段提升文商旅活动品牌品质。持续推进向广告业企业开展知识产权质押担保咨询服务，鼓励金融机构持续加大对广告业企业首贷、信用贷支持力度。加强培养数字广告行业复合型人才，通过工作居住证、医疗教育等吸引人才及企业迁入东城，形成广告人才聚集高地。对年营业收入达10亿元及以上，并完成年度营业收入增速指标的广告业企业，给予最高不超过20万元的资金支持。</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color="0B0000" w:fill="FFFFFF"/>
          <w:lang w:val="en-US" w:eastAsia="zh-CN"/>
        </w:rPr>
      </w:pPr>
      <w:r>
        <w:rPr>
          <w:rFonts w:hint="eastAsia" w:ascii="黑体" w:hAnsi="黑体" w:eastAsia="黑体" w:cs="黑体"/>
          <w:b w:val="0"/>
          <w:bCs w:val="0"/>
          <w:i w:val="0"/>
          <w:iCs w:val="0"/>
          <w:caps w:val="0"/>
          <w:color w:val="000000"/>
          <w:spacing w:val="0"/>
          <w:sz w:val="32"/>
          <w:szCs w:val="32"/>
          <w:highlight w:val="none"/>
          <w:shd w:val="clear" w:color="0B0000" w:fill="FFFFFF"/>
          <w:lang w:val="en-US" w:eastAsia="zh-CN"/>
        </w:rPr>
        <w:t>六、附则</w:t>
      </w:r>
    </w:p>
    <w:p>
      <w:pPr>
        <w:pStyle w:val="3"/>
        <w:widowControl/>
        <w:pBdr>
          <w:top w:val="none" w:color="auto" w:sz="0" w:space="0"/>
          <w:left w:val="none" w:color="auto" w:sz="0" w:space="0"/>
          <w:bottom w:val="none" w:color="auto" w:sz="0" w:space="0"/>
          <w:right w:val="none" w:color="auto" w:sz="0" w:space="0"/>
        </w:pBdr>
        <w:wordWrap/>
        <w:spacing w:before="0" w:beforeAutospacing="0" w:after="0" w:afterAutospacing="0" w:line="560" w:lineRule="exact"/>
        <w:ind w:left="0" w:leftChars="0" w:right="0" w:firstLine="640"/>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第二十条</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 xml:space="preserve"> 本政策自发布之日起实施，试行3年，相关细则与申报指南由北京市东城区商务局另行制定。</w:t>
      </w:r>
    </w:p>
    <w:p>
      <w:pPr>
        <w:pStyle w:val="3"/>
        <w:widowControl/>
        <w:pBdr>
          <w:top w:val="none" w:color="auto" w:sz="0" w:space="0"/>
          <w:left w:val="none" w:color="auto" w:sz="0" w:space="0"/>
          <w:bottom w:val="none" w:color="auto" w:sz="0" w:space="0"/>
          <w:right w:val="none" w:color="auto" w:sz="0" w:space="0"/>
        </w:pBdr>
        <w:wordWrap/>
        <w:spacing w:before="0" w:beforeAutospacing="0" w:after="0" w:afterAutospacing="0" w:line="560" w:lineRule="exact"/>
        <w:ind w:left="0" w:leftChars="0" w:right="0" w:firstLine="640"/>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第二十一条</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 xml:space="preserve"> 政策实施期间，根据行业发展重大变化或上级政策调整，由牵头部门提议，经东城区政府相关决议程序后予以修订。本政策由北京市东城区商务局负责解释。</w:t>
      </w:r>
    </w:p>
    <w:p>
      <w:pPr>
        <w:pStyle w:val="13"/>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第二十二条</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SA"/>
        </w:rPr>
        <w:t>项目申请单位按照当年度申报指南要求，及时申报并向相关职能部门提交真实、完整、有效的申请材料，项目申请单位对申报材料的真实性、完整性、有效性和合法性负责。</w:t>
      </w:r>
    </w:p>
    <w:p>
      <w:pPr>
        <w:pStyle w:val="13"/>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对不符合受理条件的申报项目不予受理，对申报材料不全的一次性告知申报单位需补齐的申报资料。</w:t>
      </w:r>
    </w:p>
    <w:p>
      <w:pPr>
        <w:pStyle w:val="13"/>
        <w:numPr>
          <w:ilvl w:val="0"/>
          <w:numId w:val="0"/>
        </w:numPr>
        <w:wordWrap/>
        <w:spacing w:before="0" w:beforeAutospacing="0" w:after="0" w:afterAutospacing="0" w:line="560" w:lineRule="exact"/>
        <w:ind w:left="0" w:leftChars="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color="0B0000" w:fill="FFFFFF"/>
          <w:lang w:val="en-US" w:eastAsia="zh-CN"/>
        </w:rPr>
        <w:t>第二十三条</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 xml:space="preserve"> 项目审核。北京市东城区商务局</w:t>
      </w:r>
      <w:r>
        <w:rPr>
          <w:rFonts w:hint="default" w:ascii="Times New Roman" w:hAnsi="Times New Roman" w:eastAsia="仿宋_GB2312" w:cs="Times New Roman"/>
          <w:color w:val="auto"/>
          <w:kern w:val="0"/>
          <w:sz w:val="32"/>
          <w:szCs w:val="32"/>
          <w:highlight w:val="none"/>
          <w:lang w:val="en-US" w:eastAsia="zh-CN" w:bidi="ar-SA"/>
        </w:rPr>
        <w:t>制定项目审核办法，明确审核标准和程序，组织开展项目审核工作。必要时通过专家评审、现场考察或专项审计等方式进行，确保项目评审工作公开、公平、公正。</w:t>
      </w:r>
    </w:p>
    <w:p>
      <w:pPr>
        <w:pStyle w:val="13"/>
        <w:numPr>
          <w:ilvl w:val="0"/>
          <w:numId w:val="0"/>
        </w:numPr>
        <w:wordWrap/>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pPr>
      <w:r>
        <w:rPr>
          <w:rFonts w:hint="eastAsia" w:ascii="Times New Roman" w:hAnsi="Times New Roman" w:eastAsia="仿宋_GB2312" w:cs="Times New Roman"/>
          <w:b/>
          <w:bCs/>
          <w:color w:val="auto"/>
          <w:kern w:val="0"/>
          <w:sz w:val="32"/>
          <w:szCs w:val="32"/>
          <w:highlight w:val="none"/>
          <w:lang w:val="en-US" w:eastAsia="zh-CN" w:bidi="ar-SA"/>
        </w:rPr>
        <w:t>第二十</w:t>
      </w:r>
      <w:r>
        <w:rPr>
          <w:rFonts w:hint="eastAsia" w:eastAsia="仿宋_GB2312" w:cs="Times New Roman"/>
          <w:b/>
          <w:bCs/>
          <w:color w:val="auto"/>
          <w:kern w:val="0"/>
          <w:sz w:val="32"/>
          <w:szCs w:val="32"/>
          <w:highlight w:val="none"/>
          <w:lang w:val="en-US" w:eastAsia="zh-CN" w:bidi="ar-SA"/>
        </w:rPr>
        <w:t>四</w:t>
      </w:r>
      <w:r>
        <w:rPr>
          <w:rFonts w:hint="eastAsia" w:ascii="Times New Roman" w:hAnsi="Times New Roman" w:eastAsia="仿宋_GB2312" w:cs="Times New Roman"/>
          <w:b/>
          <w:bCs/>
          <w:color w:val="auto"/>
          <w:kern w:val="0"/>
          <w:sz w:val="32"/>
          <w:szCs w:val="32"/>
          <w:highlight w:val="none"/>
          <w:lang w:val="en-US" w:eastAsia="zh-CN" w:bidi="ar-SA"/>
        </w:rPr>
        <w:t>条</w:t>
      </w:r>
      <w:r>
        <w:rPr>
          <w:rFonts w:hint="eastAsia" w:ascii="Times New Roman" w:hAnsi="Times New Roman" w:eastAsia="仿宋_GB2312" w:cs="Times New Roman"/>
          <w:color w:val="auto"/>
          <w:kern w:val="0"/>
          <w:sz w:val="32"/>
          <w:szCs w:val="32"/>
          <w:highlight w:val="none"/>
          <w:lang w:val="en-US" w:eastAsia="zh-CN" w:bidi="ar-SA"/>
        </w:rPr>
        <w:t xml:space="preserve"> </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根据</w:t>
      </w:r>
      <w:r>
        <w:rPr>
          <w:rFonts w:hint="eastAsia" w:ascii="仿宋_GB2312" w:hAnsi="仿宋_GB2312" w:eastAsia="仿宋_GB2312" w:cs="仿宋_GB2312"/>
          <w:sz w:val="32"/>
          <w:szCs w:val="32"/>
          <w:lang w:eastAsia="zh-CN"/>
        </w:rPr>
        <w:t>《北京市东城区促进产业高质量发展指导意见》</w:t>
      </w:r>
      <w:r>
        <w:rPr>
          <w:rFonts w:hint="eastAsia" w:ascii="仿宋_GB2312" w:hAnsi="仿宋_GB2312" w:eastAsia="仿宋_GB2312" w:cs="仿宋_GB2312"/>
          <w:b w:val="0"/>
          <w:bCs w:val="0"/>
          <w:i w:val="0"/>
          <w:iCs w:val="0"/>
          <w:caps w:val="0"/>
          <w:color w:val="000000"/>
          <w:spacing w:val="0"/>
          <w:sz w:val="32"/>
          <w:szCs w:val="32"/>
          <w:highlight w:val="none"/>
          <w:shd w:val="clear" w:color="0B0000" w:fill="FFFFFF"/>
          <w:lang w:val="en-US" w:eastAsia="zh-CN"/>
        </w:rPr>
        <w:t>第九条规定，同一企业的同一项目同时符合多项区级政策支持条件的，按照“从优不重复”原则予以支持。同一企业同时有多个项目符合区级政策支持条件的，由东城区相关部门组织专家评审会综合评估后确认项目申报是否通过。</w:t>
      </w:r>
    </w:p>
    <w:sectPr>
      <w:footerReference r:id="rId5" w:type="first"/>
      <w:headerReference r:id="rId3" w:type="default"/>
      <w:footerReference r:id="rId4" w:type="default"/>
      <w:pgSz w:w="11906" w:h="16838"/>
      <w:pgMar w:top="2098" w:right="1474" w:bottom="1984" w:left="1587" w:header="851" w:footer="1588"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rFonts w:ascii="Times New Roman" w:hAnsi="Times New Roman" w:eastAsia="宋体" w:cs="Times New Roman"/>
        <w:kern w:val="2"/>
        <w:sz w:val="18"/>
        <w:szCs w:val="18"/>
        <w:lang w:val="en-US" w:eastAsia="zh-CN" w:bidi="ar-SA"/>
      </w:rPr>
      <w:pict>
        <v:rect id="文本框 1" o:spid="_x0000_s4098"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jc w:val="center"/>
                  <w:rPr>
                    <w:rStyle w:val="16"/>
                    <w:rFonts w:ascii="宋体"/>
                    <w:sz w:val="28"/>
                  </w:rPr>
                </w:pPr>
                <w:r>
                  <w:rPr>
                    <w:rStyle w:val="16"/>
                    <w:rFonts w:ascii="宋体"/>
                    <w:color w:val="FFFFFF"/>
                    <w:kern w:val="0"/>
                    <w:sz w:val="28"/>
                    <w:szCs w:val="28"/>
                  </w:rPr>
                  <w:t>—</w:t>
                </w:r>
                <w:r>
                  <w:rPr>
                    <w:rStyle w:val="16"/>
                    <w:rFonts w:ascii="宋体"/>
                    <w:kern w:val="0"/>
                    <w:sz w:val="28"/>
                  </w:rPr>
                  <w:t>—</w:t>
                </w:r>
                <w:r>
                  <w:rPr>
                    <w:rStyle w:val="16"/>
                    <w:rFonts w:ascii="宋体"/>
                    <w:kern w:val="0"/>
                    <w:sz w:val="28"/>
                  </w:rPr>
                  <w:fldChar w:fldCharType="begin"/>
                </w:r>
                <w:r>
                  <w:rPr>
                    <w:rStyle w:val="16"/>
                    <w:rFonts w:ascii="宋体"/>
                    <w:kern w:val="0"/>
                    <w:sz w:val="28"/>
                  </w:rPr>
                  <w:instrText xml:space="preserve"> PAGE </w:instrText>
                </w:r>
                <w:r>
                  <w:rPr>
                    <w:rStyle w:val="16"/>
                    <w:rFonts w:ascii="宋体"/>
                    <w:kern w:val="0"/>
                    <w:sz w:val="28"/>
                  </w:rPr>
                  <w:fldChar w:fldCharType="separate"/>
                </w:r>
                <w:r>
                  <w:rPr>
                    <w:rStyle w:val="16"/>
                    <w:rFonts w:ascii="宋体"/>
                    <w:kern w:val="0"/>
                    <w:sz w:val="28"/>
                  </w:rPr>
                  <w:t>2</w:t>
                </w:r>
                <w:r>
                  <w:rPr>
                    <w:rStyle w:val="16"/>
                    <w:rFonts w:ascii="宋体"/>
                    <w:kern w:val="0"/>
                    <w:sz w:val="28"/>
                  </w:rPr>
                  <w:fldChar w:fldCharType="end"/>
                </w:r>
                <w:r>
                  <w:rPr>
                    <w:rStyle w:val="16"/>
                    <w:rFonts w:ascii="宋体"/>
                    <w:kern w:val="0"/>
                    <w:sz w:val="28"/>
                  </w:rPr>
                  <w:t>—</w:t>
                </w:r>
                <w:r>
                  <w:rPr>
                    <w:rStyle w:val="16"/>
                    <w:rFonts w:ascii="宋体"/>
                    <w:color w:val="FFFFFF"/>
                    <w:kern w:val="0"/>
                    <w:sz w:val="28"/>
                    <w:szCs w:val="28"/>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63F41"/>
    <w:multiLevelType w:val="singleLevel"/>
    <w:tmpl w:val="67763F4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1BD5"/>
    <w:rsid w:val="00010BA6"/>
    <w:rsid w:val="000141D7"/>
    <w:rsid w:val="0001488B"/>
    <w:rsid w:val="0001568A"/>
    <w:rsid w:val="00015A8D"/>
    <w:rsid w:val="000174E2"/>
    <w:rsid w:val="0001752B"/>
    <w:rsid w:val="00022201"/>
    <w:rsid w:val="00024253"/>
    <w:rsid w:val="000257D5"/>
    <w:rsid w:val="000319DB"/>
    <w:rsid w:val="00034B32"/>
    <w:rsid w:val="00035389"/>
    <w:rsid w:val="0003562A"/>
    <w:rsid w:val="00037451"/>
    <w:rsid w:val="0004351A"/>
    <w:rsid w:val="00044FEB"/>
    <w:rsid w:val="000526F8"/>
    <w:rsid w:val="000575DB"/>
    <w:rsid w:val="00060AE2"/>
    <w:rsid w:val="00063339"/>
    <w:rsid w:val="00065173"/>
    <w:rsid w:val="0007006D"/>
    <w:rsid w:val="00073C66"/>
    <w:rsid w:val="00073D16"/>
    <w:rsid w:val="000756D4"/>
    <w:rsid w:val="000776FF"/>
    <w:rsid w:val="0008070A"/>
    <w:rsid w:val="000835BB"/>
    <w:rsid w:val="0009241A"/>
    <w:rsid w:val="000932B1"/>
    <w:rsid w:val="00093975"/>
    <w:rsid w:val="000968E3"/>
    <w:rsid w:val="000A0EA2"/>
    <w:rsid w:val="000A3841"/>
    <w:rsid w:val="000A5409"/>
    <w:rsid w:val="000B3F95"/>
    <w:rsid w:val="000B41A9"/>
    <w:rsid w:val="000B6A64"/>
    <w:rsid w:val="000B72B3"/>
    <w:rsid w:val="000C017D"/>
    <w:rsid w:val="000C3C37"/>
    <w:rsid w:val="000C4C19"/>
    <w:rsid w:val="000C7F18"/>
    <w:rsid w:val="000D0C35"/>
    <w:rsid w:val="000E0875"/>
    <w:rsid w:val="000E666D"/>
    <w:rsid w:val="000E71DA"/>
    <w:rsid w:val="000F22D4"/>
    <w:rsid w:val="000F34E7"/>
    <w:rsid w:val="000F35A8"/>
    <w:rsid w:val="000F4703"/>
    <w:rsid w:val="0010193B"/>
    <w:rsid w:val="001025FB"/>
    <w:rsid w:val="00113FC0"/>
    <w:rsid w:val="00114A71"/>
    <w:rsid w:val="00124264"/>
    <w:rsid w:val="00126716"/>
    <w:rsid w:val="001276B4"/>
    <w:rsid w:val="00133C10"/>
    <w:rsid w:val="00135C14"/>
    <w:rsid w:val="00137522"/>
    <w:rsid w:val="001404A5"/>
    <w:rsid w:val="00152D14"/>
    <w:rsid w:val="00156C46"/>
    <w:rsid w:val="00163B4B"/>
    <w:rsid w:val="00174591"/>
    <w:rsid w:val="00176797"/>
    <w:rsid w:val="00182C58"/>
    <w:rsid w:val="00184CF5"/>
    <w:rsid w:val="00186DEC"/>
    <w:rsid w:val="0018717E"/>
    <w:rsid w:val="001A10DA"/>
    <w:rsid w:val="001A3F81"/>
    <w:rsid w:val="001A42FE"/>
    <w:rsid w:val="001A4FAF"/>
    <w:rsid w:val="001A6DC5"/>
    <w:rsid w:val="001B026F"/>
    <w:rsid w:val="001B035A"/>
    <w:rsid w:val="001B1786"/>
    <w:rsid w:val="001B22AC"/>
    <w:rsid w:val="001B3CC0"/>
    <w:rsid w:val="001B42B9"/>
    <w:rsid w:val="001B68B8"/>
    <w:rsid w:val="001B6ADB"/>
    <w:rsid w:val="001B70C6"/>
    <w:rsid w:val="001C0F0B"/>
    <w:rsid w:val="001C26BD"/>
    <w:rsid w:val="001C3A0F"/>
    <w:rsid w:val="001C691E"/>
    <w:rsid w:val="001D0289"/>
    <w:rsid w:val="001D143B"/>
    <w:rsid w:val="001D31ED"/>
    <w:rsid w:val="001D5C8D"/>
    <w:rsid w:val="001D5F01"/>
    <w:rsid w:val="001E6429"/>
    <w:rsid w:val="001E667B"/>
    <w:rsid w:val="001F07BF"/>
    <w:rsid w:val="001F1876"/>
    <w:rsid w:val="001F23DC"/>
    <w:rsid w:val="001F27B4"/>
    <w:rsid w:val="001F4C9D"/>
    <w:rsid w:val="001F68D1"/>
    <w:rsid w:val="0020339D"/>
    <w:rsid w:val="00203D75"/>
    <w:rsid w:val="00203E51"/>
    <w:rsid w:val="002050FE"/>
    <w:rsid w:val="0020521A"/>
    <w:rsid w:val="00206036"/>
    <w:rsid w:val="00211F84"/>
    <w:rsid w:val="00213C6D"/>
    <w:rsid w:val="00216E14"/>
    <w:rsid w:val="00222957"/>
    <w:rsid w:val="0022458C"/>
    <w:rsid w:val="002302DE"/>
    <w:rsid w:val="00230AE6"/>
    <w:rsid w:val="00237AAF"/>
    <w:rsid w:val="00240D0D"/>
    <w:rsid w:val="00245DE3"/>
    <w:rsid w:val="00250A1A"/>
    <w:rsid w:val="00250DF1"/>
    <w:rsid w:val="00252EF5"/>
    <w:rsid w:val="00257FBF"/>
    <w:rsid w:val="00260B25"/>
    <w:rsid w:val="00260E1B"/>
    <w:rsid w:val="00265326"/>
    <w:rsid w:val="00265944"/>
    <w:rsid w:val="00272C9B"/>
    <w:rsid w:val="00274D3D"/>
    <w:rsid w:val="00277480"/>
    <w:rsid w:val="00277866"/>
    <w:rsid w:val="00277BD1"/>
    <w:rsid w:val="00286536"/>
    <w:rsid w:val="00287292"/>
    <w:rsid w:val="00290852"/>
    <w:rsid w:val="00293BE1"/>
    <w:rsid w:val="00296A87"/>
    <w:rsid w:val="002A0BBF"/>
    <w:rsid w:val="002A465D"/>
    <w:rsid w:val="002A481E"/>
    <w:rsid w:val="002A6296"/>
    <w:rsid w:val="002A7310"/>
    <w:rsid w:val="002B4834"/>
    <w:rsid w:val="002C5061"/>
    <w:rsid w:val="002C6DC8"/>
    <w:rsid w:val="002E0353"/>
    <w:rsid w:val="002E47A6"/>
    <w:rsid w:val="002E545F"/>
    <w:rsid w:val="00301AF8"/>
    <w:rsid w:val="00310F0F"/>
    <w:rsid w:val="00312823"/>
    <w:rsid w:val="00314B2B"/>
    <w:rsid w:val="00314C94"/>
    <w:rsid w:val="003224EC"/>
    <w:rsid w:val="0032268B"/>
    <w:rsid w:val="00324198"/>
    <w:rsid w:val="00324292"/>
    <w:rsid w:val="00325B74"/>
    <w:rsid w:val="00331302"/>
    <w:rsid w:val="003325B7"/>
    <w:rsid w:val="00335505"/>
    <w:rsid w:val="0034091C"/>
    <w:rsid w:val="00347BCD"/>
    <w:rsid w:val="00350150"/>
    <w:rsid w:val="003536BC"/>
    <w:rsid w:val="00367817"/>
    <w:rsid w:val="00367D33"/>
    <w:rsid w:val="0037251E"/>
    <w:rsid w:val="00376207"/>
    <w:rsid w:val="003809D9"/>
    <w:rsid w:val="003845BC"/>
    <w:rsid w:val="003869C6"/>
    <w:rsid w:val="003921AA"/>
    <w:rsid w:val="003932B1"/>
    <w:rsid w:val="00395554"/>
    <w:rsid w:val="00396694"/>
    <w:rsid w:val="003A375A"/>
    <w:rsid w:val="003A57D7"/>
    <w:rsid w:val="003B033A"/>
    <w:rsid w:val="003B2BFA"/>
    <w:rsid w:val="003B5AF6"/>
    <w:rsid w:val="003B6969"/>
    <w:rsid w:val="003B6ACD"/>
    <w:rsid w:val="003B712E"/>
    <w:rsid w:val="003C0761"/>
    <w:rsid w:val="003C14E3"/>
    <w:rsid w:val="003C1640"/>
    <w:rsid w:val="003C2FEF"/>
    <w:rsid w:val="003C69B3"/>
    <w:rsid w:val="003C74AF"/>
    <w:rsid w:val="003D0615"/>
    <w:rsid w:val="003D681F"/>
    <w:rsid w:val="003D6D7B"/>
    <w:rsid w:val="003D738E"/>
    <w:rsid w:val="003E09ED"/>
    <w:rsid w:val="003E21B1"/>
    <w:rsid w:val="003E4FD3"/>
    <w:rsid w:val="003E5BF8"/>
    <w:rsid w:val="003E6051"/>
    <w:rsid w:val="003F395E"/>
    <w:rsid w:val="003F4E11"/>
    <w:rsid w:val="004027E6"/>
    <w:rsid w:val="00405C39"/>
    <w:rsid w:val="004111A7"/>
    <w:rsid w:val="00412B2C"/>
    <w:rsid w:val="004147A2"/>
    <w:rsid w:val="004337FC"/>
    <w:rsid w:val="004410D8"/>
    <w:rsid w:val="004410E3"/>
    <w:rsid w:val="004414F6"/>
    <w:rsid w:val="00441EED"/>
    <w:rsid w:val="00453382"/>
    <w:rsid w:val="00454EF1"/>
    <w:rsid w:val="00457503"/>
    <w:rsid w:val="00460A89"/>
    <w:rsid w:val="0046588A"/>
    <w:rsid w:val="00466BB5"/>
    <w:rsid w:val="004677F4"/>
    <w:rsid w:val="004726E5"/>
    <w:rsid w:val="0049055C"/>
    <w:rsid w:val="004931FE"/>
    <w:rsid w:val="0049530D"/>
    <w:rsid w:val="00497297"/>
    <w:rsid w:val="00497442"/>
    <w:rsid w:val="00497DE9"/>
    <w:rsid w:val="004A1556"/>
    <w:rsid w:val="004A1F69"/>
    <w:rsid w:val="004A3E0F"/>
    <w:rsid w:val="004A71BD"/>
    <w:rsid w:val="004C498D"/>
    <w:rsid w:val="004C7051"/>
    <w:rsid w:val="004D3C5B"/>
    <w:rsid w:val="004D7825"/>
    <w:rsid w:val="004E3C23"/>
    <w:rsid w:val="004E3D21"/>
    <w:rsid w:val="004E4594"/>
    <w:rsid w:val="004F1486"/>
    <w:rsid w:val="004F462B"/>
    <w:rsid w:val="004F678E"/>
    <w:rsid w:val="004F6C9B"/>
    <w:rsid w:val="004F78A4"/>
    <w:rsid w:val="0050110D"/>
    <w:rsid w:val="0050165C"/>
    <w:rsid w:val="00504286"/>
    <w:rsid w:val="005059AF"/>
    <w:rsid w:val="0052120F"/>
    <w:rsid w:val="005228EE"/>
    <w:rsid w:val="005241B3"/>
    <w:rsid w:val="00526440"/>
    <w:rsid w:val="00531278"/>
    <w:rsid w:val="005313E6"/>
    <w:rsid w:val="00534CEB"/>
    <w:rsid w:val="005422D3"/>
    <w:rsid w:val="00543DA3"/>
    <w:rsid w:val="00544481"/>
    <w:rsid w:val="00547FB5"/>
    <w:rsid w:val="005508A6"/>
    <w:rsid w:val="005533A8"/>
    <w:rsid w:val="00561EAF"/>
    <w:rsid w:val="0057035E"/>
    <w:rsid w:val="005704C6"/>
    <w:rsid w:val="00572187"/>
    <w:rsid w:val="00574555"/>
    <w:rsid w:val="00575959"/>
    <w:rsid w:val="005814F4"/>
    <w:rsid w:val="005843C6"/>
    <w:rsid w:val="005852BE"/>
    <w:rsid w:val="00586665"/>
    <w:rsid w:val="00593096"/>
    <w:rsid w:val="005A043A"/>
    <w:rsid w:val="005A0F92"/>
    <w:rsid w:val="005A2EA4"/>
    <w:rsid w:val="005A59CA"/>
    <w:rsid w:val="005B0DE2"/>
    <w:rsid w:val="005B3E04"/>
    <w:rsid w:val="005B63D5"/>
    <w:rsid w:val="005C1D3D"/>
    <w:rsid w:val="005C209E"/>
    <w:rsid w:val="005C65CE"/>
    <w:rsid w:val="005D145A"/>
    <w:rsid w:val="005D4B2A"/>
    <w:rsid w:val="005D5B4C"/>
    <w:rsid w:val="005D6494"/>
    <w:rsid w:val="005E1981"/>
    <w:rsid w:val="005E2F02"/>
    <w:rsid w:val="005E678E"/>
    <w:rsid w:val="005E7126"/>
    <w:rsid w:val="005F32E0"/>
    <w:rsid w:val="005F6B3A"/>
    <w:rsid w:val="005F7042"/>
    <w:rsid w:val="006018BF"/>
    <w:rsid w:val="006064BB"/>
    <w:rsid w:val="0060761C"/>
    <w:rsid w:val="00607A1C"/>
    <w:rsid w:val="0061041A"/>
    <w:rsid w:val="00611F37"/>
    <w:rsid w:val="00614F70"/>
    <w:rsid w:val="00617079"/>
    <w:rsid w:val="00623B3E"/>
    <w:rsid w:val="006253FE"/>
    <w:rsid w:val="00627915"/>
    <w:rsid w:val="00632177"/>
    <w:rsid w:val="006327AE"/>
    <w:rsid w:val="0063316F"/>
    <w:rsid w:val="006400A9"/>
    <w:rsid w:val="00640DE4"/>
    <w:rsid w:val="00644948"/>
    <w:rsid w:val="00645F67"/>
    <w:rsid w:val="00646074"/>
    <w:rsid w:val="00647A0F"/>
    <w:rsid w:val="0065097A"/>
    <w:rsid w:val="006510B6"/>
    <w:rsid w:val="00656405"/>
    <w:rsid w:val="00657551"/>
    <w:rsid w:val="00663432"/>
    <w:rsid w:val="0067083F"/>
    <w:rsid w:val="006721CB"/>
    <w:rsid w:val="00672A79"/>
    <w:rsid w:val="00673F69"/>
    <w:rsid w:val="006804B4"/>
    <w:rsid w:val="006814B8"/>
    <w:rsid w:val="00683A6F"/>
    <w:rsid w:val="00683F32"/>
    <w:rsid w:val="00687120"/>
    <w:rsid w:val="00693F78"/>
    <w:rsid w:val="00695DFD"/>
    <w:rsid w:val="00697518"/>
    <w:rsid w:val="00697A04"/>
    <w:rsid w:val="006A0CBA"/>
    <w:rsid w:val="006A2956"/>
    <w:rsid w:val="006A3BD0"/>
    <w:rsid w:val="006A3E12"/>
    <w:rsid w:val="006A7D32"/>
    <w:rsid w:val="006B1464"/>
    <w:rsid w:val="006B231B"/>
    <w:rsid w:val="006B246E"/>
    <w:rsid w:val="006B3AF0"/>
    <w:rsid w:val="006B50C3"/>
    <w:rsid w:val="006B76FA"/>
    <w:rsid w:val="006C2A4B"/>
    <w:rsid w:val="006C5014"/>
    <w:rsid w:val="006D0C7F"/>
    <w:rsid w:val="006D2557"/>
    <w:rsid w:val="006D668E"/>
    <w:rsid w:val="006D6EC9"/>
    <w:rsid w:val="006E04E0"/>
    <w:rsid w:val="006E5590"/>
    <w:rsid w:val="006E7ED1"/>
    <w:rsid w:val="006F1200"/>
    <w:rsid w:val="007008AB"/>
    <w:rsid w:val="007019DA"/>
    <w:rsid w:val="00702D83"/>
    <w:rsid w:val="00715111"/>
    <w:rsid w:val="00715A7C"/>
    <w:rsid w:val="007206AE"/>
    <w:rsid w:val="007223FB"/>
    <w:rsid w:val="00723737"/>
    <w:rsid w:val="00731271"/>
    <w:rsid w:val="007337E0"/>
    <w:rsid w:val="00734941"/>
    <w:rsid w:val="007353BB"/>
    <w:rsid w:val="007361A5"/>
    <w:rsid w:val="0073696A"/>
    <w:rsid w:val="00737B76"/>
    <w:rsid w:val="00740510"/>
    <w:rsid w:val="00740537"/>
    <w:rsid w:val="00745B3C"/>
    <w:rsid w:val="00747586"/>
    <w:rsid w:val="007517F5"/>
    <w:rsid w:val="00756201"/>
    <w:rsid w:val="007612A6"/>
    <w:rsid w:val="00763201"/>
    <w:rsid w:val="00764257"/>
    <w:rsid w:val="00764646"/>
    <w:rsid w:val="00766500"/>
    <w:rsid w:val="00770A04"/>
    <w:rsid w:val="0077486E"/>
    <w:rsid w:val="007769AA"/>
    <w:rsid w:val="0078254C"/>
    <w:rsid w:val="00784F9A"/>
    <w:rsid w:val="0078554E"/>
    <w:rsid w:val="0078636A"/>
    <w:rsid w:val="00786EC0"/>
    <w:rsid w:val="00787BE0"/>
    <w:rsid w:val="00790A87"/>
    <w:rsid w:val="00792B3F"/>
    <w:rsid w:val="00794131"/>
    <w:rsid w:val="007A4CFF"/>
    <w:rsid w:val="007B134A"/>
    <w:rsid w:val="007B4C44"/>
    <w:rsid w:val="007B606C"/>
    <w:rsid w:val="007D2E3A"/>
    <w:rsid w:val="007D449B"/>
    <w:rsid w:val="007D6634"/>
    <w:rsid w:val="007E3B99"/>
    <w:rsid w:val="007E4295"/>
    <w:rsid w:val="007E5098"/>
    <w:rsid w:val="007E698A"/>
    <w:rsid w:val="007E78E0"/>
    <w:rsid w:val="007E7B33"/>
    <w:rsid w:val="007F20DE"/>
    <w:rsid w:val="007F3019"/>
    <w:rsid w:val="007F34EB"/>
    <w:rsid w:val="007F3726"/>
    <w:rsid w:val="007F66EE"/>
    <w:rsid w:val="007F7999"/>
    <w:rsid w:val="00800EFC"/>
    <w:rsid w:val="008045F9"/>
    <w:rsid w:val="00804D08"/>
    <w:rsid w:val="0080783A"/>
    <w:rsid w:val="008148C9"/>
    <w:rsid w:val="00815292"/>
    <w:rsid w:val="0082492A"/>
    <w:rsid w:val="0082603C"/>
    <w:rsid w:val="00830900"/>
    <w:rsid w:val="00831A2A"/>
    <w:rsid w:val="00832046"/>
    <w:rsid w:val="0083269A"/>
    <w:rsid w:val="00834D09"/>
    <w:rsid w:val="0083567E"/>
    <w:rsid w:val="00837D1D"/>
    <w:rsid w:val="008436F3"/>
    <w:rsid w:val="00843B39"/>
    <w:rsid w:val="00845AB8"/>
    <w:rsid w:val="00845B34"/>
    <w:rsid w:val="00846DDB"/>
    <w:rsid w:val="008513C9"/>
    <w:rsid w:val="00862CA3"/>
    <w:rsid w:val="00864120"/>
    <w:rsid w:val="00865709"/>
    <w:rsid w:val="00865772"/>
    <w:rsid w:val="008709DF"/>
    <w:rsid w:val="00873DE5"/>
    <w:rsid w:val="0087451C"/>
    <w:rsid w:val="00882C32"/>
    <w:rsid w:val="008848C3"/>
    <w:rsid w:val="0089564A"/>
    <w:rsid w:val="008A1C45"/>
    <w:rsid w:val="008A4291"/>
    <w:rsid w:val="008A497F"/>
    <w:rsid w:val="008B51AB"/>
    <w:rsid w:val="008B7A76"/>
    <w:rsid w:val="008C0535"/>
    <w:rsid w:val="008C2320"/>
    <w:rsid w:val="008C5237"/>
    <w:rsid w:val="008C78EE"/>
    <w:rsid w:val="008D4B58"/>
    <w:rsid w:val="008D6FBC"/>
    <w:rsid w:val="008E4760"/>
    <w:rsid w:val="008F1B14"/>
    <w:rsid w:val="008F1BAD"/>
    <w:rsid w:val="008F1CCA"/>
    <w:rsid w:val="008F6771"/>
    <w:rsid w:val="0090434A"/>
    <w:rsid w:val="00905131"/>
    <w:rsid w:val="009111B7"/>
    <w:rsid w:val="009135DD"/>
    <w:rsid w:val="009156E4"/>
    <w:rsid w:val="00917566"/>
    <w:rsid w:val="00917CFA"/>
    <w:rsid w:val="009232B5"/>
    <w:rsid w:val="00923F08"/>
    <w:rsid w:val="0092567C"/>
    <w:rsid w:val="00925CC3"/>
    <w:rsid w:val="009329DD"/>
    <w:rsid w:val="00932F91"/>
    <w:rsid w:val="00936A81"/>
    <w:rsid w:val="00946E1B"/>
    <w:rsid w:val="00952DDF"/>
    <w:rsid w:val="00954499"/>
    <w:rsid w:val="00957F1D"/>
    <w:rsid w:val="00973D87"/>
    <w:rsid w:val="009836C1"/>
    <w:rsid w:val="00986C64"/>
    <w:rsid w:val="00994109"/>
    <w:rsid w:val="009A3BAB"/>
    <w:rsid w:val="009A44BE"/>
    <w:rsid w:val="009B2CCB"/>
    <w:rsid w:val="009B5DA0"/>
    <w:rsid w:val="009B77B1"/>
    <w:rsid w:val="009C3BD6"/>
    <w:rsid w:val="009C45FA"/>
    <w:rsid w:val="009C4AAA"/>
    <w:rsid w:val="009D0890"/>
    <w:rsid w:val="009D2E49"/>
    <w:rsid w:val="009D4120"/>
    <w:rsid w:val="009D58FA"/>
    <w:rsid w:val="009D5ED7"/>
    <w:rsid w:val="009D5FAD"/>
    <w:rsid w:val="009D680B"/>
    <w:rsid w:val="009E138B"/>
    <w:rsid w:val="009E3A6A"/>
    <w:rsid w:val="009E3DC0"/>
    <w:rsid w:val="009E3EB6"/>
    <w:rsid w:val="009E5020"/>
    <w:rsid w:val="009F0EB7"/>
    <w:rsid w:val="009F67CE"/>
    <w:rsid w:val="009F7E6F"/>
    <w:rsid w:val="00A002F7"/>
    <w:rsid w:val="00A12FDE"/>
    <w:rsid w:val="00A13600"/>
    <w:rsid w:val="00A14EB0"/>
    <w:rsid w:val="00A205AB"/>
    <w:rsid w:val="00A207A1"/>
    <w:rsid w:val="00A25766"/>
    <w:rsid w:val="00A30291"/>
    <w:rsid w:val="00A30E29"/>
    <w:rsid w:val="00A32C79"/>
    <w:rsid w:val="00A41B1B"/>
    <w:rsid w:val="00A514D3"/>
    <w:rsid w:val="00A51824"/>
    <w:rsid w:val="00A548E9"/>
    <w:rsid w:val="00A56176"/>
    <w:rsid w:val="00A60FEA"/>
    <w:rsid w:val="00A622D7"/>
    <w:rsid w:val="00A62F4A"/>
    <w:rsid w:val="00A650FD"/>
    <w:rsid w:val="00A7106E"/>
    <w:rsid w:val="00A7170B"/>
    <w:rsid w:val="00A71B40"/>
    <w:rsid w:val="00A7200B"/>
    <w:rsid w:val="00A74B9C"/>
    <w:rsid w:val="00A770ED"/>
    <w:rsid w:val="00A7714C"/>
    <w:rsid w:val="00A80080"/>
    <w:rsid w:val="00A81BDE"/>
    <w:rsid w:val="00A824AB"/>
    <w:rsid w:val="00A82656"/>
    <w:rsid w:val="00A86E46"/>
    <w:rsid w:val="00A9605B"/>
    <w:rsid w:val="00AA0196"/>
    <w:rsid w:val="00AA115E"/>
    <w:rsid w:val="00AA64B4"/>
    <w:rsid w:val="00AB3B21"/>
    <w:rsid w:val="00AB5DEE"/>
    <w:rsid w:val="00AC04F2"/>
    <w:rsid w:val="00AC2A21"/>
    <w:rsid w:val="00AD3777"/>
    <w:rsid w:val="00AD7BB6"/>
    <w:rsid w:val="00AE260C"/>
    <w:rsid w:val="00AE47EB"/>
    <w:rsid w:val="00AE500C"/>
    <w:rsid w:val="00AE5431"/>
    <w:rsid w:val="00AF1493"/>
    <w:rsid w:val="00AF2B7D"/>
    <w:rsid w:val="00AF3596"/>
    <w:rsid w:val="00B02F97"/>
    <w:rsid w:val="00B04DCD"/>
    <w:rsid w:val="00B05CAC"/>
    <w:rsid w:val="00B061E1"/>
    <w:rsid w:val="00B12498"/>
    <w:rsid w:val="00B1368A"/>
    <w:rsid w:val="00B142BB"/>
    <w:rsid w:val="00B17EB8"/>
    <w:rsid w:val="00B27782"/>
    <w:rsid w:val="00B278CF"/>
    <w:rsid w:val="00B33EA9"/>
    <w:rsid w:val="00B35997"/>
    <w:rsid w:val="00B419BA"/>
    <w:rsid w:val="00B444D1"/>
    <w:rsid w:val="00B5486A"/>
    <w:rsid w:val="00B556C5"/>
    <w:rsid w:val="00B6413C"/>
    <w:rsid w:val="00B65082"/>
    <w:rsid w:val="00B733F3"/>
    <w:rsid w:val="00B76CA5"/>
    <w:rsid w:val="00B773A6"/>
    <w:rsid w:val="00B82D73"/>
    <w:rsid w:val="00B86BCD"/>
    <w:rsid w:val="00B911CE"/>
    <w:rsid w:val="00B92A06"/>
    <w:rsid w:val="00B94E00"/>
    <w:rsid w:val="00BA08C9"/>
    <w:rsid w:val="00BA4990"/>
    <w:rsid w:val="00BB4CDF"/>
    <w:rsid w:val="00BB52DC"/>
    <w:rsid w:val="00BC326F"/>
    <w:rsid w:val="00BC4B28"/>
    <w:rsid w:val="00BD0B56"/>
    <w:rsid w:val="00BD18A0"/>
    <w:rsid w:val="00BD5E68"/>
    <w:rsid w:val="00BE1F80"/>
    <w:rsid w:val="00BE39D5"/>
    <w:rsid w:val="00BE4551"/>
    <w:rsid w:val="00BE5D0C"/>
    <w:rsid w:val="00BF0691"/>
    <w:rsid w:val="00BF2879"/>
    <w:rsid w:val="00BF4825"/>
    <w:rsid w:val="00BF6BA0"/>
    <w:rsid w:val="00C061DB"/>
    <w:rsid w:val="00C06256"/>
    <w:rsid w:val="00C06C86"/>
    <w:rsid w:val="00C1289E"/>
    <w:rsid w:val="00C1309B"/>
    <w:rsid w:val="00C22716"/>
    <w:rsid w:val="00C2325F"/>
    <w:rsid w:val="00C23BDE"/>
    <w:rsid w:val="00C250F2"/>
    <w:rsid w:val="00C26095"/>
    <w:rsid w:val="00C274F4"/>
    <w:rsid w:val="00C27556"/>
    <w:rsid w:val="00C37CF7"/>
    <w:rsid w:val="00C50332"/>
    <w:rsid w:val="00C53A8C"/>
    <w:rsid w:val="00C55608"/>
    <w:rsid w:val="00C564D6"/>
    <w:rsid w:val="00C56556"/>
    <w:rsid w:val="00C57841"/>
    <w:rsid w:val="00C57CAB"/>
    <w:rsid w:val="00C60377"/>
    <w:rsid w:val="00C62F38"/>
    <w:rsid w:val="00C64BB3"/>
    <w:rsid w:val="00C676FF"/>
    <w:rsid w:val="00C73E47"/>
    <w:rsid w:val="00C76980"/>
    <w:rsid w:val="00C77660"/>
    <w:rsid w:val="00C80DAE"/>
    <w:rsid w:val="00C84626"/>
    <w:rsid w:val="00C87813"/>
    <w:rsid w:val="00C91BE7"/>
    <w:rsid w:val="00C9368A"/>
    <w:rsid w:val="00C943C2"/>
    <w:rsid w:val="00C96AFF"/>
    <w:rsid w:val="00CB1295"/>
    <w:rsid w:val="00CB18D4"/>
    <w:rsid w:val="00CB64A9"/>
    <w:rsid w:val="00CB7C9A"/>
    <w:rsid w:val="00CC1794"/>
    <w:rsid w:val="00CC1A3F"/>
    <w:rsid w:val="00CC5898"/>
    <w:rsid w:val="00CC5C21"/>
    <w:rsid w:val="00CC7991"/>
    <w:rsid w:val="00CC7C10"/>
    <w:rsid w:val="00CD09D4"/>
    <w:rsid w:val="00CD2042"/>
    <w:rsid w:val="00CD2954"/>
    <w:rsid w:val="00CD3C04"/>
    <w:rsid w:val="00CD4783"/>
    <w:rsid w:val="00CD6041"/>
    <w:rsid w:val="00CD67EB"/>
    <w:rsid w:val="00CE06A9"/>
    <w:rsid w:val="00CE2AC1"/>
    <w:rsid w:val="00CE67AF"/>
    <w:rsid w:val="00CE7500"/>
    <w:rsid w:val="00CF1CBD"/>
    <w:rsid w:val="00CF2923"/>
    <w:rsid w:val="00CF2F52"/>
    <w:rsid w:val="00CF3087"/>
    <w:rsid w:val="00D0272C"/>
    <w:rsid w:val="00D038D5"/>
    <w:rsid w:val="00D04009"/>
    <w:rsid w:val="00D048A6"/>
    <w:rsid w:val="00D13613"/>
    <w:rsid w:val="00D15330"/>
    <w:rsid w:val="00D15D3B"/>
    <w:rsid w:val="00D17151"/>
    <w:rsid w:val="00D25358"/>
    <w:rsid w:val="00D25590"/>
    <w:rsid w:val="00D27082"/>
    <w:rsid w:val="00D316BE"/>
    <w:rsid w:val="00D32625"/>
    <w:rsid w:val="00D32B80"/>
    <w:rsid w:val="00D37F8C"/>
    <w:rsid w:val="00D40E9C"/>
    <w:rsid w:val="00D443C4"/>
    <w:rsid w:val="00D509ED"/>
    <w:rsid w:val="00D53CED"/>
    <w:rsid w:val="00D63C76"/>
    <w:rsid w:val="00D70FE6"/>
    <w:rsid w:val="00D7206B"/>
    <w:rsid w:val="00D8024F"/>
    <w:rsid w:val="00D8119F"/>
    <w:rsid w:val="00D8136D"/>
    <w:rsid w:val="00D814F1"/>
    <w:rsid w:val="00D844AE"/>
    <w:rsid w:val="00D851BB"/>
    <w:rsid w:val="00D856B9"/>
    <w:rsid w:val="00D9731B"/>
    <w:rsid w:val="00DA23A6"/>
    <w:rsid w:val="00DA2847"/>
    <w:rsid w:val="00DA6EEC"/>
    <w:rsid w:val="00DA6FEC"/>
    <w:rsid w:val="00DB10A8"/>
    <w:rsid w:val="00DB1EBF"/>
    <w:rsid w:val="00DB758B"/>
    <w:rsid w:val="00DC08E0"/>
    <w:rsid w:val="00DE6A2F"/>
    <w:rsid w:val="00DF00A3"/>
    <w:rsid w:val="00DF00E3"/>
    <w:rsid w:val="00DF430E"/>
    <w:rsid w:val="00DF43CF"/>
    <w:rsid w:val="00E0225B"/>
    <w:rsid w:val="00E0365C"/>
    <w:rsid w:val="00E03AFF"/>
    <w:rsid w:val="00E04BC0"/>
    <w:rsid w:val="00E05DE0"/>
    <w:rsid w:val="00E06994"/>
    <w:rsid w:val="00E12063"/>
    <w:rsid w:val="00E155EB"/>
    <w:rsid w:val="00E16439"/>
    <w:rsid w:val="00E26D7E"/>
    <w:rsid w:val="00E30A3B"/>
    <w:rsid w:val="00E3630D"/>
    <w:rsid w:val="00E37640"/>
    <w:rsid w:val="00E44F16"/>
    <w:rsid w:val="00E478F8"/>
    <w:rsid w:val="00E50B1F"/>
    <w:rsid w:val="00E548BC"/>
    <w:rsid w:val="00E54EDA"/>
    <w:rsid w:val="00E6073C"/>
    <w:rsid w:val="00E62D7B"/>
    <w:rsid w:val="00E6337D"/>
    <w:rsid w:val="00E67A8B"/>
    <w:rsid w:val="00E71344"/>
    <w:rsid w:val="00E71CB0"/>
    <w:rsid w:val="00E731A7"/>
    <w:rsid w:val="00E733A2"/>
    <w:rsid w:val="00E73F75"/>
    <w:rsid w:val="00E777EA"/>
    <w:rsid w:val="00E86DCD"/>
    <w:rsid w:val="00E86ED5"/>
    <w:rsid w:val="00E8785C"/>
    <w:rsid w:val="00E90208"/>
    <w:rsid w:val="00E92B3D"/>
    <w:rsid w:val="00E960C7"/>
    <w:rsid w:val="00EA12EF"/>
    <w:rsid w:val="00EA13CF"/>
    <w:rsid w:val="00EA3248"/>
    <w:rsid w:val="00EB4457"/>
    <w:rsid w:val="00EB4FDF"/>
    <w:rsid w:val="00EC1021"/>
    <w:rsid w:val="00EC2645"/>
    <w:rsid w:val="00EC6BE0"/>
    <w:rsid w:val="00EC7F9D"/>
    <w:rsid w:val="00ED0E76"/>
    <w:rsid w:val="00ED0F2C"/>
    <w:rsid w:val="00EE10F7"/>
    <w:rsid w:val="00EE3048"/>
    <w:rsid w:val="00EE583F"/>
    <w:rsid w:val="00EE6727"/>
    <w:rsid w:val="00EE69D2"/>
    <w:rsid w:val="00EF1582"/>
    <w:rsid w:val="00EF40E7"/>
    <w:rsid w:val="00EF55F1"/>
    <w:rsid w:val="00EF59B8"/>
    <w:rsid w:val="00EF7F27"/>
    <w:rsid w:val="00F020FF"/>
    <w:rsid w:val="00F041FE"/>
    <w:rsid w:val="00F1512F"/>
    <w:rsid w:val="00F15BB1"/>
    <w:rsid w:val="00F178A4"/>
    <w:rsid w:val="00F223F1"/>
    <w:rsid w:val="00F234F9"/>
    <w:rsid w:val="00F25C19"/>
    <w:rsid w:val="00F3083C"/>
    <w:rsid w:val="00F34D49"/>
    <w:rsid w:val="00F40EC5"/>
    <w:rsid w:val="00F4114A"/>
    <w:rsid w:val="00F43C83"/>
    <w:rsid w:val="00F43D96"/>
    <w:rsid w:val="00F5349E"/>
    <w:rsid w:val="00F543B7"/>
    <w:rsid w:val="00F576F3"/>
    <w:rsid w:val="00F64733"/>
    <w:rsid w:val="00F741AA"/>
    <w:rsid w:val="00F7420D"/>
    <w:rsid w:val="00F74929"/>
    <w:rsid w:val="00F75CBC"/>
    <w:rsid w:val="00F80355"/>
    <w:rsid w:val="00F803AA"/>
    <w:rsid w:val="00F843B9"/>
    <w:rsid w:val="00F85462"/>
    <w:rsid w:val="00F8615A"/>
    <w:rsid w:val="00F93267"/>
    <w:rsid w:val="00F94500"/>
    <w:rsid w:val="00FA6E38"/>
    <w:rsid w:val="00FA7AC2"/>
    <w:rsid w:val="00FB10DE"/>
    <w:rsid w:val="00FB1AC2"/>
    <w:rsid w:val="00FB1C0B"/>
    <w:rsid w:val="00FB3B3B"/>
    <w:rsid w:val="00FB47F3"/>
    <w:rsid w:val="00FC630C"/>
    <w:rsid w:val="00FC7319"/>
    <w:rsid w:val="00FD503A"/>
    <w:rsid w:val="00FD784A"/>
    <w:rsid w:val="00FE39F1"/>
    <w:rsid w:val="00FE412C"/>
    <w:rsid w:val="00FF4FCF"/>
    <w:rsid w:val="00FF58BE"/>
    <w:rsid w:val="02631D6A"/>
    <w:rsid w:val="02BC1DB1"/>
    <w:rsid w:val="03597962"/>
    <w:rsid w:val="037B46EF"/>
    <w:rsid w:val="03E56E09"/>
    <w:rsid w:val="056D3430"/>
    <w:rsid w:val="063B1930"/>
    <w:rsid w:val="063D4F92"/>
    <w:rsid w:val="07353C38"/>
    <w:rsid w:val="076D78AC"/>
    <w:rsid w:val="07F605A9"/>
    <w:rsid w:val="09AC02DF"/>
    <w:rsid w:val="0AC815FF"/>
    <w:rsid w:val="0BD858BD"/>
    <w:rsid w:val="0D695512"/>
    <w:rsid w:val="0D6F5421"/>
    <w:rsid w:val="0D8D561C"/>
    <w:rsid w:val="0DC11D5D"/>
    <w:rsid w:val="0DD96660"/>
    <w:rsid w:val="0EE420D6"/>
    <w:rsid w:val="0F083B3C"/>
    <w:rsid w:val="0F3D7CF5"/>
    <w:rsid w:val="10986E80"/>
    <w:rsid w:val="10AA47EE"/>
    <w:rsid w:val="11756D96"/>
    <w:rsid w:val="1199365C"/>
    <w:rsid w:val="11CD529E"/>
    <w:rsid w:val="12342BAA"/>
    <w:rsid w:val="12A96364"/>
    <w:rsid w:val="13036F4C"/>
    <w:rsid w:val="13C0137B"/>
    <w:rsid w:val="13D20C1F"/>
    <w:rsid w:val="147C6FA8"/>
    <w:rsid w:val="150B298D"/>
    <w:rsid w:val="15B170EE"/>
    <w:rsid w:val="16625336"/>
    <w:rsid w:val="167E0A57"/>
    <w:rsid w:val="169E4DEE"/>
    <w:rsid w:val="16BF0EB9"/>
    <w:rsid w:val="16F3212C"/>
    <w:rsid w:val="17683B22"/>
    <w:rsid w:val="177452CC"/>
    <w:rsid w:val="1974378D"/>
    <w:rsid w:val="19C553D6"/>
    <w:rsid w:val="1A1869C5"/>
    <w:rsid w:val="1A1F16D7"/>
    <w:rsid w:val="1A2845E2"/>
    <w:rsid w:val="1A4406D1"/>
    <w:rsid w:val="1AC640F7"/>
    <w:rsid w:val="1AD152FD"/>
    <w:rsid w:val="1B750B0F"/>
    <w:rsid w:val="1C6D2438"/>
    <w:rsid w:val="1D660228"/>
    <w:rsid w:val="1D924396"/>
    <w:rsid w:val="1E482F0A"/>
    <w:rsid w:val="1E9152CE"/>
    <w:rsid w:val="1F533E7C"/>
    <w:rsid w:val="1FDB23FF"/>
    <w:rsid w:val="20B713E9"/>
    <w:rsid w:val="20F41E0B"/>
    <w:rsid w:val="21497424"/>
    <w:rsid w:val="215461CF"/>
    <w:rsid w:val="216307B6"/>
    <w:rsid w:val="2230529E"/>
    <w:rsid w:val="241E6D89"/>
    <w:rsid w:val="25230F41"/>
    <w:rsid w:val="258E3355"/>
    <w:rsid w:val="26161F58"/>
    <w:rsid w:val="263019E8"/>
    <w:rsid w:val="265703E5"/>
    <w:rsid w:val="26583DFB"/>
    <w:rsid w:val="267F4B4F"/>
    <w:rsid w:val="26A546D7"/>
    <w:rsid w:val="273E72FA"/>
    <w:rsid w:val="292735AE"/>
    <w:rsid w:val="293B79A6"/>
    <w:rsid w:val="2973448D"/>
    <w:rsid w:val="29EB5D42"/>
    <w:rsid w:val="29F66DF4"/>
    <w:rsid w:val="2B006D11"/>
    <w:rsid w:val="2B3C72FC"/>
    <w:rsid w:val="2C5B2595"/>
    <w:rsid w:val="2D9477BB"/>
    <w:rsid w:val="2DCB35EB"/>
    <w:rsid w:val="2DD74DC7"/>
    <w:rsid w:val="2E6213FC"/>
    <w:rsid w:val="2E8E096D"/>
    <w:rsid w:val="2FA86435"/>
    <w:rsid w:val="2FD6226D"/>
    <w:rsid w:val="30596F4A"/>
    <w:rsid w:val="30FA1C83"/>
    <w:rsid w:val="31056198"/>
    <w:rsid w:val="312B2326"/>
    <w:rsid w:val="32084670"/>
    <w:rsid w:val="32311DE8"/>
    <w:rsid w:val="323D091B"/>
    <w:rsid w:val="34147BA5"/>
    <w:rsid w:val="34327645"/>
    <w:rsid w:val="35425587"/>
    <w:rsid w:val="35493B9C"/>
    <w:rsid w:val="355423BD"/>
    <w:rsid w:val="35D94896"/>
    <w:rsid w:val="35F80BCB"/>
    <w:rsid w:val="36461081"/>
    <w:rsid w:val="365C4D06"/>
    <w:rsid w:val="36DF5A13"/>
    <w:rsid w:val="37066B4B"/>
    <w:rsid w:val="3732285A"/>
    <w:rsid w:val="37616FE3"/>
    <w:rsid w:val="37886336"/>
    <w:rsid w:val="385932CD"/>
    <w:rsid w:val="38CA0DF6"/>
    <w:rsid w:val="38FF3623"/>
    <w:rsid w:val="3A332488"/>
    <w:rsid w:val="3A827A1A"/>
    <w:rsid w:val="3AD646EF"/>
    <w:rsid w:val="3BC31967"/>
    <w:rsid w:val="3BDD6F30"/>
    <w:rsid w:val="3C8A6971"/>
    <w:rsid w:val="3C996930"/>
    <w:rsid w:val="3CA15040"/>
    <w:rsid w:val="3CBE5F87"/>
    <w:rsid w:val="3D29417B"/>
    <w:rsid w:val="3D402542"/>
    <w:rsid w:val="3D6A78FC"/>
    <w:rsid w:val="3DA42A75"/>
    <w:rsid w:val="3DA50E7B"/>
    <w:rsid w:val="3E866667"/>
    <w:rsid w:val="3F764321"/>
    <w:rsid w:val="3FD851CC"/>
    <w:rsid w:val="401620B3"/>
    <w:rsid w:val="40441061"/>
    <w:rsid w:val="406A6D87"/>
    <w:rsid w:val="413332DE"/>
    <w:rsid w:val="413F2117"/>
    <w:rsid w:val="41464040"/>
    <w:rsid w:val="41912971"/>
    <w:rsid w:val="419625DA"/>
    <w:rsid w:val="422A0E55"/>
    <w:rsid w:val="42771D9A"/>
    <w:rsid w:val="433D6268"/>
    <w:rsid w:val="4405238E"/>
    <w:rsid w:val="441B1872"/>
    <w:rsid w:val="4552684C"/>
    <w:rsid w:val="45D45FD9"/>
    <w:rsid w:val="46196DE3"/>
    <w:rsid w:val="483460A5"/>
    <w:rsid w:val="48657537"/>
    <w:rsid w:val="49605B30"/>
    <w:rsid w:val="496F2921"/>
    <w:rsid w:val="49A768EC"/>
    <w:rsid w:val="49BD3314"/>
    <w:rsid w:val="4AFB57A7"/>
    <w:rsid w:val="4B365A74"/>
    <w:rsid w:val="4B406DFA"/>
    <w:rsid w:val="4B9A6172"/>
    <w:rsid w:val="4BBD0DF1"/>
    <w:rsid w:val="4C0F385E"/>
    <w:rsid w:val="4DEC4138"/>
    <w:rsid w:val="4E9F5277"/>
    <w:rsid w:val="4ED01427"/>
    <w:rsid w:val="4EDE5F43"/>
    <w:rsid w:val="4F317794"/>
    <w:rsid w:val="4F611529"/>
    <w:rsid w:val="4F7472D8"/>
    <w:rsid w:val="4FC3005E"/>
    <w:rsid w:val="503A4E0D"/>
    <w:rsid w:val="50481D8D"/>
    <w:rsid w:val="506D310D"/>
    <w:rsid w:val="508C0A16"/>
    <w:rsid w:val="50BF6E57"/>
    <w:rsid w:val="511F3944"/>
    <w:rsid w:val="51406B9E"/>
    <w:rsid w:val="516F5030"/>
    <w:rsid w:val="51C31AC7"/>
    <w:rsid w:val="524D06ED"/>
    <w:rsid w:val="5276406E"/>
    <w:rsid w:val="52A520E9"/>
    <w:rsid w:val="533C3D61"/>
    <w:rsid w:val="54D00148"/>
    <w:rsid w:val="55416E78"/>
    <w:rsid w:val="555E14DE"/>
    <w:rsid w:val="559673BD"/>
    <w:rsid w:val="55FA1C09"/>
    <w:rsid w:val="560F44E6"/>
    <w:rsid w:val="561A70A5"/>
    <w:rsid w:val="56FE30BA"/>
    <w:rsid w:val="574750AF"/>
    <w:rsid w:val="57E5615D"/>
    <w:rsid w:val="584E2054"/>
    <w:rsid w:val="58B0040F"/>
    <w:rsid w:val="58CF17EC"/>
    <w:rsid w:val="59907031"/>
    <w:rsid w:val="59E25B0D"/>
    <w:rsid w:val="5A327BF8"/>
    <w:rsid w:val="5A981828"/>
    <w:rsid w:val="5B015C54"/>
    <w:rsid w:val="5B185DA8"/>
    <w:rsid w:val="5B3C7113"/>
    <w:rsid w:val="5B900173"/>
    <w:rsid w:val="5BC54344"/>
    <w:rsid w:val="5BCD502D"/>
    <w:rsid w:val="5C395368"/>
    <w:rsid w:val="5D215CF8"/>
    <w:rsid w:val="5DEE7BFD"/>
    <w:rsid w:val="5E1F5CDF"/>
    <w:rsid w:val="5E716709"/>
    <w:rsid w:val="5EF318A6"/>
    <w:rsid w:val="5F2639F9"/>
    <w:rsid w:val="5F534F37"/>
    <w:rsid w:val="5FA90E82"/>
    <w:rsid w:val="5FD67025"/>
    <w:rsid w:val="60504D2B"/>
    <w:rsid w:val="606F60AA"/>
    <w:rsid w:val="60E17747"/>
    <w:rsid w:val="610E08BC"/>
    <w:rsid w:val="613456ED"/>
    <w:rsid w:val="613E00D7"/>
    <w:rsid w:val="61611D4B"/>
    <w:rsid w:val="62002D97"/>
    <w:rsid w:val="631A0DD7"/>
    <w:rsid w:val="6329566F"/>
    <w:rsid w:val="63894E79"/>
    <w:rsid w:val="63A921C6"/>
    <w:rsid w:val="641A3357"/>
    <w:rsid w:val="6449493D"/>
    <w:rsid w:val="646C20D1"/>
    <w:rsid w:val="64AE094E"/>
    <w:rsid w:val="658F4A87"/>
    <w:rsid w:val="65B47C05"/>
    <w:rsid w:val="663155B4"/>
    <w:rsid w:val="66360BAF"/>
    <w:rsid w:val="66655ABC"/>
    <w:rsid w:val="667E04AF"/>
    <w:rsid w:val="66FD07B6"/>
    <w:rsid w:val="67022EAD"/>
    <w:rsid w:val="673D045F"/>
    <w:rsid w:val="67876C58"/>
    <w:rsid w:val="684417F4"/>
    <w:rsid w:val="688C3C18"/>
    <w:rsid w:val="68B54691"/>
    <w:rsid w:val="69064CB3"/>
    <w:rsid w:val="694364A7"/>
    <w:rsid w:val="69CC53FE"/>
    <w:rsid w:val="69EC28B8"/>
    <w:rsid w:val="6A07763D"/>
    <w:rsid w:val="6AC534B8"/>
    <w:rsid w:val="6AD42D62"/>
    <w:rsid w:val="6B5B1D9F"/>
    <w:rsid w:val="6BC57E64"/>
    <w:rsid w:val="6BFC354E"/>
    <w:rsid w:val="6C8F22DD"/>
    <w:rsid w:val="6CA44BB5"/>
    <w:rsid w:val="6D483FA0"/>
    <w:rsid w:val="6D726564"/>
    <w:rsid w:val="6D821741"/>
    <w:rsid w:val="6DBC1FE2"/>
    <w:rsid w:val="6E565B56"/>
    <w:rsid w:val="6E8A76A9"/>
    <w:rsid w:val="6EC624D1"/>
    <w:rsid w:val="6F0B5CC5"/>
    <w:rsid w:val="6F1041A6"/>
    <w:rsid w:val="6F724D83"/>
    <w:rsid w:val="7016030A"/>
    <w:rsid w:val="708C543B"/>
    <w:rsid w:val="70BB350D"/>
    <w:rsid w:val="71352A9A"/>
    <w:rsid w:val="718102A1"/>
    <w:rsid w:val="72330F05"/>
    <w:rsid w:val="7360026A"/>
    <w:rsid w:val="738741CB"/>
    <w:rsid w:val="739E3BBB"/>
    <w:rsid w:val="741526C8"/>
    <w:rsid w:val="74211A18"/>
    <w:rsid w:val="74513F91"/>
    <w:rsid w:val="746C604C"/>
    <w:rsid w:val="7474248C"/>
    <w:rsid w:val="74B83FE4"/>
    <w:rsid w:val="7539645D"/>
    <w:rsid w:val="75570BCE"/>
    <w:rsid w:val="757A1FCF"/>
    <w:rsid w:val="75FC0697"/>
    <w:rsid w:val="761075AF"/>
    <w:rsid w:val="763843D7"/>
    <w:rsid w:val="769B1E2F"/>
    <w:rsid w:val="76F932E2"/>
    <w:rsid w:val="77296E01"/>
    <w:rsid w:val="78CC7784"/>
    <w:rsid w:val="795F3EBC"/>
    <w:rsid w:val="79800068"/>
    <w:rsid w:val="79DB7E6F"/>
    <w:rsid w:val="7A0155B8"/>
    <w:rsid w:val="7A596C92"/>
    <w:rsid w:val="7A862403"/>
    <w:rsid w:val="7AB9543F"/>
    <w:rsid w:val="7AFF5C61"/>
    <w:rsid w:val="7B06069A"/>
    <w:rsid w:val="7B2A460C"/>
    <w:rsid w:val="7B880417"/>
    <w:rsid w:val="7BBA1CD4"/>
    <w:rsid w:val="7C5B332B"/>
    <w:rsid w:val="7D4B435D"/>
    <w:rsid w:val="7D7D51A8"/>
    <w:rsid w:val="7D90064C"/>
    <w:rsid w:val="7DC26B1B"/>
    <w:rsid w:val="7E34587B"/>
    <w:rsid w:val="7E9418B9"/>
    <w:rsid w:val="7EFD6082"/>
    <w:rsid w:val="7F56126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2">
    <w:name w:val="heading 6"/>
    <w:basedOn w:val="1"/>
    <w:next w:val="1"/>
    <w:unhideWhenUsed/>
    <w:qFormat/>
    <w:locked/>
    <w:uiPriority w:val="0"/>
    <w:pPr>
      <w:keepNext/>
      <w:keepLines/>
      <w:spacing w:line="317" w:lineRule="auto"/>
      <w:outlineLvl w:val="5"/>
    </w:pPr>
    <w:rPr>
      <w:rFonts w:ascii="Arial" w:hAnsi="Arial" w:eastAsia="黑体"/>
      <w:b/>
      <w:bCs/>
      <w:sz w:val="24"/>
    </w:rPr>
  </w:style>
  <w:style w:type="character" w:default="1" w:styleId="14">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next w:val="1"/>
    <w:unhideWhenUsed/>
    <w:qFormat/>
    <w:uiPriority w:val="99"/>
    <w:pPr>
      <w:spacing w:after="120" w:afterLines="0" w:afterAutospacing="0"/>
    </w:pPr>
  </w:style>
  <w:style w:type="paragraph" w:styleId="5">
    <w:name w:val="Body Text Indent"/>
    <w:basedOn w:val="1"/>
    <w:link w:val="29"/>
    <w:qFormat/>
    <w:uiPriority w:val="99"/>
    <w:pPr>
      <w:ind w:left="815" w:hanging="815"/>
    </w:pPr>
    <w:rPr>
      <w:rFonts w:eastAsia="仿宋_GB2312"/>
      <w:sz w:val="28"/>
      <w:szCs w:val="20"/>
    </w:rPr>
  </w:style>
  <w:style w:type="paragraph" w:styleId="6">
    <w:name w:val="Block Text"/>
    <w:unhideWhenUsed/>
    <w:qFormat/>
    <w:uiPriority w:val="99"/>
    <w:pPr>
      <w:widowControl w:val="0"/>
      <w:spacing w:after="120"/>
      <w:ind w:left="1440" w:leftChars="700" w:right="1440" w:rightChars="700"/>
      <w:jc w:val="both"/>
    </w:pPr>
    <w:rPr>
      <w:rFonts w:ascii="Calibri" w:hAnsi="Calibri" w:eastAsia="仿宋" w:cs="Times New Roman"/>
      <w:kern w:val="2"/>
      <w:sz w:val="21"/>
      <w:szCs w:val="22"/>
      <w:lang w:val="en-US" w:eastAsia="zh-CN" w:bidi="ar-SA"/>
    </w:rPr>
  </w:style>
  <w:style w:type="paragraph" w:styleId="7">
    <w:name w:val="Plain Text"/>
    <w:basedOn w:val="1"/>
    <w:next w:val="1"/>
    <w:unhideWhenUsed/>
    <w:qFormat/>
    <w:uiPriority w:val="99"/>
    <w:rPr>
      <w:rFonts w:ascii="宋体" w:hAnsi="Courier New"/>
    </w:rPr>
  </w:style>
  <w:style w:type="paragraph" w:styleId="8">
    <w:name w:val="Date"/>
    <w:basedOn w:val="1"/>
    <w:next w:val="1"/>
    <w:link w:val="25"/>
    <w:qFormat/>
    <w:uiPriority w:val="99"/>
    <w:rPr>
      <w:rFonts w:eastAsia="仿宋_GB2312"/>
      <w:sz w:val="32"/>
      <w:szCs w:val="20"/>
    </w:rPr>
  </w:style>
  <w:style w:type="paragraph" w:styleId="9">
    <w:name w:val="Balloon Text"/>
    <w:basedOn w:val="1"/>
    <w:link w:val="28"/>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99"/>
    <w:pPr>
      <w:snapToGrid w:val="0"/>
      <w:jc w:val="left"/>
    </w:pPr>
    <w:rPr>
      <w:sz w:val="18"/>
    </w:rPr>
  </w:style>
  <w:style w:type="paragraph" w:styleId="13">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15">
    <w:name w:val="Strong"/>
    <w:qFormat/>
    <w:locked/>
    <w:uiPriority w:val="0"/>
    <w:rPr>
      <w:b/>
    </w:rPr>
  </w:style>
  <w:style w:type="character" w:styleId="16">
    <w:name w:val="page number"/>
    <w:basedOn w:val="14"/>
    <w:qFormat/>
    <w:uiPriority w:val="99"/>
    <w:rPr>
      <w:rFonts w:cs="Times New Roman"/>
    </w:rPr>
  </w:style>
  <w:style w:type="character" w:styleId="17">
    <w:name w:val="Emphasis"/>
    <w:basedOn w:val="14"/>
    <w:qFormat/>
    <w:locked/>
    <w:uiPriority w:val="0"/>
    <w:rPr>
      <w:i/>
    </w:rPr>
  </w:style>
  <w:style w:type="character" w:styleId="18">
    <w:name w:val="Hyperlink"/>
    <w:basedOn w:val="14"/>
    <w:qFormat/>
    <w:uiPriority w:val="99"/>
    <w:rPr>
      <w:rFonts w:cs="Times New Roman"/>
      <w:color w:val="0000FF"/>
      <w:u w:val="single"/>
    </w:rPr>
  </w:style>
  <w:style w:type="character" w:styleId="19">
    <w:name w:val="footnote reference"/>
    <w:basedOn w:val="14"/>
    <w:unhideWhenUsed/>
    <w:qFormat/>
    <w:uiPriority w:val="99"/>
    <w:rPr>
      <w:vertAlign w:val="superscript"/>
    </w:rPr>
  </w:style>
  <w:style w:type="paragraph" w:customStyle="1" w:styleId="21">
    <w:name w:val="List Paragraph"/>
    <w:basedOn w:val="1"/>
    <w:qFormat/>
    <w:uiPriority w:val="99"/>
    <w:pPr>
      <w:ind w:firstLine="420" w:firstLineChars="200"/>
    </w:pPr>
  </w:style>
  <w:style w:type="paragraph" w:customStyle="1" w:styleId="22">
    <w:name w:val="Char Char Char1 Char"/>
    <w:basedOn w:val="1"/>
    <w:qFormat/>
    <w:uiPriority w:val="0"/>
    <w:rPr>
      <w:rFonts w:ascii="宋体" w:hAnsi="宋体" w:cs="Courier New"/>
      <w:sz w:val="32"/>
      <w:szCs w:val="32"/>
    </w:rPr>
  </w:style>
  <w:style w:type="paragraph" w:customStyle="1" w:styleId="23">
    <w:name w:val="Char"/>
    <w:basedOn w:val="1"/>
    <w:qFormat/>
    <w:uiPriority w:val="0"/>
    <w:rPr>
      <w:rFonts w:ascii="宋体" w:hAnsi="宋体" w:cs="Courier New"/>
      <w:sz w:val="32"/>
      <w:szCs w:val="32"/>
    </w:rPr>
  </w:style>
  <w:style w:type="paragraph" w:customStyle="1" w:styleId="24">
    <w:name w:val="PlainText"/>
    <w:basedOn w:val="1"/>
    <w:next w:val="1"/>
    <w:qFormat/>
    <w:uiPriority w:val="0"/>
    <w:pPr>
      <w:jc w:val="both"/>
      <w:textAlignment w:val="baseline"/>
    </w:pPr>
    <w:rPr>
      <w:rFonts w:ascii="宋体" w:hAnsi="Courier New" w:eastAsia="宋体"/>
    </w:rPr>
  </w:style>
  <w:style w:type="character" w:customStyle="1" w:styleId="25">
    <w:name w:val="日期 Char"/>
    <w:basedOn w:val="14"/>
    <w:link w:val="8"/>
    <w:semiHidden/>
    <w:qFormat/>
    <w:uiPriority w:val="99"/>
    <w:rPr>
      <w:szCs w:val="24"/>
    </w:rPr>
  </w:style>
  <w:style w:type="character" w:customStyle="1" w:styleId="26">
    <w:name w:val="页眉 Char"/>
    <w:basedOn w:val="14"/>
    <w:link w:val="11"/>
    <w:semiHidden/>
    <w:qFormat/>
    <w:uiPriority w:val="99"/>
    <w:rPr>
      <w:sz w:val="18"/>
      <w:szCs w:val="18"/>
    </w:rPr>
  </w:style>
  <w:style w:type="character" w:customStyle="1" w:styleId="27">
    <w:name w:val="页脚 Char"/>
    <w:basedOn w:val="14"/>
    <w:link w:val="10"/>
    <w:semiHidden/>
    <w:qFormat/>
    <w:uiPriority w:val="99"/>
    <w:rPr>
      <w:sz w:val="18"/>
      <w:szCs w:val="18"/>
    </w:rPr>
  </w:style>
  <w:style w:type="character" w:customStyle="1" w:styleId="28">
    <w:name w:val="批注框文本 Char"/>
    <w:basedOn w:val="14"/>
    <w:link w:val="9"/>
    <w:semiHidden/>
    <w:qFormat/>
    <w:uiPriority w:val="99"/>
    <w:rPr>
      <w:sz w:val="16"/>
      <w:szCs w:val="16"/>
    </w:rPr>
  </w:style>
  <w:style w:type="character" w:customStyle="1" w:styleId="29">
    <w:name w:val="正文文本缩进 Char"/>
    <w:basedOn w:val="14"/>
    <w:link w:val="5"/>
    <w:semiHidden/>
    <w:qFormat/>
    <w:uiPriority w:val="99"/>
    <w:rPr>
      <w:szCs w:val="24"/>
    </w:rPr>
  </w:style>
  <w:style w:type="character" w:customStyle="1" w:styleId="30">
    <w:name w:val="font01"/>
    <w:basedOn w:val="14"/>
    <w:qFormat/>
    <w:uiPriority w:val="0"/>
    <w:rPr>
      <w:rFonts w:hint="eastAsia" w:ascii="宋体" w:hAnsi="宋体" w:eastAsia="宋体" w:cs="宋体"/>
      <w:color w:val="000000"/>
      <w:sz w:val="18"/>
      <w:szCs w:val="18"/>
      <w:u w:val="none"/>
    </w:rPr>
  </w:style>
  <w:style w:type="character" w:customStyle="1" w:styleId="31">
    <w:name w:val="font91"/>
    <w:basedOn w:val="14"/>
    <w:qFormat/>
    <w:uiPriority w:val="0"/>
    <w:rPr>
      <w:rFonts w:hint="default" w:ascii="Times New Roman" w:hAnsi="Times New Roman" w:cs="Times New Roman"/>
      <w:color w:val="000000"/>
      <w:sz w:val="20"/>
      <w:szCs w:val="20"/>
      <w:u w:val="none"/>
    </w:rPr>
  </w:style>
  <w:style w:type="character" w:customStyle="1" w:styleId="32">
    <w:name w:val="font71"/>
    <w:basedOn w:val="14"/>
    <w:qFormat/>
    <w:uiPriority w:val="0"/>
    <w:rPr>
      <w:rFonts w:hint="eastAsia" w:ascii="宋体" w:hAnsi="宋体" w:eastAsia="宋体" w:cs="宋体"/>
      <w:color w:val="000000"/>
      <w:sz w:val="20"/>
      <w:szCs w:val="20"/>
      <w:u w:val="none"/>
    </w:rPr>
  </w:style>
  <w:style w:type="character" w:customStyle="1" w:styleId="33">
    <w:name w:val="font61"/>
    <w:basedOn w:val="14"/>
    <w:qFormat/>
    <w:uiPriority w:val="0"/>
    <w:rPr>
      <w:rFonts w:hint="eastAsia" w:ascii="宋体" w:hAnsi="宋体" w:eastAsia="宋体" w:cs="宋体"/>
      <w:color w:val="000000"/>
      <w:sz w:val="20"/>
      <w:szCs w:val="20"/>
      <w:u w:val="none"/>
    </w:rPr>
  </w:style>
  <w:style w:type="character" w:customStyle="1" w:styleId="34">
    <w:name w:val="font3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 东政办函1.dot</Template>
  <Company>msk</Company>
  <Pages>2</Pages>
  <Words>118</Words>
  <Characters>932</Characters>
  <Lines>7</Lines>
  <Paragraphs>2</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2016-03-17T08:32:00Z</dcterms:created>
  <dc:creator>李天盟(tml@qq.com)</dc:creator>
  <cp:lastModifiedBy>贺蔚蔚</cp:lastModifiedBy>
  <cp:lastPrinted>2025-01-03T11:00:00Z</cp:lastPrinted>
  <dcterms:modified xsi:type="dcterms:W3CDTF">2025-01-03T12:02:43Z</dcterms:modified>
  <dc:title>北京市东城区人民政府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