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BB2D">
      <w:pPr>
        <w:pStyle w:val="4"/>
        <w:widowControl/>
        <w:spacing w:beforeAutospacing="0" w:afterAutospacing="0" w:line="60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01CFAD80">
      <w:pPr>
        <w:pStyle w:val="4"/>
        <w:widowControl/>
        <w:spacing w:beforeAutospacing="0" w:afterAutospacing="0" w:line="600" w:lineRule="exact"/>
        <w:jc w:val="both"/>
        <w:textAlignment w:val="baseline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4E02942C">
      <w:pPr>
        <w:pStyle w:val="4"/>
        <w:widowControl/>
        <w:spacing w:beforeAutospacing="0" w:afterAutospacing="0" w:line="60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关于《北京市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东城区关于推动数字经济产业高质量发展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"/>
        </w:rPr>
        <w:t>的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若干措施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（征求意见稿）》的起草说明</w:t>
      </w:r>
    </w:p>
    <w:p w14:paraId="5A69A72F">
      <w:pPr>
        <w:pStyle w:val="4"/>
        <w:widowControl/>
        <w:spacing w:beforeAutospacing="0" w:afterAutospacing="0" w:line="600" w:lineRule="exact"/>
        <w:jc w:val="both"/>
        <w:textAlignment w:val="baseline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5E0D007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制定背景</w:t>
      </w:r>
    </w:p>
    <w:p w14:paraId="654B5AD5"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北京市关于全球数字经济标杆城市建设要求，推动实体经济和数字经济的深度融合，推动东城区数字经济产业高质量发展，东城区经济和信息化局研究起草了《北京市东城区关于推动数字经济产业高质量发展的若干措施（征求意见稿）》。</w:t>
      </w:r>
    </w:p>
    <w:p w14:paraId="3D6E9AD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制定依据</w:t>
      </w:r>
    </w:p>
    <w:p w14:paraId="42B810E9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为贯彻落实《北京市关于加快建设全球数字经济标杆城市的实施方案》《北京市数字经济全产业链开放发展行动方案》等文件精神，促进实体经济和数字经济深度融合，推动数字经济产业高质量发展，特制定本办法。</w:t>
      </w:r>
    </w:p>
    <w:p w14:paraId="3AC1B63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主要内容</w:t>
      </w:r>
    </w:p>
    <w:p w14:paraId="30709F64">
      <w:pPr>
        <w:pStyle w:val="2"/>
        <w:widowControl/>
        <w:spacing w:beforeAutospacing="0" w:afterAutospacing="0" w:line="600" w:lineRule="exact"/>
        <w:ind w:firstLine="64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eastAsia="zh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  <w:t>支持数字经济企业做大做强</w:t>
      </w:r>
    </w:p>
    <w:p w14:paraId="3D546A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对于首次纳入规模以上统计范围的数字经济企业、中国电子信息百强、中国互联网企业100强榜单、中国软件业务收入前百家企业名单的企业、</w:t>
      </w:r>
      <w:r>
        <w:rPr>
          <w:rFonts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北京市数字经济标杆企业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数字经济“链主”企业等给予支持。</w:t>
      </w:r>
    </w:p>
    <w:p w14:paraId="021D424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促进产业数字化</w:t>
      </w:r>
    </w:p>
    <w:p w14:paraId="1A37FF2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鼓励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总部企业或头部企业在东城区涵养培育新的数科板块重点企业，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"/>
        </w:rPr>
        <w:t>促进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企业的数字化转型赋能，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完善“紫金云”服务机制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 w14:paraId="0E76FB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推动数字产业化</w:t>
      </w:r>
    </w:p>
    <w:p w14:paraId="3064C27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推动</w:t>
      </w:r>
      <w:r>
        <w:rPr>
          <w:rFonts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人工智能企业集聚发展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支持通用大模型和行业大模型发展，鼓励企业从小切口、实场景出发，使用大模型开发商业化应用。支持数字技术场景落地。支持数据产业发展，培育数据要素多元经营主体。</w:t>
      </w:r>
    </w:p>
    <w:p w14:paraId="22AC30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构建数字经济创新生态</w:t>
      </w:r>
    </w:p>
    <w:p w14:paraId="0BF13B8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打造数字经济创新联合体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，推动重大技术成果转化落地，推动数字经济产业集聚发展，支持组织数字经济产业交流活动。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BF37D"/>
    <w:multiLevelType w:val="singleLevel"/>
    <w:tmpl w:val="4FEBF37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B4578E0"/>
    <w:multiLevelType w:val="singleLevel"/>
    <w:tmpl w:val="6B4578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21EDD"/>
    <w:rsid w:val="60DE2786"/>
    <w:rsid w:val="75A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2025-01-03T07:05:59Z</dcterms:created>
  <dc:creator>shelton</dc:creator>
  <cp:lastModifiedBy>喵小唔</cp:lastModifiedBy>
  <dcterms:modified xsi:type="dcterms:W3CDTF">2025-01-03T07:49:55Z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eyJoZGlkIjoiMGVmNjIxN2JmNWVhOWViZTIwOTc2N2E5ZWZlZWMxMzMiLCJ1c2VySWQiOiI0ODAxMjgzNTcifQ==</vt:lpwstr>
  </property>
  <property fmtid="{D5CDD505-2E9C-101B-9397-08002B2CF9AE}" pid="4" name="ICV">
    <vt:lpwstr>1B69D19D16B443C79E232F9EA84FDB6A_12</vt:lpwstr>
  </property>
</Properties>
</file>