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24"/>
        </w:rPr>
        <w:t>通州区农村“煤改气”取暖设备更新（含新增）工作方案起草说明</w:t>
      </w:r>
    </w:p>
    <w:bookmarkEnd w:id="0"/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一、起草背景及过程</w:t>
      </w:r>
    </w:p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（一）背景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017</w:t>
      </w:r>
      <w:r>
        <w:rPr>
          <w:rFonts w:hint="eastAsia" w:ascii="仿宋_GB2312" w:eastAsia="仿宋_GB2312" w:hAnsiTheme="minorEastAsia"/>
          <w:sz w:val="32"/>
          <w:szCs w:val="32"/>
        </w:rPr>
        <w:t>年我区实施了农村“煤改气”项目，区农业农村局负责“煤改气”项目市、区政策对接工作，</w:t>
      </w:r>
      <w:r>
        <w:rPr>
          <w:rFonts w:ascii="仿宋_GB2312" w:eastAsia="仿宋_GB2312" w:hAnsiTheme="minorEastAsia"/>
          <w:sz w:val="32"/>
          <w:szCs w:val="32"/>
        </w:rPr>
        <w:t>区城市管理委</w:t>
      </w:r>
      <w:r>
        <w:rPr>
          <w:rFonts w:hint="eastAsia" w:ascii="仿宋_GB2312" w:eastAsia="仿宋_GB2312" w:hAnsiTheme="minorEastAsia"/>
          <w:sz w:val="32"/>
          <w:szCs w:val="32"/>
        </w:rPr>
        <w:t>负责农村“煤改气”总体工作。目前，</w:t>
      </w:r>
      <w:r>
        <w:rPr>
          <w:rFonts w:ascii="仿宋_GB2312" w:eastAsia="仿宋_GB2312" w:hAnsiTheme="minorEastAsia"/>
          <w:sz w:val="32"/>
          <w:szCs w:val="32"/>
        </w:rPr>
        <w:t>全区</w:t>
      </w:r>
      <w:r>
        <w:rPr>
          <w:rFonts w:hint="eastAsia" w:ascii="仿宋_GB2312" w:eastAsia="仿宋_GB2312" w:hAnsiTheme="minorEastAsia"/>
          <w:sz w:val="32"/>
          <w:szCs w:val="32"/>
        </w:rPr>
        <w:t>完成整村“煤改气”改造的共有</w:t>
      </w:r>
      <w:r>
        <w:rPr>
          <w:rFonts w:ascii="仿宋_GB2312" w:eastAsia="仿宋_GB2312" w:hAnsiTheme="minorEastAsia"/>
          <w:sz w:val="32"/>
          <w:szCs w:val="32"/>
        </w:rPr>
        <w:t>9个乡镇，10</w:t>
      </w:r>
      <w:r>
        <w:rPr>
          <w:rFonts w:hint="eastAsia" w:ascii="仿宋_GB2312" w:eastAsia="仿宋_GB2312" w:hAnsiTheme="minor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个村</w:t>
      </w:r>
      <w:r>
        <w:rPr>
          <w:rFonts w:hint="eastAsia" w:ascii="仿宋_GB2312" w:eastAsia="仿宋_GB2312" w:hAnsiTheme="minorEastAsia"/>
          <w:sz w:val="32"/>
          <w:szCs w:val="32"/>
        </w:rPr>
        <w:t>（含区农业农村局组织实施的外郎营和小堡2个试点村）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约5.6万余户。按照《家用燃气燃烧器具安全管理规则》（GB17905-2008）满8年判废的规定，我区“煤改气”燃气壁挂炉设备将于2025年10月达到判废年限，为稳妥有序开展农村“煤改气”取暖设备更新工作，根据《北京市农村地区清洁取暖设备更新工作指导意见》（京政农发〔2023〕49号）文件精神，结合我区实际，我委编制了《通州区农村“煤改气”取暖设备更新（含新增）工作方案》。</w:t>
      </w:r>
    </w:p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（二）过程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充分与区农业农村局沟通，同时借鉴其他区方案经验后，我委组织开展了“煤改气”设备更新方案的编制工作，征求区相关单位意见及建议，依据反馈意见对方案进行了修订，并组织部分乡镇相关工作负责人召开座谈会，对方案再次进行讨论和完善，确保方案可行性和有效性。同时，按照区委政法委的指导意见，完成了重大决策社会稳定风险评估工作。</w:t>
      </w:r>
    </w:p>
    <w:p>
      <w:pPr>
        <w:suppressAutoHyphens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</w:t>
      </w:r>
    </w:p>
    <w:p>
      <w:pPr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（一）原设备更新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全区已整村完成“煤改气”取暖改造的村庄原享受政府补贴的用户（以原煤改气台账为准），壁挂炉设备满8年达到国家规定判废年限，或未达到年限经认定符合报废标准，需要设备更新的用户。</w:t>
      </w:r>
    </w:p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（二）新增户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“煤改气”村庄的新增户可享受设备补贴，安装燃气表及燃气管线费用由用户自行承担，新增户改造后享受原用气补贴政策。</w:t>
      </w:r>
    </w:p>
    <w:p>
      <w:pPr>
        <w:suppressAutoHyphens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（一）补贴政策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参照家电下乡补贴方式，由用户市场化购买壁挂炉取暖设备，市、区财政按照燃气壁挂炉销售价格的40%给予一次性补贴（市、区财政分别补贴20%），每户补贴金额最高不超过0.36万元，剩余部分由用户自行承担，每户只限补贴一台，设备更新后8年内不得重复享受补贴政策,后期管护由用户自行承担。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次性支付设备资金有困难的住户，可自愿向银行机构申请分期付款，享受贷款贴息相关政策。低保家庭、分散供养特困人员、低收入家庭等困难群众，由乡镇政府民政部门统计提供名单，区民政局确认后，在40%（不超过0.36万元）补贴基础上，区财政再补贴60%（不超过0.54万元），补贴合计最高不超过0.9万元。</w:t>
      </w:r>
    </w:p>
    <w:p>
      <w:pPr>
        <w:widowControl/>
        <w:spacing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（二）工作流程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按照“用户自愿申请、村和乡镇政府审核确认、区级审核汇总申报、财政拨付资金”的程序，开展设备更新工作。</w:t>
      </w:r>
    </w:p>
    <w:p>
      <w:pPr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一是用户自愿申请。</w:t>
      </w:r>
      <w:r>
        <w:rPr>
          <w:rFonts w:hint="eastAsia" w:ascii="仿宋_GB2312" w:eastAsia="仿宋_GB2312" w:hAnsiTheme="minorEastAsia"/>
          <w:sz w:val="32"/>
          <w:szCs w:val="32"/>
        </w:rPr>
        <w:t>用户完成设备安装后每年12月底前自愿申请本年度更新补贴。</w:t>
      </w:r>
    </w:p>
    <w:p>
      <w:pPr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二是村、乡镇政府审核确认。</w:t>
      </w:r>
      <w:r>
        <w:rPr>
          <w:rFonts w:hint="eastAsia" w:ascii="仿宋_GB2312" w:eastAsia="仿宋_GB2312" w:hAnsiTheme="minorEastAsia"/>
          <w:sz w:val="32"/>
          <w:szCs w:val="32"/>
        </w:rPr>
        <w:t>村、乡镇政府对更新用户资料进行核对，核实更新设备性能指标，并向区城市管理委申请设备更新补贴资金。</w:t>
      </w:r>
    </w:p>
    <w:p>
      <w:pPr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三是区级审核汇总申报。</w:t>
      </w:r>
      <w:r>
        <w:rPr>
          <w:rFonts w:hint="eastAsia" w:ascii="仿宋_GB2312" w:eastAsia="仿宋_GB2312" w:hAnsiTheme="minorEastAsia"/>
          <w:sz w:val="32"/>
          <w:szCs w:val="32"/>
        </w:rPr>
        <w:t>区城市管理委委托管理公司对用户信息、设备安装、资金使用等工作进行监督管理，汇总审核后，向区财政局申请补贴资金。</w:t>
      </w:r>
    </w:p>
    <w:p>
      <w:pPr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四是拨付资金。</w:t>
      </w:r>
      <w:r>
        <w:rPr>
          <w:rFonts w:hint="eastAsia" w:ascii="仿宋_GB2312" w:eastAsia="仿宋_GB2312" w:hAnsiTheme="minorEastAsia"/>
          <w:sz w:val="32"/>
          <w:szCs w:val="32"/>
        </w:rPr>
        <w:t>区财政局将资金拨付至乡镇政府，由乡镇政府组织兑付至用户，确保资金使用安全。</w:t>
      </w:r>
    </w:p>
    <w:p>
      <w:pPr>
        <w:suppressAutoHyphens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widowControl/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一是高度重视，加强管理。</w:t>
      </w:r>
      <w:r>
        <w:rPr>
          <w:rFonts w:hint="eastAsia" w:ascii="仿宋_GB2312" w:eastAsia="仿宋_GB2312" w:hAnsiTheme="minorEastAsia"/>
          <w:sz w:val="32"/>
          <w:szCs w:val="32"/>
        </w:rPr>
        <w:t>乡镇政府高度重视，落实属地主体责任，切实保障设备更新工作正常开展。建议各乡镇政府引导用户集中选购售后服务好、产品质量过硬、性能指标符合补贴要求的优质产品，易于后期监督管理，提高售后服务质量。</w:t>
      </w:r>
    </w:p>
    <w:p>
      <w:pPr>
        <w:widowControl/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二是完善机制,严格程序。</w:t>
      </w:r>
      <w:r>
        <w:rPr>
          <w:rFonts w:hint="eastAsia" w:ascii="仿宋_GB2312" w:eastAsia="仿宋_GB2312" w:hAnsiTheme="minorEastAsia"/>
          <w:sz w:val="32"/>
          <w:szCs w:val="32"/>
        </w:rPr>
        <w:t>各乡镇政府进一步完善工作机制，严格按照程序审核补贴对象资格，建立设备更新、新增台账，实行“一户一档”管理；加强审核，严控设备性能指标；加强资金审核，强化补贴资金管理，形成监管闭环，避免发生套补骗补等行为。</w:t>
      </w:r>
    </w:p>
    <w:p>
      <w:pPr>
        <w:widowControl/>
        <w:spacing w:after="0" w:line="560" w:lineRule="exact"/>
        <w:ind w:firstLine="642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三是强化宣传，营造氛围。</w:t>
      </w:r>
      <w:r>
        <w:rPr>
          <w:rFonts w:hint="eastAsia" w:ascii="仿宋_GB2312" w:eastAsia="仿宋_GB2312" w:hAnsiTheme="minorEastAsia"/>
          <w:sz w:val="32"/>
          <w:szCs w:val="32"/>
        </w:rPr>
        <w:t>各乡镇政府要做好政策宣传到户和舆情监测工作。通过广播、网络、横幅、明白纸等形式，宣传补贴政策及工作流程，树立群众的主体意识和责任意识，争取群众理解和支持，营造良好的社会氛围。</w:t>
      </w:r>
    </w:p>
    <w:p>
      <w:pPr>
        <w:widowControl/>
        <w:spacing w:after="0" w:line="560" w:lineRule="exact"/>
        <w:ind w:firstLine="642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四是加强监管，确保安全。</w:t>
      </w:r>
      <w:r>
        <w:rPr>
          <w:rFonts w:hint="eastAsia" w:ascii="仿宋_GB2312" w:eastAsia="仿宋_GB2312" w:hAnsiTheme="minorEastAsia"/>
          <w:sz w:val="32"/>
          <w:szCs w:val="32"/>
        </w:rPr>
        <w:t>燃气企业、乡镇政府、行业管理部门要加强燃气使用安全监管工作，确保燃气使用安全。稳妥有序推进设备更新工作，确保达到8年判废年限或未到年限符合报废标准的燃气壁挂炉实现“应换尽换”，切实消除安全隐患。</w:t>
      </w:r>
    </w:p>
    <w:p>
      <w:pPr>
        <w:suppressAutoHyphens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五、涉及范围</w:t>
      </w:r>
    </w:p>
    <w:p>
      <w:pPr>
        <w:widowControl/>
        <w:spacing w:after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通州区整村完成“煤改气”改造的村庄。</w:t>
      </w:r>
    </w:p>
    <w:p>
      <w:pPr>
        <w:suppressAutoHyphens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六、新旧政策差异</w:t>
      </w:r>
    </w:p>
    <w:p>
      <w:pPr>
        <w:widowControl/>
        <w:spacing w:after="0"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初次制定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600" w:lineRule="exact"/>
        <w:rPr>
          <w:rFonts w:ascii="Calibri" w:hAnsi="Calibri" w:eastAsia="仿宋_GB2312"/>
          <w:sz w:val="30"/>
          <w:szCs w:val="24"/>
        </w:rPr>
      </w:pPr>
    </w:p>
    <w:p/>
    <w:sectPr>
      <w:pgSz w:w="11906" w:h="16838"/>
      <w:pgMar w:top="1440" w:right="1134" w:bottom="1440" w:left="1134" w:header="851" w:footer="992" w:gutter="0"/>
      <w:cols w:space="0" w:num="1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A2927"/>
    <w:rsid w:val="00042D1E"/>
    <w:rsid w:val="000545AD"/>
    <w:rsid w:val="000768F6"/>
    <w:rsid w:val="00080914"/>
    <w:rsid w:val="000D66F0"/>
    <w:rsid w:val="001000A7"/>
    <w:rsid w:val="00144D46"/>
    <w:rsid w:val="001C7D3F"/>
    <w:rsid w:val="00201DA9"/>
    <w:rsid w:val="002A0D33"/>
    <w:rsid w:val="00471E9C"/>
    <w:rsid w:val="00495855"/>
    <w:rsid w:val="004B0B33"/>
    <w:rsid w:val="00521B55"/>
    <w:rsid w:val="005B054A"/>
    <w:rsid w:val="005B666B"/>
    <w:rsid w:val="005D73E7"/>
    <w:rsid w:val="005F7FEF"/>
    <w:rsid w:val="006D5B2E"/>
    <w:rsid w:val="00730522"/>
    <w:rsid w:val="007468BD"/>
    <w:rsid w:val="0078275A"/>
    <w:rsid w:val="007A560D"/>
    <w:rsid w:val="0087137C"/>
    <w:rsid w:val="00911C46"/>
    <w:rsid w:val="009159FF"/>
    <w:rsid w:val="00A10D7C"/>
    <w:rsid w:val="00A21972"/>
    <w:rsid w:val="00AB3633"/>
    <w:rsid w:val="00AC597C"/>
    <w:rsid w:val="00B16C09"/>
    <w:rsid w:val="00B32C2A"/>
    <w:rsid w:val="00CC35C0"/>
    <w:rsid w:val="00CF6E05"/>
    <w:rsid w:val="00D00276"/>
    <w:rsid w:val="00D2297A"/>
    <w:rsid w:val="00D25491"/>
    <w:rsid w:val="00D462D7"/>
    <w:rsid w:val="00D60960"/>
    <w:rsid w:val="00D9398F"/>
    <w:rsid w:val="00DA30B2"/>
    <w:rsid w:val="00E245F6"/>
    <w:rsid w:val="00E7067D"/>
    <w:rsid w:val="00E95F39"/>
    <w:rsid w:val="0B365A04"/>
    <w:rsid w:val="1EDA2927"/>
    <w:rsid w:val="2D1A02BA"/>
    <w:rsid w:val="402C0295"/>
    <w:rsid w:val="5EFFBDEB"/>
    <w:rsid w:val="6845330A"/>
    <w:rsid w:val="707D319A"/>
    <w:rsid w:val="75BB2EFF"/>
    <w:rsid w:val="B5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eastAsia="仿宋_GB2312"/>
      <w:color w:val="0000FF"/>
      <w:sz w:val="28"/>
      <w:szCs w:val="28"/>
    </w:rPr>
  </w:style>
  <w:style w:type="paragraph" w:styleId="3">
    <w:name w:val="Date"/>
    <w:basedOn w:val="1"/>
    <w:next w:val="1"/>
    <w:link w:val="11"/>
    <w:qFormat/>
    <w:uiPriority w:val="99"/>
    <w:pPr>
      <w:spacing w:after="0" w:line="240" w:lineRule="auto"/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样式1"/>
    <w:basedOn w:val="1"/>
    <w:qFormat/>
    <w:uiPriority w:val="0"/>
    <w:pPr>
      <w:widowControl/>
      <w:spacing w:after="0" w:line="360" w:lineRule="auto"/>
      <w:ind w:firstLine="600" w:firstLineChars="200"/>
      <w:jc w:val="left"/>
    </w:pPr>
    <w:rPr>
      <w:rFonts w:eastAsia="仿宋_GB2312"/>
      <w:sz w:val="30"/>
      <w:szCs w:val="24"/>
    </w:rPr>
  </w:style>
  <w:style w:type="character" w:customStyle="1" w:styleId="11">
    <w:name w:val="日期 字符"/>
    <w:basedOn w:val="7"/>
    <w:link w:val="3"/>
    <w:qFormat/>
    <w:uiPriority w:val="99"/>
    <w:rPr>
      <w:rFonts w:ascii="Times New Roman" w:hAnsi="Times New Roman"/>
      <w:kern w:val="2"/>
      <w:sz w:val="21"/>
    </w:rPr>
  </w:style>
  <w:style w:type="paragraph" w:customStyle="1" w:styleId="12">
    <w:name w:val="A正文"/>
    <w:basedOn w:val="1"/>
    <w:qFormat/>
    <w:uiPriority w:val="0"/>
    <w:pPr>
      <w:spacing w:after="0" w:line="24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1482</Characters>
  <Lines>12</Lines>
  <Paragraphs>3</Paragraphs>
  <TotalTime>1</TotalTime>
  <ScaleCrop>false</ScaleCrop>
  <LinksUpToDate>false</LinksUpToDate>
  <CharactersWithSpaces>1738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2024-12-26T10:34:00Z</dcterms:created>
  <dc:creator>通州区政府</dc:creator>
  <cp:lastModifiedBy>user</cp:lastModifiedBy>
  <cp:lastPrinted>2020-10-29T18:18:00Z</cp:lastPrinted>
  <dcterms:modified xsi:type="dcterms:W3CDTF">2025-01-02T09:18:59Z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