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怀柔区促进文化及相关产业高质量发展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若干措施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第一条</w:t>
      </w:r>
      <w:r>
        <w:rPr>
          <w:rFonts w:hint="eastAsia" w:ascii="仿宋_GB2312" w:hAnsi="仿宋_GB2312" w:eastAsia="仿宋_GB2312" w:cs="仿宋_GB2312"/>
          <w:b w:val="0"/>
          <w:bCs w:val="0"/>
          <w:color w:val="auto"/>
          <w:sz w:val="32"/>
          <w:szCs w:val="32"/>
          <w:lang w:val="en-US" w:eastAsia="zh-CN"/>
        </w:rPr>
        <w:t xml:space="preserve">  为落实《关于培育新型文化业态大力发展文化新质生产力的若干措施》和《怀柔区促进区域经济高质量发展指导意见》文件精神，服务全国文化中心建设，促进文化及相关产业要素资源集聚，推动怀柔区文化产业高质量发展，制定本措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CESI黑体-GB13000" w:hAnsi="CESI黑体-GB13000" w:eastAsia="CESI黑体-GB13000" w:cs="CESI黑体-GB13000"/>
          <w:b w:val="0"/>
          <w:bCs w:val="0"/>
          <w:color w:val="auto"/>
          <w:sz w:val="32"/>
          <w:szCs w:val="32"/>
          <w:lang w:val="en-US" w:eastAsia="zh-CN"/>
        </w:rPr>
      </w:pPr>
      <w:r>
        <w:rPr>
          <w:rFonts w:hint="eastAsia" w:ascii="CESI黑体-GB13000" w:hAnsi="CESI黑体-GB13000" w:eastAsia="CESI黑体-GB13000" w:cs="CESI黑体-GB13000"/>
          <w:b w:val="0"/>
          <w:bCs w:val="0"/>
          <w:color w:val="auto"/>
          <w:sz w:val="32"/>
          <w:szCs w:val="32"/>
          <w:lang w:val="en-US" w:eastAsia="zh-CN"/>
        </w:rPr>
        <w:t>第二章  企业成长支持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第二条</w:t>
      </w:r>
      <w:r>
        <w:rPr>
          <w:rFonts w:hint="eastAsia" w:ascii="仿宋_GB2312" w:hAnsi="仿宋_GB2312" w:eastAsia="仿宋_GB2312" w:cs="仿宋_GB2312"/>
          <w:b w:val="0"/>
          <w:bCs w:val="0"/>
          <w:color w:val="auto"/>
          <w:sz w:val="32"/>
          <w:szCs w:val="32"/>
          <w:lang w:val="en-US" w:eastAsia="zh-CN"/>
        </w:rPr>
        <w:t xml:space="preserve">  </w:t>
      </w:r>
      <w:bookmarkStart w:id="0" w:name="OLE_LINK6"/>
      <w:r>
        <w:rPr>
          <w:rFonts w:hint="eastAsia" w:ascii="仿宋_GB2312" w:hAnsi="仿宋_GB2312" w:eastAsia="仿宋_GB2312" w:cs="仿宋_GB2312"/>
          <w:b w:val="0"/>
          <w:bCs w:val="0"/>
          <w:color w:val="auto"/>
          <w:sz w:val="32"/>
          <w:szCs w:val="32"/>
          <w:lang w:val="en-US" w:eastAsia="zh-CN"/>
        </w:rPr>
        <w:t>吸引文化及相关行业头部企业、高成长性企业，打造优质企业集群，依据企业创新性、成长性等情况，择优推荐申请政府产业引导基金支持。</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第三条</w:t>
      </w:r>
      <w:r>
        <w:rPr>
          <w:rFonts w:hint="eastAsia" w:ascii="仿宋_GB2312" w:hAnsi="仿宋_GB2312" w:eastAsia="仿宋_GB2312" w:cs="仿宋_GB2312"/>
          <w:b w:val="0"/>
          <w:bCs w:val="0"/>
          <w:color w:val="auto"/>
          <w:sz w:val="32"/>
          <w:szCs w:val="32"/>
          <w:lang w:val="en-US" w:eastAsia="zh-CN"/>
        </w:rPr>
        <w:t xml:space="preserve">  </w:t>
      </w:r>
      <w:bookmarkStart w:id="1" w:name="OLE_LINK7"/>
      <w:r>
        <w:rPr>
          <w:rFonts w:hint="eastAsia" w:ascii="仿宋_GB2312" w:hAnsi="仿宋_GB2312" w:eastAsia="仿宋_GB2312" w:cs="仿宋_GB2312"/>
          <w:b w:val="0"/>
          <w:bCs w:val="0"/>
          <w:color w:val="auto"/>
          <w:sz w:val="32"/>
          <w:szCs w:val="32"/>
          <w:lang w:val="en-US" w:eastAsia="zh-CN"/>
        </w:rPr>
        <w:t>支持企业</w:t>
      </w:r>
      <w:bookmarkStart w:id="2" w:name="OLE_LINK8"/>
      <w:r>
        <w:rPr>
          <w:rFonts w:hint="eastAsia" w:ascii="仿宋_GB2312" w:hAnsi="仿宋_GB2312" w:eastAsia="仿宋_GB2312" w:cs="仿宋_GB2312"/>
          <w:b w:val="0"/>
          <w:bCs w:val="0"/>
          <w:color w:val="auto"/>
          <w:sz w:val="32"/>
          <w:szCs w:val="32"/>
          <w:lang w:val="en-US" w:eastAsia="zh-CN"/>
        </w:rPr>
        <w:t>升规</w:t>
      </w:r>
      <w:bookmarkEnd w:id="2"/>
      <w:r>
        <w:rPr>
          <w:rFonts w:hint="eastAsia" w:ascii="仿宋_GB2312" w:hAnsi="仿宋_GB2312" w:eastAsia="仿宋_GB2312" w:cs="仿宋_GB2312"/>
          <w:b w:val="0"/>
          <w:bCs w:val="0"/>
          <w:color w:val="auto"/>
          <w:sz w:val="32"/>
          <w:szCs w:val="32"/>
          <w:lang w:val="en-US" w:eastAsia="zh-CN"/>
        </w:rPr>
        <w:t>纳统。对符合产业定位并首次纳入规模以上统计的文化、体育和娱乐业企业，一次性给予20万元资金奖励。</w:t>
      </w:r>
    </w:p>
    <w:bookmarkEnd w:id="1"/>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CESI黑体-GB13000" w:hAnsi="CESI黑体-GB13000" w:eastAsia="CESI黑体-GB13000" w:cs="CESI黑体-GB13000"/>
          <w:sz w:val="32"/>
          <w:szCs w:val="32"/>
          <w:lang w:val="en-US" w:eastAsia="zh-CN"/>
        </w:rPr>
      </w:pPr>
      <w:r>
        <w:rPr>
          <w:rFonts w:hint="eastAsia" w:ascii="CESI黑体-GB13000" w:hAnsi="CESI黑体-GB13000" w:eastAsia="CESI黑体-GB13000" w:cs="CESI黑体-GB13000"/>
          <w:b w:val="0"/>
          <w:bCs w:val="0"/>
          <w:color w:val="auto"/>
          <w:sz w:val="32"/>
          <w:szCs w:val="32"/>
          <w:lang w:val="en" w:eastAsia="zh-CN"/>
        </w:rPr>
        <w:t>第三章</w:t>
      </w:r>
      <w:r>
        <w:rPr>
          <w:rFonts w:hint="eastAsia" w:ascii="CESI黑体-GB13000" w:hAnsi="CESI黑体-GB13000" w:eastAsia="CESI黑体-GB13000" w:cs="CESI黑体-GB13000"/>
          <w:b w:val="0"/>
          <w:bCs w:val="0"/>
          <w:color w:val="auto"/>
          <w:sz w:val="32"/>
          <w:szCs w:val="32"/>
          <w:lang w:val="en-US" w:eastAsia="zh-CN"/>
        </w:rPr>
        <w:t xml:space="preserve">  作品及人才奖励支持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 w:eastAsia="zh-CN"/>
        </w:rPr>
        <w:t>第四条</w:t>
      </w:r>
      <w:r>
        <w:rPr>
          <w:rFonts w:hint="eastAsia" w:ascii="仿宋_GB2312" w:hAnsi="仿宋_GB2312" w:eastAsia="仿宋_GB2312" w:cs="仿宋_GB2312"/>
          <w:b w:val="0"/>
          <w:bCs w:val="0"/>
          <w:color w:val="auto"/>
          <w:sz w:val="32"/>
          <w:szCs w:val="32"/>
          <w:lang w:val="en-US" w:eastAsia="zh-CN"/>
        </w:rPr>
        <w:t xml:space="preserve">  对优秀影视作品，在创作、发行放映和获奖方面给予支持，具体如下：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（一）对院线电影类作品：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1.对入围北京国际电影节创投单元前20名的项目，在获得北京市宣传文化引导基金扶持资金的基础上，可申请与市级扶持资金等额的配套资金，单个项目最高50万元。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以第一出品单位身份（备案立项方）制作的电影登陆城市院线，票房1亿元（含）—5亿元的，给予100万元资金支持；票房5亿元（含）—10亿元的,给予150万元资金支持；票房10亿元以上的，给予200万元的奖励（每个出品单位仅能申报一个电影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对电视剧类作品：以第一出品单位身份（备案立项方）制作的电视剧在央视及地方卫视黄金时段（19:30—22:30）首播，给予100万元资金支持；在以上频道非黄金时段首播的，奖励减半（每个出品单位仅能申报一个电视剧作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（三）对网络影视剧类作品：以第一出品单位身份（备案立项方）制作的网络剧、网络电影</w:t>
      </w:r>
      <w:r>
        <w:rPr>
          <w:rFonts w:hint="eastAsia" w:ascii="仿宋_GB2312" w:hAnsi="仿宋_GB2312" w:eastAsia="仿宋_GB2312" w:cs="仿宋_GB2312"/>
          <w:b w:val="0"/>
          <w:bCs w:val="0"/>
          <w:color w:val="000000"/>
          <w:sz w:val="32"/>
          <w:szCs w:val="32"/>
          <w:lang w:val="en-US" w:eastAsia="zh-CN"/>
        </w:rPr>
        <w:t>、网络微短剧在</w:t>
      </w:r>
      <w:r>
        <w:rPr>
          <w:rFonts w:hint="eastAsia" w:ascii="仿宋_GB2312" w:hAnsi="仿宋_GB2312" w:eastAsia="仿宋_GB2312" w:cs="仿宋_GB2312"/>
          <w:color w:val="000000"/>
          <w:sz w:val="32"/>
          <w:szCs w:val="32"/>
        </w:rPr>
        <w:t>国内网络视听节目播出平台播出的</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kern w:val="2"/>
          <w:sz w:val="32"/>
          <w:szCs w:val="32"/>
          <w:lang w:val="en-US" w:eastAsia="zh-CN" w:bidi="ar-SA"/>
        </w:rPr>
        <w:t>版权收入总额或有效收益分成总额达到1000万元（含）以上的，给予不超过总投资2%的资金支持，最高奖励</w:t>
      </w:r>
      <w:r>
        <w:rPr>
          <w:rFonts w:hint="eastAsia" w:ascii="仿宋_GB2312" w:hAnsi="仿宋_GB2312" w:eastAsia="仿宋_GB2312" w:cs="仿宋_GB2312"/>
          <w:b w:val="0"/>
          <w:bCs w:val="0"/>
          <w:color w:val="auto"/>
          <w:kern w:val="2"/>
          <w:sz w:val="32"/>
          <w:szCs w:val="32"/>
          <w:lang w:val="en-US" w:eastAsia="zh-CN" w:bidi="ar-SA"/>
        </w:rPr>
        <w:t>100万元。每年奖励最高10部。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lang w:val="en-US" w:eastAsia="zh-CN" w:bidi="ar-SA"/>
        </w:rPr>
      </w:pPr>
      <w:bookmarkStart w:id="3" w:name="OLE_LINK3"/>
      <w:r>
        <w:rPr>
          <w:rFonts w:hint="eastAsia" w:ascii="仿宋_GB2312" w:hAnsi="仿宋_GB2312" w:eastAsia="仿宋_GB2312" w:cs="仿宋_GB2312"/>
          <w:b w:val="0"/>
          <w:bCs w:val="0"/>
          <w:color w:val="auto"/>
          <w:sz w:val="32"/>
          <w:szCs w:val="32"/>
          <w:lang w:val="en-US" w:eastAsia="zh-CN"/>
        </w:rPr>
        <w:t>（四）对微短剧类作品：通过国家广电总局、北京市广电局备案的网络微短剧作品，在</w:t>
      </w:r>
      <w:r>
        <w:rPr>
          <w:rFonts w:hint="eastAsia" w:ascii="仿宋_GB2312" w:hAnsi="仿宋_GB2312" w:eastAsia="仿宋_GB2312" w:cs="仿宋_GB2312"/>
          <w:color w:val="000000"/>
          <w:sz w:val="32"/>
          <w:szCs w:val="32"/>
        </w:rPr>
        <w:t>网络视听节目</w:t>
      </w:r>
      <w:r>
        <w:rPr>
          <w:rFonts w:hint="eastAsia" w:ascii="仿宋_GB2312" w:hAnsi="仿宋_GB2312" w:eastAsia="仿宋_GB2312" w:cs="仿宋_GB2312"/>
          <w:color w:val="000000"/>
          <w:sz w:val="32"/>
          <w:szCs w:val="32"/>
          <w:lang w:eastAsia="zh-CN"/>
        </w:rPr>
        <w:t>平台</w:t>
      </w:r>
      <w:r>
        <w:rPr>
          <w:rFonts w:hint="eastAsia" w:ascii="仿宋_GB2312" w:hAnsi="仿宋_GB2312" w:eastAsia="仿宋_GB2312" w:cs="仿宋_GB2312"/>
          <w:color w:val="000000"/>
          <w:sz w:val="32"/>
          <w:szCs w:val="32"/>
        </w:rPr>
        <w:t>播出</w:t>
      </w:r>
      <w:r>
        <w:rPr>
          <w:rFonts w:hint="eastAsia" w:ascii="仿宋_GB2312" w:hAnsi="仿宋_GB2312" w:eastAsia="仿宋_GB2312" w:cs="仿宋_GB2312"/>
          <w:color w:val="000000"/>
          <w:sz w:val="32"/>
          <w:szCs w:val="32"/>
          <w:lang w:eastAsia="zh-CN"/>
        </w:rPr>
        <w:t>后，</w:t>
      </w:r>
      <w:r>
        <w:rPr>
          <w:rFonts w:hint="eastAsia" w:ascii="仿宋_GB2312" w:hAnsi="仿宋_GB2312" w:eastAsia="仿宋_GB2312" w:cs="仿宋_GB2312"/>
          <w:b w:val="0"/>
          <w:bCs w:val="0"/>
          <w:color w:val="auto"/>
          <w:sz w:val="32"/>
          <w:szCs w:val="32"/>
          <w:lang w:val="en-US" w:eastAsia="zh-CN"/>
        </w:rPr>
        <w:t>给予备案方3万元的补助，单个出品单位每年扶持金额最高30万元。</w:t>
      </w:r>
      <w:bookmarkEnd w:id="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（五）对作品评优及获奖支持：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以第一出品单位身份（备案立项方）制作的影视作品获得国家“五个一工程奖”；电影类获得华表奖、百花奖、金鸡奖等国家级和天坛奖、国际A类电影奖最佳故事片奖；电视剧类获得飞天奖、金鹰奖等国家级奖项的，均给予一次性奖励100万元。获以上奖项的最佳导演奖、最佳男主角奖、最佳女主角奖的，给予一次性奖励50万元。如同一部作品获得多个奖项的，奖励不重复享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lang w:val="en-US" w:eastAsia="zh-CN"/>
        </w:rPr>
      </w:pPr>
      <w:r>
        <w:rPr>
          <w:rFonts w:hint="eastAsia" w:ascii="仿宋_GB2312" w:hAnsi="仿宋_GB2312" w:eastAsia="仿宋_GB2312" w:cs="仿宋_GB2312"/>
          <w:b w:val="0"/>
          <w:bCs w:val="0"/>
          <w:color w:val="auto"/>
          <w:sz w:val="32"/>
          <w:szCs w:val="32"/>
          <w:lang w:val="en-US" w:eastAsia="zh-CN"/>
        </w:rPr>
        <w:t>2.对入选广电总局组织“跟着微短剧去旅行”创作计划和年度推选目录的微短剧、入选市广电局年度推选目录的微短剧和网络视听平台扶持计划的且在首页首屏首推播出的微短剧分别给予最高30万元、20万元、10万元、5万元的奖励。</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CESI黑体-GB13000" w:hAnsi="CESI黑体-GB13000" w:eastAsia="CESI黑体-GB13000" w:cs="CESI黑体-GB13000"/>
          <w:b w:val="0"/>
          <w:bCs w:val="0"/>
          <w:color w:val="auto"/>
          <w:sz w:val="32"/>
          <w:szCs w:val="32"/>
          <w:lang w:val="en-US" w:eastAsia="zh-CN"/>
        </w:rPr>
      </w:pPr>
      <w:r>
        <w:rPr>
          <w:rFonts w:hint="eastAsia" w:ascii="CESI黑体-GB13000" w:hAnsi="CESI黑体-GB13000" w:eastAsia="CESI黑体-GB13000" w:cs="CESI黑体-GB13000"/>
          <w:b w:val="0"/>
          <w:bCs w:val="0"/>
          <w:color w:val="auto"/>
          <w:sz w:val="32"/>
          <w:szCs w:val="32"/>
          <w:lang w:val="en-US" w:eastAsia="zh-CN"/>
        </w:rPr>
        <w:t>第四章 影视新技术创新支持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bookmarkStart w:id="4" w:name="OLE_LINK4"/>
      <w:r>
        <w:rPr>
          <w:rFonts w:hint="eastAsia" w:ascii="仿宋_GB2312" w:hAnsi="仿宋_GB2312" w:eastAsia="仿宋_GB2312" w:cs="仿宋_GB2312"/>
          <w:b w:val="0"/>
          <w:bCs w:val="0"/>
          <w:color w:val="auto"/>
          <w:kern w:val="2"/>
          <w:sz w:val="32"/>
          <w:szCs w:val="32"/>
          <w:lang w:val="en-US" w:eastAsia="zh-CN" w:bidi="ar-SA"/>
        </w:rPr>
        <w:t>增强文化科技融合和创新能力，促进视听科技、精品电竞、游戏等领域技术研发。支持相关企业申报市级及以上工程技术中心、实验室等经认定的研发平台，给予最高200万元扶持。</w:t>
      </w:r>
      <w:bookmarkEnd w:id="4"/>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CESI黑体-GB13000" w:hAnsi="CESI黑体-GB13000" w:eastAsia="CESI黑体-GB13000" w:cs="CESI黑体-GB13000"/>
          <w:sz w:val="32"/>
          <w:szCs w:val="32"/>
          <w:lang w:val="en-US" w:eastAsia="zh-CN"/>
        </w:rPr>
      </w:pPr>
      <w:r>
        <w:rPr>
          <w:rFonts w:hint="eastAsia" w:ascii="CESI黑体-GB13000" w:hAnsi="CESI黑体-GB13000" w:eastAsia="CESI黑体-GB13000" w:cs="CESI黑体-GB13000"/>
          <w:b w:val="0"/>
          <w:bCs w:val="0"/>
          <w:color w:val="auto"/>
          <w:sz w:val="32"/>
          <w:szCs w:val="32"/>
          <w:lang w:val="en-US" w:eastAsia="zh-CN"/>
        </w:rPr>
        <w:t>第五章  剧组拍摄制作支持</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 w:eastAsia="zh-CN"/>
        </w:rPr>
      </w:pPr>
      <w:r>
        <w:rPr>
          <w:rFonts w:hint="eastAsia" w:ascii="黑体" w:hAnsi="黑体" w:eastAsia="黑体" w:cs="黑体"/>
          <w:b w:val="0"/>
          <w:bCs w:val="0"/>
          <w:color w:val="auto"/>
          <w:sz w:val="32"/>
          <w:szCs w:val="32"/>
          <w:lang w:val="en" w:eastAsia="zh-CN"/>
        </w:rPr>
        <w:t>第六条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 w:eastAsia="zh-CN"/>
        </w:rPr>
        <w:t>鼓励重点影视剧、综艺节目等剧组利用怀柔资源进行拍摄创作，按照剧组在怀柔拍摄产生的餐饮、住宿、租赁费用（以发票为准）的</w:t>
      </w:r>
      <w:r>
        <w:rPr>
          <w:rFonts w:hint="eastAsia" w:ascii="仿宋_GB2312" w:hAnsi="仿宋_GB2312" w:eastAsia="仿宋_GB2312" w:cs="仿宋_GB2312"/>
          <w:b w:val="0"/>
          <w:bCs w:val="0"/>
          <w:color w:val="auto"/>
          <w:sz w:val="32"/>
          <w:szCs w:val="32"/>
          <w:lang w:val="en-US" w:eastAsia="zh-CN"/>
        </w:rPr>
        <w:t>10%予以支持</w:t>
      </w:r>
      <w:r>
        <w:rPr>
          <w:rFonts w:hint="eastAsia" w:ascii="仿宋_GB2312" w:hAnsi="仿宋_GB2312" w:eastAsia="仿宋_GB2312" w:cs="仿宋_GB2312"/>
          <w:b w:val="0"/>
          <w:bCs w:val="0"/>
          <w:color w:val="auto"/>
          <w:sz w:val="32"/>
          <w:szCs w:val="32"/>
          <w:lang w:val="en" w:eastAsia="zh-CN"/>
        </w:rPr>
        <w:t>，最高</w:t>
      </w:r>
      <w:r>
        <w:rPr>
          <w:rFonts w:hint="eastAsia" w:ascii="仿宋_GB2312" w:hAnsi="仿宋_GB2312" w:eastAsia="仿宋_GB2312" w:cs="仿宋_GB2312"/>
          <w:b w:val="0"/>
          <w:bCs w:val="0"/>
          <w:color w:val="auto"/>
          <w:sz w:val="32"/>
          <w:szCs w:val="32"/>
          <w:lang w:val="en-US" w:eastAsia="zh-CN"/>
        </w:rPr>
        <w:t>20万元</w:t>
      </w:r>
      <w:r>
        <w:rPr>
          <w:rFonts w:hint="eastAsia" w:ascii="仿宋_GB2312" w:hAnsi="仿宋_GB2312" w:eastAsia="仿宋_GB2312" w:cs="仿宋_GB2312"/>
          <w:b w:val="0"/>
          <w:bCs w:val="0"/>
          <w:color w:val="auto"/>
          <w:sz w:val="32"/>
          <w:szCs w:val="32"/>
          <w:lang w:val="en" w:eastAsia="zh-CN"/>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第七条</w:t>
      </w:r>
      <w:r>
        <w:rPr>
          <w:rFonts w:hint="eastAsia" w:ascii="仿宋_GB2312" w:hAnsi="仿宋_GB2312" w:eastAsia="仿宋_GB2312" w:cs="仿宋_GB2312"/>
          <w:b w:val="0"/>
          <w:bCs w:val="0"/>
          <w:color w:val="auto"/>
          <w:sz w:val="32"/>
          <w:szCs w:val="32"/>
          <w:lang w:val="en-US" w:eastAsia="zh-CN"/>
        </w:rPr>
        <w:t xml:space="preserve">  充分发挥怀柔国际影视摄制服务中心政务服务站职能，采取“线下帮办+绿色通道”模式，高效完成影视行业行政审批接件受理，为重点项目提供审批跟踪服务。</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 xml:space="preserve">  对获得影视行业行政审批或正规备案的影视项目，提供专人协拍服务，提供公共空间免费拍摄支持，全程配合剧组资源调配，高效对接群众演员需求。</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第九条</w:t>
      </w:r>
      <w:r>
        <w:rPr>
          <w:rFonts w:hint="eastAsia" w:ascii="仿宋_GB2312" w:hAnsi="仿宋_GB2312" w:eastAsia="仿宋_GB2312" w:cs="仿宋_GB2312"/>
          <w:b w:val="0"/>
          <w:bCs w:val="0"/>
          <w:color w:val="auto"/>
          <w:sz w:val="32"/>
          <w:szCs w:val="32"/>
          <w:lang w:val="en-US" w:eastAsia="zh-CN"/>
        </w:rPr>
        <w:t xml:space="preserve">  依托相关协会组织，大力协调影视服装、道具、器材、车辆、餐饮、住宿等方面资源，鼓励租赁单位提供给予最低3折优惠价。</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CESI黑体-GB13000" w:hAnsi="CESI黑体-GB13000" w:eastAsia="CESI黑体-GB13000" w:cs="CESI黑体-GB13000"/>
          <w:b w:val="0"/>
          <w:bCs w:val="0"/>
          <w:color w:val="auto"/>
          <w:sz w:val="32"/>
          <w:szCs w:val="32"/>
          <w:lang w:val="en-US" w:eastAsia="zh-CN"/>
        </w:rPr>
      </w:pPr>
      <w:r>
        <w:rPr>
          <w:rFonts w:hint="eastAsia" w:ascii="CESI黑体-GB13000" w:hAnsi="CESI黑体-GB13000" w:eastAsia="CESI黑体-GB13000" w:cs="CESI黑体-GB13000"/>
          <w:b w:val="0"/>
          <w:bCs w:val="0"/>
          <w:color w:val="auto"/>
          <w:sz w:val="32"/>
          <w:szCs w:val="32"/>
          <w:lang w:val="en-US" w:eastAsia="zh-CN"/>
        </w:rPr>
        <w:t>第六章  文化空间类支持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对于利用老旧厂房、楼宇等闲置资源改造为文化园区</w:t>
      </w:r>
      <w:r>
        <w:rPr>
          <w:rFonts w:hint="eastAsia" w:ascii="仿宋_GB2312" w:hAnsi="仿宋_GB2312" w:eastAsia="仿宋_GB2312" w:cs="仿宋_GB2312"/>
          <w:color w:val="auto"/>
          <w:sz w:val="32"/>
          <w:szCs w:val="32"/>
          <w:lang w:eastAsia="zh-CN"/>
        </w:rPr>
        <w:t>、文化消费空间的，</w:t>
      </w:r>
      <w:r>
        <w:rPr>
          <w:rFonts w:hint="eastAsia" w:ascii="仿宋_GB2312" w:hAnsi="仿宋_GB2312" w:eastAsia="仿宋_GB2312" w:cs="仿宋_GB2312"/>
          <w:sz w:val="32"/>
          <w:szCs w:val="32"/>
          <w:highlight w:val="none"/>
          <w:vertAlign w:val="baseline"/>
        </w:rPr>
        <w:t>经认定符合</w:t>
      </w:r>
      <w:r>
        <w:rPr>
          <w:rFonts w:hint="eastAsia" w:ascii="仿宋_GB2312" w:hAnsi="仿宋_GB2312" w:eastAsia="仿宋_GB2312" w:cs="仿宋_GB2312"/>
          <w:sz w:val="32"/>
          <w:szCs w:val="32"/>
          <w:highlight w:val="none"/>
          <w:vertAlign w:val="baseline"/>
          <w:lang w:eastAsia="zh-CN"/>
        </w:rPr>
        <w:t>规划和产业定位的，</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b w:val="0"/>
          <w:bCs w:val="0"/>
          <w:color w:val="auto"/>
          <w:sz w:val="32"/>
          <w:szCs w:val="32"/>
          <w:lang w:val="en-US" w:eastAsia="zh-CN"/>
        </w:rPr>
        <w:t>改造固定投资数额10%</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eastAsia="zh-CN"/>
        </w:rPr>
        <w:t>资金支持，最高</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00万元</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sz w:val="32"/>
          <w:szCs w:val="32"/>
          <w:lang w:val="en-US" w:eastAsia="zh-CN"/>
        </w:rPr>
      </w:pPr>
      <w:r>
        <w:rPr>
          <w:rFonts w:hint="eastAsia" w:ascii="黑体" w:hAnsi="黑体" w:eastAsia="黑体" w:cs="黑体"/>
          <w:b w:val="0"/>
          <w:bCs w:val="0"/>
          <w:color w:val="auto"/>
          <w:sz w:val="32"/>
          <w:szCs w:val="32"/>
          <w:lang w:eastAsia="zh-CN"/>
        </w:rPr>
        <w:t>第十一条</w:t>
      </w:r>
      <w:r>
        <w:rPr>
          <w:rFonts w:hint="eastAsia" w:ascii="仿宋_GB2312" w:hAnsi="仿宋_GB2312" w:eastAsia="仿宋_GB2312" w:cs="仿宋_GB2312"/>
          <w:color w:val="auto"/>
          <w:sz w:val="32"/>
          <w:szCs w:val="32"/>
          <w:lang w:val="en-US" w:eastAsia="zh-CN"/>
        </w:rPr>
        <w:t xml:space="preserve">  支持产业园区申报市级及以上重点文化类园区，获批市级文化类园区给予一次性奖励50万元；获批国家文化类园区给予一次性奖励100万元。</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CESI黑体-GB13000" w:hAnsi="CESI黑体-GB13000" w:eastAsia="CESI黑体-GB13000" w:cs="CESI黑体-GB13000"/>
          <w:b w:val="0"/>
          <w:bCs w:val="0"/>
          <w:color w:val="auto"/>
          <w:sz w:val="32"/>
          <w:szCs w:val="32"/>
          <w:lang w:val="en-US" w:eastAsia="zh-CN"/>
        </w:rPr>
      </w:pPr>
      <w:r>
        <w:rPr>
          <w:rFonts w:hint="eastAsia" w:ascii="CESI黑体-GB13000" w:hAnsi="CESI黑体-GB13000" w:eastAsia="CESI黑体-GB13000" w:cs="CESI黑体-GB13000"/>
          <w:b w:val="0"/>
          <w:bCs w:val="0"/>
          <w:color w:val="auto"/>
          <w:sz w:val="32"/>
          <w:szCs w:val="32"/>
          <w:lang w:val="en-US" w:eastAsia="zh-CN"/>
        </w:rPr>
        <w:t>第七章  文化消费新场景打造支持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支</w:t>
      </w:r>
      <w:bookmarkStart w:id="5" w:name="OLE_LINK1"/>
      <w:r>
        <w:rPr>
          <w:rFonts w:hint="eastAsia" w:ascii="仿宋_GB2312" w:hAnsi="仿宋_GB2312" w:eastAsia="仿宋_GB2312" w:cs="仿宋_GB2312"/>
          <w:color w:val="auto"/>
          <w:sz w:val="32"/>
          <w:szCs w:val="32"/>
          <w:lang w:eastAsia="zh-CN"/>
        </w:rPr>
        <w:t>持在公共空间融入文化元素，</w:t>
      </w:r>
      <w:bookmarkStart w:id="6" w:name="OLE_LINK5"/>
      <w:r>
        <w:rPr>
          <w:rFonts w:hint="eastAsia" w:ascii="仿宋_GB2312" w:hAnsi="仿宋_GB2312" w:eastAsia="仿宋_GB2312" w:cs="仿宋_GB2312"/>
          <w:color w:val="auto"/>
          <w:sz w:val="32"/>
          <w:szCs w:val="32"/>
          <w:lang w:eastAsia="zh-CN"/>
        </w:rPr>
        <w:t>开发消费新场景，举办电竞、体育赛事，虚拟现实互动体验，剧场演艺等活动，</w:t>
      </w:r>
      <w:bookmarkStart w:id="7" w:name="OLE_LINK2"/>
      <w:r>
        <w:rPr>
          <w:rFonts w:hint="eastAsia" w:ascii="仿宋_GB2312" w:hAnsi="仿宋_GB2312" w:eastAsia="仿宋_GB2312" w:cs="仿宋_GB2312"/>
          <w:color w:val="auto"/>
          <w:sz w:val="32"/>
          <w:szCs w:val="32"/>
          <w:lang w:eastAsia="zh-CN"/>
        </w:rPr>
        <w:t>经认定具有良好社会效益和较大影响力的，给予不超过实际投入</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0%、最高100万元奖励。</w:t>
      </w:r>
      <w:bookmarkEnd w:id="5"/>
    </w:p>
    <w:bookmarkEnd w:id="6"/>
    <w:bookmarkEnd w:id="7"/>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CESI黑体-GB13000" w:hAnsi="CESI黑体-GB13000" w:eastAsia="CESI黑体-GB13000" w:cs="CESI黑体-GB13000"/>
          <w:b w:val="0"/>
          <w:bCs w:val="0"/>
          <w:color w:val="auto"/>
          <w:sz w:val="32"/>
          <w:szCs w:val="32"/>
          <w:lang w:val="en-US" w:eastAsia="zh-CN"/>
        </w:rPr>
      </w:pPr>
      <w:r>
        <w:rPr>
          <w:rFonts w:hint="eastAsia" w:ascii="CESI黑体-GB13000" w:hAnsi="CESI黑体-GB13000" w:eastAsia="CESI黑体-GB13000" w:cs="CESI黑体-GB13000"/>
          <w:b w:val="0"/>
          <w:bCs w:val="0"/>
          <w:color w:val="auto"/>
          <w:sz w:val="32"/>
          <w:szCs w:val="32"/>
          <w:lang w:val="en-US" w:eastAsia="zh-CN"/>
        </w:rPr>
        <w:t>第八章  附则</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第十三条</w:t>
      </w:r>
      <w:r>
        <w:rPr>
          <w:rFonts w:hint="eastAsia" w:ascii="仿宋_GB2312" w:hAnsi="仿宋_GB2312" w:eastAsia="仿宋_GB2312" w:cs="仿宋_GB2312"/>
          <w:b w:val="0"/>
          <w:bCs w:val="0"/>
          <w:color w:val="auto"/>
          <w:sz w:val="32"/>
          <w:szCs w:val="32"/>
          <w:lang w:val="en-US" w:eastAsia="zh-CN"/>
        </w:rPr>
        <w:t xml:space="preserve">  享受本措施支持的企业或项目，不再同时享受怀柔区其他部门同类型的扶持政策。</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第十四条</w:t>
      </w:r>
      <w:r>
        <w:rPr>
          <w:rFonts w:hint="eastAsia" w:ascii="仿宋_GB2312" w:hAnsi="仿宋_GB2312" w:eastAsia="仿宋_GB2312" w:cs="仿宋_GB2312"/>
          <w:b w:val="0"/>
          <w:bCs w:val="0"/>
          <w:color w:val="auto"/>
          <w:sz w:val="32"/>
          <w:szCs w:val="32"/>
          <w:lang w:val="en-US" w:eastAsia="zh-CN"/>
        </w:rPr>
        <w:t xml:space="preserve">  享受本措施支持的企业应遵守诚信原则，如发现提供虚假材料、隐瞒有关情况等行为的，将依法依规追回支持奖励资金并严格追究责任。</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第十五条</w:t>
      </w:r>
      <w:r>
        <w:rPr>
          <w:rFonts w:hint="eastAsia" w:ascii="仿宋_GB2312" w:hAnsi="仿宋_GB2312" w:eastAsia="仿宋_GB2312" w:cs="仿宋_GB2312"/>
          <w:b w:val="0"/>
          <w:bCs w:val="0"/>
          <w:color w:val="auto"/>
          <w:sz w:val="32"/>
          <w:szCs w:val="32"/>
          <w:lang w:val="en-US" w:eastAsia="zh-CN"/>
        </w:rPr>
        <w:t xml:space="preserve">  本措施由怀柔区文化产业发展促进中心负责解释，联合相关单位共同落实，实施期间如遇国家及北京市相关政策变动，将做相应调整。本措施自印发之日起执行，试行一年。</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附件：怀柔区促进文化及相关</w:t>
      </w:r>
      <w:bookmarkStart w:id="9" w:name="_GoBack"/>
      <w:bookmarkEnd w:id="9"/>
      <w:r>
        <w:rPr>
          <w:rFonts w:hint="eastAsia" w:ascii="仿宋_GB2312" w:hAnsi="仿宋_GB2312" w:eastAsia="仿宋_GB2312" w:cs="仿宋_GB2312"/>
          <w:b w:val="0"/>
          <w:bCs w:val="0"/>
          <w:color w:val="auto"/>
          <w:sz w:val="32"/>
          <w:szCs w:val="32"/>
          <w:lang w:val="en-US" w:eastAsia="zh-CN"/>
        </w:rPr>
        <w:t>产业高质量发展若干措施申报指南</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2560" w:firstLineChars="8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北京市怀柔区文化产业发展促进中心</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2024年12月30日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怀柔区促进文化及相关产业高质量</w:t>
      </w:r>
      <w:r>
        <w:rPr>
          <w:rFonts w:hint="eastAsia" w:ascii="方正小标宋简体" w:hAnsi="方正小标宋简体" w:eastAsia="方正小标宋简体" w:cs="方正小标宋简体"/>
          <w:b w:val="0"/>
          <w:bCs/>
          <w:sz w:val="44"/>
          <w:szCs w:val="44"/>
        </w:rPr>
        <w:t>发展</w:t>
      </w:r>
      <w:r>
        <w:rPr>
          <w:rFonts w:hint="eastAsia" w:ascii="方正小标宋简体" w:hAnsi="方正小标宋简体" w:eastAsia="方正小标宋简体" w:cs="方正小标宋简体"/>
          <w:b w:val="0"/>
          <w:bCs/>
          <w:sz w:val="44"/>
          <w:szCs w:val="44"/>
          <w:lang w:eastAsia="zh-CN"/>
        </w:rPr>
        <w:t>若干措施申报指南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highlight w:val="none"/>
          <w:u w:val="none"/>
          <w:lang w:val="en-US" w:eastAsia="zh-CN"/>
        </w:rPr>
        <w:t>申报公司或项目符合国家、北京市相关法律法规和怀柔区功能定位，</w:t>
      </w:r>
      <w:r>
        <w:rPr>
          <w:rFonts w:hint="eastAsia" w:ascii="仿宋_GB2312" w:hAnsi="仿宋_GB2312" w:eastAsia="仿宋_GB2312" w:cs="仿宋_GB2312"/>
          <w:b w:val="0"/>
          <w:bCs w:val="0"/>
          <w:color w:val="auto"/>
          <w:kern w:val="2"/>
          <w:sz w:val="32"/>
          <w:szCs w:val="32"/>
          <w:lang w:val="en-US" w:eastAsia="zh-CN" w:bidi="ar-SA"/>
        </w:rPr>
        <w:t>符合国家、北京市、怀柔产业政策要求。有下列情况不适用本办法</w:t>
      </w:r>
      <w:r>
        <w:rPr>
          <w:rFonts w:hint="eastAsia" w:ascii="仿宋_GB2312" w:hAnsi="仿宋_GB2312" w:eastAsia="仿宋_GB2312" w:cs="仿宋_GB2312"/>
          <w:color w:val="auto"/>
          <w:sz w:val="32"/>
          <w:szCs w:val="32"/>
          <w:highlight w:val="none"/>
          <w:u w:val="none"/>
          <w:lang w:val="en-US" w:eastAsia="zh-CN"/>
        </w:rPr>
        <w:t>（1）已获得同类别区级财政资金支持的；（2）在“信用中国”网站上记录违法失信的市场主体。具体申报指南如下：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一、支持企业成长方面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楷体_GB2312" w:hAnsi="楷体_GB2312" w:eastAsia="楷体_GB2312" w:cs="楷体_GB2312"/>
          <w:b/>
          <w:bCs/>
          <w:color w:val="auto"/>
          <w:sz w:val="32"/>
          <w:szCs w:val="32"/>
          <w:highlight w:val="none"/>
          <w:lang w:eastAsia="zh-CN"/>
        </w:rPr>
        <w:t>产业引导资金方面：</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申报项目需符合市区两级相关基金，主要包括“北京市人工智能产业投资基金”、“北京市信息产业发展投资基金”、“北京怀柔硬科技产业发展基金”等支持的产业方向。</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bCs/>
          <w:color w:val="auto"/>
          <w:kern w:val="2"/>
          <w:sz w:val="32"/>
          <w:szCs w:val="32"/>
          <w:highlight w:val="none"/>
          <w:lang w:val="en-US" w:eastAsia="zh-CN" w:bidi="ar-SA"/>
        </w:rPr>
        <w:t>企业升规纳统方面：</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eastAsia="zh-CN"/>
        </w:rPr>
        <w:t>首次纳入规模以上统计的</w:t>
      </w:r>
      <w:r>
        <w:rPr>
          <w:rFonts w:hint="eastAsia" w:ascii="仿宋_GB2312" w:hAnsi="仿宋_GB2312" w:eastAsia="仿宋_GB2312" w:cs="仿宋_GB2312"/>
          <w:color w:val="auto"/>
          <w:sz w:val="32"/>
          <w:szCs w:val="32"/>
          <w:highlight w:val="none"/>
          <w:u w:val="none"/>
          <w:lang w:val="en-US" w:eastAsia="zh-CN"/>
        </w:rPr>
        <w:t>文化、体育、娱乐业企业。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（二）申报材料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1.申报表；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2.企业法人营业执照；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3.企业年度完税凭证；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4.企业相关资质证明；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5.法定代表人身份证明、委托书及委托人身份证明；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6.申报企业在信用中国或国家企业信用信息公示系统等渠道的征信查询结果证明（下载报告或截图）；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7.申报产业基金的项目，按照所申报的基金具体管理要求提交相关资料；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8.所提供资料均需加盖企业公章。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二、支持作品及获奖方面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（一）申报条件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1.创投类项目需入围北京国际电影节创投单元前20名，且获得北京市宣传文化引导基金扶持。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2.创投项目若上映，片尾需鸣谢怀柔区人民政府。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3.获奖影视文化人才劳资关系所属公司应为怀柔企业，且获奖人员社保在所属公司缴纳。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4.申报企业为项目第一出品单位（备案立项方）。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1.申报书；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2.企业法人营业执照</w:t>
      </w:r>
      <w:r>
        <w:rPr>
          <w:rFonts w:hint="eastAsia" w:asci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3.企业年度完税凭证；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4.法定代表人身份证明、委托书及委托人身份证明；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5.影视作品的备案材料；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w:t>
      </w:r>
      <w:r>
        <w:rPr>
          <w:rFonts w:hint="default" w:ascii="仿宋_GB2312" w:hAnsi="仿宋_GB2312" w:eastAsia="仿宋_GB2312" w:cs="仿宋_GB2312"/>
          <w:b w:val="0"/>
          <w:bCs w:val="0"/>
          <w:color w:val="auto"/>
          <w:kern w:val="2"/>
          <w:sz w:val="32"/>
          <w:szCs w:val="32"/>
          <w:lang w:val="en-US" w:eastAsia="zh-CN" w:bidi="ar-SA"/>
        </w:rPr>
        <w:t>影视作品播出证明、播出合同</w:t>
      </w:r>
      <w:r>
        <w:rPr>
          <w:rFonts w:hint="eastAsia" w:ascii="仿宋_GB2312" w:hAnsi="仿宋_GB2312" w:eastAsia="仿宋_GB2312" w:cs="仿宋_GB2312"/>
          <w:b w:val="0"/>
          <w:bCs w:val="0"/>
          <w:color w:val="auto"/>
          <w:kern w:val="2"/>
          <w:sz w:val="32"/>
          <w:szCs w:val="32"/>
          <w:lang w:val="en-US" w:eastAsia="zh-CN" w:bidi="ar-SA"/>
        </w:rPr>
        <w:t>、票房收益</w:t>
      </w:r>
      <w:r>
        <w:rPr>
          <w:rFonts w:hint="default" w:ascii="仿宋_GB2312" w:hAnsi="仿宋_GB2312" w:eastAsia="仿宋_GB2312" w:cs="仿宋_GB2312"/>
          <w:b w:val="0"/>
          <w:bCs w:val="0"/>
          <w:color w:val="auto"/>
          <w:kern w:val="2"/>
          <w:sz w:val="32"/>
          <w:szCs w:val="32"/>
          <w:lang w:val="en-US" w:eastAsia="zh-CN" w:bidi="ar-SA"/>
        </w:rPr>
        <w:t>等证明材料；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7.第一出品方（备案方）申报权属证明材料;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8.获奖证书等相关证明材料；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9.申报企业在信用中国或国家企业信用信息公示系统等渠道的征信查询结果证明（下载报告或截图）；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lang w:val="en-US" w:eastAsia="zh-CN"/>
        </w:rPr>
      </w:pPr>
      <w:r>
        <w:rPr>
          <w:rFonts w:hint="eastAsia" w:ascii="仿宋_GB2312" w:hAnsi="仿宋_GB2312" w:eastAsia="仿宋_GB2312" w:cs="仿宋_GB2312"/>
          <w:b w:val="0"/>
          <w:bCs w:val="0"/>
          <w:color w:val="auto"/>
          <w:kern w:val="2"/>
          <w:sz w:val="32"/>
          <w:szCs w:val="32"/>
          <w:lang w:val="en-US" w:eastAsia="zh-CN" w:bidi="ar-SA"/>
        </w:rPr>
        <w:t>10.所提供资料均需加盖企业公章。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三、支持技术创新方面</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sz w:val="32"/>
          <w:szCs w:val="32"/>
          <w:highlight w:val="none"/>
          <w:shd w:val="clear" w:color="auto" w:fill="auto"/>
          <w:lang w:val="en-US" w:eastAsia="zh-CN"/>
        </w:rPr>
        <w:t>（一）申报条件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申报项目体现文化科技融合方向的创新技术。</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sz w:val="32"/>
          <w:szCs w:val="32"/>
          <w:highlight w:val="none"/>
          <w:shd w:val="clear" w:color="auto" w:fill="auto"/>
          <w:lang w:val="en-US" w:eastAsia="zh-CN"/>
        </w:rPr>
        <w:t>（二）申报材料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1.申报书；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2.企业法人营业执照；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3.企业年度完税凭证；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b w:val="0"/>
          <w:bCs w:val="0"/>
          <w:color w:val="auto"/>
          <w:kern w:val="2"/>
          <w:sz w:val="32"/>
          <w:szCs w:val="32"/>
          <w:lang w:val="en-US" w:eastAsia="zh-CN" w:bidi="ar-SA"/>
        </w:rPr>
        <w:t>4.法定代表人身份证明、委托书及委托人身份证明；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5.项目相关介绍；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6.项目获得国家级、市级认定的证书或文件；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7.申报企业在信用中国或国家企业信用信息公示系统等渠道的征信查询结果证明（下载报告或截图）；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lang w:val="en-US" w:eastAsia="zh-CN"/>
        </w:rPr>
      </w:pPr>
      <w:r>
        <w:rPr>
          <w:rFonts w:hint="eastAsia" w:ascii="仿宋_GB2312" w:hAnsi="仿宋_GB2312" w:eastAsia="仿宋_GB2312" w:cs="仿宋_GB2312"/>
          <w:b w:val="0"/>
          <w:bCs w:val="0"/>
          <w:color w:val="auto"/>
          <w:kern w:val="2"/>
          <w:sz w:val="32"/>
          <w:szCs w:val="32"/>
          <w:lang w:val="en-US" w:eastAsia="zh-CN" w:bidi="ar-SA"/>
        </w:rPr>
        <w:t>8.所提供资料均需加盖企业公章。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四、支持剧组拍摄方面</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sz w:val="32"/>
          <w:szCs w:val="32"/>
          <w:highlight w:val="none"/>
          <w:shd w:val="clear" w:color="auto" w:fill="auto"/>
          <w:lang w:val="en-US" w:eastAsia="zh-CN"/>
        </w:rPr>
        <w:t>（一）申报条件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1.剧组拍摄支持方面：</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（1）在怀柔区文化产业发展促进中心正式提交备案的剧组；</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（2）剧组演职人员不少于100人，且在怀柔拍摄周期不少于30天；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（3）拍摄作品中体现怀柔元素或场景；</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（4）拍摄期间在怀柔产生消费。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2.审批及协拍支持方面：</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（1）获得市级及以上影视审批部门立项许可且在怀柔区文化产业发展促进中心正式提交备案的剧组（微短剧剧组仅需在怀柔区文化产业发展促进中心备案）；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（2）拟获得租赁优惠的剧组所选的影视服装、道具、器材、车辆、餐饮、住宿等租赁单位应为北京市怀柔区影视服务协会会员单位。</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楷体_GB2312" w:hAnsi="楷体_GB2312" w:eastAsia="楷体_GB2312" w:cs="楷体_GB2312"/>
          <w:b w:val="0"/>
          <w:bCs w:val="0"/>
          <w:color w:val="auto"/>
          <w:sz w:val="32"/>
          <w:szCs w:val="32"/>
          <w:highlight w:val="none"/>
          <w:shd w:val="clear" w:color="auto" w:fill="auto"/>
          <w:lang w:val="en-US" w:eastAsia="zh-CN"/>
        </w:rPr>
      </w:pPr>
      <w:r>
        <w:rPr>
          <w:rFonts w:hint="eastAsia" w:ascii="楷体_GB2312" w:hAnsi="楷体_GB2312" w:eastAsia="楷体_GB2312" w:cs="楷体_GB2312"/>
          <w:b w:val="0"/>
          <w:bCs w:val="0"/>
          <w:color w:val="auto"/>
          <w:sz w:val="32"/>
          <w:szCs w:val="32"/>
          <w:highlight w:val="none"/>
          <w:shd w:val="clear" w:color="auto" w:fill="auto"/>
          <w:lang w:val="en-US" w:eastAsia="zh-CN"/>
        </w:rPr>
        <w:t>（二）申报材料</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hAnsi="仿宋_GB2312" w:eastAsia="仿宋_GB2312" w:cs="仿宋_GB2312"/>
          <w:b w:val="0"/>
          <w:color w:val="auto"/>
          <w:kern w:val="2"/>
          <w:sz w:val="32"/>
          <w:szCs w:val="32"/>
          <w:highlight w:val="none"/>
          <w:shd w:val="clear" w:color="auto" w:fill="auto"/>
          <w:lang w:val="en-US" w:eastAsia="zh-CN" w:bidi="ar-SA"/>
        </w:rPr>
        <w:t>1、</w:t>
      </w:r>
      <w:r>
        <w:rPr>
          <w:rFonts w:hint="eastAsia" w:ascii="仿宋_GB2312" w:eastAsia="仿宋_GB2312" w:cs="仿宋_GB2312"/>
          <w:color w:val="auto"/>
          <w:kern w:val="2"/>
          <w:sz w:val="32"/>
          <w:szCs w:val="32"/>
          <w:lang w:val="en-US" w:eastAsia="zh-CN" w:bidi="ar-SA"/>
        </w:rPr>
        <w:t>申报书；</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lang w:eastAsia="zh-CN"/>
        </w:rPr>
        <w:t>剧组在怀拍摄备案表；</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3、剧本备案、立项审批相关证明文件；</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4、</w:t>
      </w:r>
      <w:r>
        <w:rPr>
          <w:rFonts w:hint="eastAsia" w:ascii="仿宋_GB2312" w:hAnsi="Calibri" w:eastAsia="仿宋_GB2312" w:cs="仿宋_GB2312"/>
          <w:color w:val="auto"/>
          <w:kern w:val="2"/>
          <w:sz w:val="32"/>
          <w:szCs w:val="32"/>
          <w:lang w:val="en-US" w:eastAsia="zh-CN" w:bidi="ar-SA"/>
        </w:rPr>
        <w:t>剧组</w:t>
      </w:r>
      <w:r>
        <w:rPr>
          <w:rFonts w:hint="eastAsia" w:ascii="仿宋_GB2312" w:eastAsia="仿宋_GB2312" w:cs="仿宋_GB2312"/>
          <w:color w:val="auto"/>
          <w:kern w:val="2"/>
          <w:sz w:val="32"/>
          <w:szCs w:val="32"/>
          <w:lang w:val="en-US" w:eastAsia="zh-CN" w:bidi="ar-SA"/>
        </w:rPr>
        <w:t>在怀</w:t>
      </w:r>
      <w:r>
        <w:rPr>
          <w:rFonts w:hint="eastAsia" w:ascii="仿宋_GB2312" w:hAnsi="Calibri" w:eastAsia="仿宋_GB2312" w:cs="仿宋_GB2312"/>
          <w:color w:val="auto"/>
          <w:kern w:val="2"/>
          <w:sz w:val="32"/>
          <w:szCs w:val="32"/>
          <w:lang w:val="en-US" w:eastAsia="zh-CN" w:bidi="ar-SA"/>
        </w:rPr>
        <w:t>拍摄</w:t>
      </w:r>
      <w:r>
        <w:rPr>
          <w:rFonts w:hint="eastAsia" w:ascii="仿宋_GB2312" w:eastAsia="仿宋_GB2312" w:cs="仿宋_GB2312"/>
          <w:color w:val="auto"/>
          <w:kern w:val="2"/>
          <w:sz w:val="32"/>
          <w:szCs w:val="32"/>
          <w:lang w:val="en-US" w:eastAsia="zh-CN" w:bidi="ar-SA"/>
        </w:rPr>
        <w:t>产生的住宿、租赁等服务的合同、发票、银行回单复印件（以企业开具的发票为准）；</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5、剧组演职人员名单；</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6、剧组拍摄计划表；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kern w:val="2"/>
          <w:sz w:val="32"/>
          <w:szCs w:val="32"/>
          <w:lang w:val="en-US" w:eastAsia="zh-CN" w:bidi="ar-SA"/>
        </w:rPr>
        <w:t>7、</w:t>
      </w:r>
      <w:r>
        <w:rPr>
          <w:rFonts w:hint="default" w:ascii="仿宋_GB2312" w:eastAsia="仿宋_GB2312" w:cs="仿宋_GB2312"/>
          <w:color w:val="auto"/>
          <w:kern w:val="2"/>
          <w:sz w:val="32"/>
          <w:szCs w:val="32"/>
          <w:lang w:val="en-US" w:eastAsia="zh-CN" w:bidi="ar-SA"/>
        </w:rPr>
        <w:t>剧组在</w:t>
      </w:r>
      <w:r>
        <w:rPr>
          <w:rFonts w:hint="eastAsia" w:ascii="仿宋_GB2312" w:eastAsia="仿宋_GB2312" w:cs="仿宋_GB2312"/>
          <w:color w:val="auto"/>
          <w:kern w:val="2"/>
          <w:sz w:val="32"/>
          <w:szCs w:val="32"/>
          <w:lang w:val="en-US" w:eastAsia="zh-CN" w:bidi="ar-SA"/>
        </w:rPr>
        <w:t>怀柔</w:t>
      </w:r>
      <w:r>
        <w:rPr>
          <w:rFonts w:hint="default" w:ascii="仿宋_GB2312" w:eastAsia="仿宋_GB2312" w:cs="仿宋_GB2312"/>
          <w:color w:val="auto"/>
          <w:kern w:val="2"/>
          <w:sz w:val="32"/>
          <w:szCs w:val="32"/>
          <w:lang w:val="en-US" w:eastAsia="zh-CN" w:bidi="ar-SA"/>
        </w:rPr>
        <w:t>取景拍摄</w:t>
      </w:r>
      <w:r>
        <w:rPr>
          <w:rFonts w:hint="eastAsia" w:ascii="仿宋_GB2312" w:eastAsia="仿宋_GB2312" w:cs="仿宋_GB2312"/>
          <w:color w:val="auto"/>
          <w:kern w:val="2"/>
          <w:sz w:val="32"/>
          <w:szCs w:val="32"/>
          <w:lang w:val="en-US" w:eastAsia="zh-CN" w:bidi="ar-SA"/>
        </w:rPr>
        <w:t>的</w:t>
      </w:r>
      <w:r>
        <w:rPr>
          <w:rFonts w:hint="default" w:ascii="仿宋_GB2312" w:eastAsia="仿宋_GB2312" w:cs="仿宋_GB2312"/>
          <w:color w:val="auto"/>
          <w:kern w:val="2"/>
          <w:sz w:val="32"/>
          <w:szCs w:val="32"/>
          <w:lang w:val="en-US" w:eastAsia="zh-CN" w:bidi="ar-SA"/>
        </w:rPr>
        <w:t>剧照，不少于3张（需标注拍摄</w:t>
      </w:r>
      <w:r>
        <w:rPr>
          <w:rFonts w:hint="eastAsia" w:ascii="仿宋_GB2312" w:eastAsia="仿宋_GB2312" w:cs="仿宋_GB2312"/>
          <w:color w:val="auto"/>
          <w:kern w:val="2"/>
          <w:sz w:val="32"/>
          <w:szCs w:val="32"/>
          <w:lang w:val="en-US" w:eastAsia="zh-CN" w:bidi="ar-SA"/>
        </w:rPr>
        <w:t>时间、</w:t>
      </w:r>
      <w:r>
        <w:rPr>
          <w:rFonts w:hint="default" w:ascii="仿宋_GB2312" w:eastAsia="仿宋_GB2312" w:cs="仿宋_GB2312"/>
          <w:color w:val="auto"/>
          <w:kern w:val="2"/>
          <w:sz w:val="32"/>
          <w:szCs w:val="32"/>
          <w:lang w:val="en-US" w:eastAsia="zh-CN" w:bidi="ar-SA"/>
        </w:rPr>
        <w:t>地点）</w:t>
      </w:r>
      <w:r>
        <w:rPr>
          <w:rFonts w:hint="eastAsia" w:ascii="仿宋_GB2312" w:eastAsia="仿宋_GB2312" w:cs="仿宋_GB2312"/>
          <w:color w:val="auto"/>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8.所提供资料均需加盖企业公章。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五、支持文化空间方面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（一）申报条件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1.园区改造需符合怀柔区规划和产业定位要求；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2.园区改造项目需经属地和行业主管部门联合认定；</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国家级、北京市级文化类园区的称号，应由相关行政机关或地方政府决定和授予，具体以正式文件为准。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申报材料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b w:val="0"/>
          <w:color w:val="auto"/>
          <w:kern w:val="2"/>
          <w:sz w:val="32"/>
          <w:szCs w:val="32"/>
          <w:highlight w:val="none"/>
          <w:shd w:val="clear" w:color="auto" w:fill="auto"/>
          <w:lang w:val="en-US" w:eastAsia="zh-CN" w:bidi="ar-SA"/>
        </w:rPr>
      </w:pPr>
      <w:r>
        <w:rPr>
          <w:rFonts w:hint="eastAsia" w:ascii="仿宋_GB2312" w:hAnsi="仿宋_GB2312" w:eastAsia="仿宋_GB2312" w:cs="仿宋_GB2312"/>
          <w:b w:val="0"/>
          <w:color w:val="auto"/>
          <w:kern w:val="2"/>
          <w:sz w:val="32"/>
          <w:szCs w:val="32"/>
          <w:highlight w:val="none"/>
          <w:shd w:val="clear" w:color="auto" w:fill="auto"/>
          <w:lang w:val="en-US" w:eastAsia="zh-CN" w:bidi="ar-SA"/>
        </w:rPr>
        <w:t>1.</w:t>
      </w:r>
      <w:r>
        <w:rPr>
          <w:rFonts w:hint="eastAsia" w:ascii="仿宋_GB2312" w:eastAsia="仿宋_GB2312" w:cs="仿宋_GB2312"/>
          <w:color w:val="auto"/>
          <w:kern w:val="2"/>
          <w:sz w:val="32"/>
          <w:szCs w:val="32"/>
          <w:lang w:val="en-US" w:eastAsia="zh-CN" w:bidi="ar-SA"/>
        </w:rPr>
        <w:t>申报书；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hAnsi="仿宋_GB2312" w:eastAsia="仿宋_GB2312" w:cs="仿宋_GB2312"/>
          <w:b w:val="0"/>
          <w:color w:val="auto"/>
          <w:kern w:val="2"/>
          <w:sz w:val="32"/>
          <w:szCs w:val="32"/>
          <w:highlight w:val="none"/>
          <w:shd w:val="clear" w:color="auto" w:fill="auto"/>
          <w:lang w:val="en-US" w:eastAsia="zh-CN" w:bidi="ar-SA"/>
        </w:rPr>
        <w:t>2.</w:t>
      </w:r>
      <w:r>
        <w:rPr>
          <w:rFonts w:hint="eastAsia" w:ascii="仿宋_GB2312" w:eastAsia="仿宋_GB2312" w:cs="仿宋_GB2312"/>
          <w:color w:val="auto"/>
          <w:sz w:val="32"/>
          <w:szCs w:val="32"/>
        </w:rPr>
        <w:t>企业法人营业执照</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s="仿宋_GB2312"/>
          <w:color w:val="auto"/>
          <w:sz w:val="32"/>
          <w:szCs w:val="32"/>
          <w:lang w:val="en-US" w:eastAsia="zh-CN"/>
        </w:rPr>
        <w:t>3.企业</w:t>
      </w:r>
      <w:r>
        <w:rPr>
          <w:rFonts w:hint="eastAsia" w:ascii="仿宋_GB2312" w:eastAsia="仿宋_GB2312" w:cs="仿宋_GB2312"/>
          <w:color w:val="auto"/>
          <w:sz w:val="32"/>
          <w:szCs w:val="32"/>
        </w:rPr>
        <w:t>完税证明；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4.法定代表人身份证明、委托书及委托人身份证明；</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5.</w:t>
      </w:r>
      <w:r>
        <w:rPr>
          <w:rFonts w:hint="eastAsia" w:ascii="仿宋_GB2312" w:hAnsi="宋体" w:eastAsia="仿宋_GB2312" w:cs="仿宋_GB2312"/>
          <w:color w:val="auto"/>
          <w:sz w:val="32"/>
          <w:szCs w:val="32"/>
        </w:rPr>
        <w:t>项目可行性研究</w:t>
      </w:r>
      <w:r>
        <w:rPr>
          <w:rFonts w:hint="eastAsia" w:ascii="仿宋_GB2312" w:hAnsi="宋体" w:eastAsia="仿宋_GB2312" w:cs="仿宋_GB2312"/>
          <w:color w:val="auto"/>
          <w:sz w:val="32"/>
          <w:szCs w:val="32"/>
          <w:lang w:eastAsia="zh-CN"/>
        </w:rPr>
        <w:t>报告（仅改造类项目提供）</w:t>
      </w:r>
      <w:r>
        <w:rPr>
          <w:rFonts w:hint="eastAsia" w:ascii="仿宋_GB2312" w:hAnsi="宋体" w:eastAsia="仿宋_GB2312" w:cs="仿宋_GB2312"/>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6.项目立项、规划、建设等审批手续材料（仅改造类项目提供）；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rPr>
        <w:t>项目投资</w:t>
      </w:r>
      <w:r>
        <w:rPr>
          <w:rFonts w:hint="eastAsia" w:ascii="仿宋_GB2312" w:eastAsia="仿宋_GB2312" w:cs="仿宋_GB2312"/>
          <w:color w:val="auto"/>
          <w:sz w:val="32"/>
          <w:szCs w:val="32"/>
          <w:lang w:eastAsia="zh-CN"/>
        </w:rPr>
        <w:t>或设备采购</w:t>
      </w:r>
      <w:r>
        <w:rPr>
          <w:rFonts w:hint="eastAsia" w:ascii="仿宋_GB2312" w:eastAsia="仿宋_GB2312" w:cs="仿宋_GB2312"/>
          <w:color w:val="auto"/>
          <w:sz w:val="32"/>
          <w:szCs w:val="32"/>
        </w:rPr>
        <w:t>明细、财务支出凭证和相关票据</w:t>
      </w:r>
      <w:r>
        <w:rPr>
          <w:rFonts w:hint="eastAsia" w:ascii="仿宋_GB2312" w:eastAsia="仿宋_GB2312" w:cs="仿宋_GB2312"/>
          <w:color w:val="auto"/>
          <w:sz w:val="32"/>
          <w:szCs w:val="32"/>
          <w:lang w:eastAsia="zh-CN"/>
        </w:rPr>
        <w:t>（仅改造类项目提供）；</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lang w:val="en-US" w:eastAsia="zh-CN"/>
        </w:rPr>
      </w:pPr>
      <w:r>
        <w:rPr>
          <w:rFonts w:hint="eastAsia" w:ascii="仿宋_GB2312" w:eastAsia="仿宋_GB2312" w:cs="仿宋_GB2312"/>
          <w:color w:val="auto"/>
          <w:sz w:val="32"/>
          <w:szCs w:val="32"/>
          <w:lang w:val="en-US" w:eastAsia="zh-CN"/>
        </w:rPr>
        <w:t>8.属地和行业主管部门出具的认定证明</w:t>
      </w:r>
      <w:r>
        <w:rPr>
          <w:rFonts w:hint="eastAsia" w:ascii="仿宋_GB2312" w:eastAsia="仿宋_GB2312" w:cs="仿宋_GB2312"/>
          <w:color w:val="auto"/>
          <w:sz w:val="32"/>
          <w:szCs w:val="32"/>
          <w:lang w:eastAsia="zh-CN"/>
        </w:rPr>
        <w:t>（仅改造类项目提供）</w:t>
      </w:r>
      <w:r>
        <w:rPr>
          <w:rFonts w:hint="eastAsia" w:ascii="仿宋_GB2312" w:eastAsia="仿宋_GB2312" w:cs="仿宋_GB2312"/>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9.项目照片不少于三张</w:t>
      </w:r>
      <w:r>
        <w:rPr>
          <w:rFonts w:hint="default" w:ascii="仿宋_GB2312" w:eastAsia="仿宋_GB2312" w:cs="仿宋_GB2312"/>
          <w:color w:val="auto"/>
          <w:kern w:val="2"/>
          <w:sz w:val="32"/>
          <w:szCs w:val="32"/>
          <w:lang w:val="en-US" w:eastAsia="zh-CN" w:bidi="ar-SA"/>
        </w:rPr>
        <w:t>（需标注拍摄</w:t>
      </w:r>
      <w:r>
        <w:rPr>
          <w:rFonts w:hint="eastAsia" w:ascii="仿宋_GB2312" w:eastAsia="仿宋_GB2312" w:cs="仿宋_GB2312"/>
          <w:color w:val="auto"/>
          <w:kern w:val="2"/>
          <w:sz w:val="32"/>
          <w:szCs w:val="32"/>
          <w:lang w:val="en-US" w:eastAsia="zh-CN" w:bidi="ar-SA"/>
        </w:rPr>
        <w:t>时间、</w:t>
      </w:r>
      <w:r>
        <w:rPr>
          <w:rFonts w:hint="default" w:ascii="仿宋_GB2312" w:eastAsia="仿宋_GB2312" w:cs="仿宋_GB2312"/>
          <w:color w:val="auto"/>
          <w:kern w:val="2"/>
          <w:sz w:val="32"/>
          <w:szCs w:val="32"/>
          <w:lang w:val="en-US" w:eastAsia="zh-CN" w:bidi="ar-SA"/>
        </w:rPr>
        <w:t>地点）</w:t>
      </w:r>
      <w:r>
        <w:rPr>
          <w:rFonts w:hint="eastAsia" w:ascii="仿宋_GB2312" w:eastAsia="仿宋_GB2312" w:cs="仿宋_GB2312"/>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获得市级及以上认定的文化类园区证书或证明材料</w:t>
      </w:r>
      <w:r>
        <w:rPr>
          <w:rFonts w:hint="eastAsia" w:ascii="仿宋_GB2312" w:hAns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（仅园区认定类项目提供）；</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11.所提供资料均需加盖企业公章。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CESI黑体-GB13000" w:hAnsi="CESI黑体-GB13000" w:eastAsia="CESI黑体-GB13000" w:cs="CESI黑体-GB13000"/>
          <w:b w:val="0"/>
          <w:bCs w:val="0"/>
          <w:color w:val="auto"/>
          <w:sz w:val="32"/>
          <w:szCs w:val="32"/>
          <w:lang w:val="en-US" w:eastAsia="zh-CN"/>
        </w:rPr>
      </w:pPr>
      <w:r>
        <w:rPr>
          <w:rFonts w:hint="eastAsia" w:ascii="黑体" w:hAnsi="宋体" w:eastAsia="黑体" w:cs="黑体"/>
          <w:color w:val="auto"/>
          <w:sz w:val="32"/>
          <w:szCs w:val="32"/>
          <w:lang w:eastAsia="zh-CN"/>
        </w:rPr>
        <w:t>六、支持</w:t>
      </w:r>
      <w:r>
        <w:rPr>
          <w:rFonts w:hint="eastAsia" w:ascii="CESI黑体-GB13000" w:hAnsi="CESI黑体-GB13000" w:eastAsia="CESI黑体-GB13000" w:cs="CESI黑体-GB13000"/>
          <w:b w:val="0"/>
          <w:bCs w:val="0"/>
          <w:color w:val="auto"/>
          <w:sz w:val="32"/>
          <w:szCs w:val="32"/>
          <w:lang w:val="en-US" w:eastAsia="zh-CN"/>
        </w:rPr>
        <w:t>文化消费新场景打造方面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5"/>
        <w:jc w:val="left"/>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（一）申报条件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1.需符合怀柔区规划和产业定位要求；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CESI黑体-GB13000" w:hAnsi="CESI黑体-GB13000" w:eastAsia="CESI黑体-GB13000" w:cs="CESI黑体-GB13000"/>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2.需经属地和行业主管部门联合认定。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申报材料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b w:val="0"/>
          <w:color w:val="auto"/>
          <w:kern w:val="2"/>
          <w:sz w:val="32"/>
          <w:szCs w:val="32"/>
          <w:highlight w:val="none"/>
          <w:shd w:val="clear" w:color="auto" w:fill="auto"/>
          <w:lang w:val="en-US" w:eastAsia="zh-CN" w:bidi="ar-SA"/>
        </w:rPr>
      </w:pPr>
      <w:r>
        <w:rPr>
          <w:rFonts w:hint="eastAsia" w:ascii="仿宋_GB2312" w:hAnsi="仿宋_GB2312" w:eastAsia="仿宋_GB2312" w:cs="仿宋_GB2312"/>
          <w:b w:val="0"/>
          <w:color w:val="auto"/>
          <w:kern w:val="2"/>
          <w:sz w:val="32"/>
          <w:szCs w:val="32"/>
          <w:highlight w:val="none"/>
          <w:shd w:val="clear" w:color="auto" w:fill="auto"/>
          <w:lang w:val="en-US" w:eastAsia="zh-CN" w:bidi="ar-SA"/>
        </w:rPr>
        <w:t>1.</w:t>
      </w:r>
      <w:r>
        <w:rPr>
          <w:rFonts w:hint="eastAsia" w:ascii="仿宋_GB2312" w:eastAsia="仿宋_GB2312" w:cs="仿宋_GB2312"/>
          <w:color w:val="auto"/>
          <w:kern w:val="2"/>
          <w:sz w:val="32"/>
          <w:szCs w:val="32"/>
          <w:lang w:val="en-US" w:eastAsia="zh-CN" w:bidi="ar-SA"/>
        </w:rPr>
        <w:t>申报书；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s="仿宋_GB2312"/>
          <w:color w:val="auto"/>
          <w:sz w:val="32"/>
          <w:szCs w:val="32"/>
          <w:lang w:eastAsia="zh-CN"/>
        </w:rPr>
      </w:pPr>
      <w:r>
        <w:rPr>
          <w:rFonts w:hint="eastAsia" w:ascii="仿宋_GB2312" w:hAnsi="仿宋_GB2312" w:eastAsia="仿宋_GB2312" w:cs="仿宋_GB2312"/>
          <w:b w:val="0"/>
          <w:color w:val="auto"/>
          <w:kern w:val="2"/>
          <w:sz w:val="32"/>
          <w:szCs w:val="32"/>
          <w:highlight w:val="none"/>
          <w:shd w:val="clear" w:color="auto" w:fill="auto"/>
          <w:lang w:val="en-US" w:eastAsia="zh-CN" w:bidi="ar-SA"/>
        </w:rPr>
        <w:t>2.</w:t>
      </w:r>
      <w:r>
        <w:rPr>
          <w:rFonts w:hint="eastAsia" w:ascii="仿宋_GB2312" w:eastAsia="仿宋_GB2312" w:cs="仿宋_GB2312"/>
          <w:color w:val="auto"/>
          <w:sz w:val="32"/>
          <w:szCs w:val="32"/>
        </w:rPr>
        <w:t>企业法人营业执照</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s="仿宋_GB2312"/>
          <w:color w:val="auto"/>
          <w:sz w:val="32"/>
          <w:szCs w:val="32"/>
          <w:lang w:val="en-US" w:eastAsia="zh-CN"/>
        </w:rPr>
        <w:t>3.企业</w:t>
      </w:r>
      <w:r>
        <w:rPr>
          <w:rFonts w:hint="eastAsia" w:ascii="仿宋_GB2312" w:eastAsia="仿宋_GB2312" w:cs="仿宋_GB2312"/>
          <w:color w:val="auto"/>
          <w:sz w:val="32"/>
          <w:szCs w:val="32"/>
        </w:rPr>
        <w:t>完税证明；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4.法定代表人身份证明、委托书及委托人身份证明；</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5.场景体验类提供实施方案；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val="en-US" w:eastAsia="zh-CN"/>
        </w:rPr>
        <w:t>6.活动类</w:t>
      </w:r>
      <w:r>
        <w:rPr>
          <w:rFonts w:hint="eastAsia" w:ascii="仿宋_GB2312" w:hAnsi="宋体" w:eastAsia="仿宋_GB2312" w:cs="仿宋_GB2312"/>
          <w:color w:val="auto"/>
          <w:sz w:val="32"/>
          <w:szCs w:val="32"/>
          <w:lang w:eastAsia="zh-CN"/>
        </w:rPr>
        <w:t>在举办前在提供活动方案及报批手续，待活动结束后提供成果报告；</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lang w:val="en-US" w:eastAsia="zh-CN"/>
        </w:rPr>
      </w:pPr>
      <w:r>
        <w:rPr>
          <w:rFonts w:hint="eastAsia" w:ascii="仿宋_GB2312" w:eastAsia="仿宋_GB2312" w:cs="仿宋_GB2312"/>
          <w:color w:val="auto"/>
          <w:sz w:val="32"/>
          <w:szCs w:val="32"/>
          <w:lang w:val="en-US" w:eastAsia="zh-CN"/>
        </w:rPr>
        <w:t>7.属地和行业主管部门出具的认定证明；</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lang w:val="en-US" w:eastAsia="zh-CN"/>
        </w:rPr>
      </w:pPr>
      <w:r>
        <w:rPr>
          <w:rFonts w:hint="eastAsia" w:ascii="仿宋_GB2312" w:eastAsia="仿宋_GB2312" w:cs="仿宋_GB2312"/>
          <w:color w:val="auto"/>
          <w:sz w:val="32"/>
          <w:szCs w:val="32"/>
          <w:lang w:val="en-US" w:eastAsia="zh-CN"/>
        </w:rPr>
        <w:t>8.过程照片不少于三张</w:t>
      </w:r>
      <w:r>
        <w:rPr>
          <w:rFonts w:hint="default" w:ascii="仿宋_GB2312" w:eastAsia="仿宋_GB2312" w:cs="仿宋_GB2312"/>
          <w:color w:val="auto"/>
          <w:kern w:val="2"/>
          <w:sz w:val="32"/>
          <w:szCs w:val="32"/>
          <w:lang w:val="en-US" w:eastAsia="zh-CN" w:bidi="ar-SA"/>
        </w:rPr>
        <w:t>（需标注拍摄</w:t>
      </w:r>
      <w:r>
        <w:rPr>
          <w:rFonts w:hint="eastAsia" w:ascii="仿宋_GB2312" w:eastAsia="仿宋_GB2312" w:cs="仿宋_GB2312"/>
          <w:color w:val="auto"/>
          <w:kern w:val="2"/>
          <w:sz w:val="32"/>
          <w:szCs w:val="32"/>
          <w:lang w:val="en-US" w:eastAsia="zh-CN" w:bidi="ar-SA"/>
        </w:rPr>
        <w:t>时间、</w:t>
      </w:r>
      <w:r>
        <w:rPr>
          <w:rFonts w:hint="default" w:ascii="仿宋_GB2312" w:eastAsia="仿宋_GB2312" w:cs="仿宋_GB2312"/>
          <w:color w:val="auto"/>
          <w:kern w:val="2"/>
          <w:sz w:val="32"/>
          <w:szCs w:val="32"/>
          <w:lang w:val="en-US" w:eastAsia="zh-CN" w:bidi="ar-SA"/>
        </w:rPr>
        <w:t>地点）</w:t>
      </w:r>
      <w:r>
        <w:rPr>
          <w:rFonts w:hint="eastAsia" w:ascii="仿宋_GB2312" w:eastAsia="仿宋_GB2312" w:cs="仿宋_GB2312"/>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lang w:val="en-US" w:eastAsia="zh-CN"/>
        </w:rPr>
      </w:pPr>
      <w:r>
        <w:rPr>
          <w:rFonts w:hint="eastAsia" w:ascii="仿宋_GB2312" w:hAnsi="仿宋_GB2312" w:eastAsia="仿宋_GB2312" w:cs="仿宋_GB2312"/>
          <w:b w:val="0"/>
          <w:bCs w:val="0"/>
          <w:color w:val="auto"/>
          <w:kern w:val="2"/>
          <w:sz w:val="32"/>
          <w:szCs w:val="32"/>
          <w:lang w:val="en-US" w:eastAsia="zh-CN" w:bidi="ar-SA"/>
        </w:rPr>
        <w:t>9.所提供资料均需加盖企业公章。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黑体" w:hAnsi="宋体" w:eastAsia="黑体"/>
          <w:color w:val="auto"/>
          <w:sz w:val="32"/>
          <w:szCs w:val="32"/>
          <w:lang w:eastAsia="zh-CN"/>
        </w:rPr>
      </w:pPr>
      <w:r>
        <w:rPr>
          <w:rFonts w:hint="eastAsia" w:ascii="黑体" w:hAnsi="宋体" w:eastAsia="黑体" w:cs="黑体"/>
          <w:color w:val="auto"/>
          <w:sz w:val="32"/>
          <w:szCs w:val="32"/>
          <w:lang w:eastAsia="zh-CN"/>
        </w:rPr>
        <w:t>七</w:t>
      </w:r>
      <w:r>
        <w:rPr>
          <w:rFonts w:hint="eastAsia" w:ascii="黑体" w:hAnsi="宋体" w:eastAsia="黑体" w:cs="黑体"/>
          <w:color w:val="auto"/>
          <w:sz w:val="32"/>
          <w:szCs w:val="32"/>
        </w:rPr>
        <w:t>、</w:t>
      </w:r>
      <w:r>
        <w:rPr>
          <w:rFonts w:hint="eastAsia" w:ascii="黑体" w:hAnsi="宋体" w:eastAsia="黑体" w:cs="黑体"/>
          <w:color w:val="auto"/>
          <w:sz w:val="32"/>
          <w:szCs w:val="32"/>
          <w:lang w:eastAsia="zh-CN"/>
        </w:rPr>
        <w:t>申报流程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5"/>
        <w:jc w:val="left"/>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（一）公开征集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5"/>
        <w:jc w:val="left"/>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区文促中心</w:t>
      </w:r>
      <w:r>
        <w:rPr>
          <w:rFonts w:hint="eastAsia" w:ascii="仿宋_GB2312" w:eastAsia="仿宋_GB2312" w:cs="仿宋_GB2312"/>
          <w:color w:val="auto"/>
          <w:sz w:val="32"/>
          <w:szCs w:val="32"/>
          <w:lang w:eastAsia="zh-CN"/>
        </w:rPr>
        <w:t>每年向社会公开发布一次</w:t>
      </w:r>
      <w:r>
        <w:rPr>
          <w:rFonts w:hint="eastAsia" w:ascii="仿宋_GB2312" w:eastAsia="仿宋_GB2312" w:cs="仿宋_GB2312"/>
          <w:color w:val="auto"/>
          <w:sz w:val="32"/>
          <w:szCs w:val="32"/>
        </w:rPr>
        <w:t>申报通知</w:t>
      </w:r>
      <w:r>
        <w:rPr>
          <w:rFonts w:hint="eastAsia" w:ascii="仿宋_GB2312" w:eastAsia="仿宋_GB2312" w:cs="仿宋_GB2312"/>
          <w:color w:val="auto"/>
          <w:sz w:val="32"/>
          <w:szCs w:val="32"/>
          <w:lang w:eastAsia="zh-CN"/>
        </w:rPr>
        <w:t>，征集上一年度</w:t>
      </w:r>
      <w:r>
        <w:rPr>
          <w:rFonts w:hint="eastAsia" w:ascii="仿宋_GB2312" w:eastAsia="仿宋_GB2312" w:cs="仿宋_GB2312"/>
          <w:color w:val="auto"/>
          <w:sz w:val="32"/>
          <w:szCs w:val="32"/>
        </w:rPr>
        <w:t>符合支持</w:t>
      </w:r>
      <w:r>
        <w:rPr>
          <w:rFonts w:hint="eastAsia" w:ascii="仿宋_GB2312" w:eastAsia="仿宋_GB2312" w:cs="仿宋_GB2312"/>
          <w:color w:val="auto"/>
          <w:sz w:val="32"/>
          <w:szCs w:val="32"/>
          <w:lang w:eastAsia="zh-CN"/>
        </w:rPr>
        <w:t>条件</w:t>
      </w:r>
      <w:r>
        <w:rPr>
          <w:rFonts w:hint="eastAsia" w:ascii="仿宋_GB2312" w:eastAsia="仿宋_GB2312" w:cs="仿宋_GB2312"/>
          <w:color w:val="auto"/>
          <w:sz w:val="32"/>
          <w:szCs w:val="32"/>
        </w:rPr>
        <w:t>的</w:t>
      </w:r>
      <w:r>
        <w:rPr>
          <w:rFonts w:hint="eastAsia" w:ascii="仿宋_GB2312" w:eastAsia="仿宋_GB2312" w:cs="仿宋_GB2312"/>
          <w:color w:val="auto"/>
          <w:sz w:val="32"/>
          <w:szCs w:val="32"/>
          <w:lang w:eastAsia="zh-CN"/>
        </w:rPr>
        <w:t>项目</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凡符合条件者</w:t>
      </w:r>
      <w:r>
        <w:rPr>
          <w:rFonts w:hint="eastAsia" w:ascii="仿宋_GB2312" w:eastAsia="仿宋_GB2312" w:cs="仿宋_GB2312"/>
          <w:color w:val="auto"/>
          <w:sz w:val="32"/>
          <w:szCs w:val="32"/>
        </w:rPr>
        <w:t>均可</w:t>
      </w:r>
      <w:r>
        <w:rPr>
          <w:rFonts w:hint="eastAsia" w:ascii="仿宋_GB2312" w:eastAsia="仿宋_GB2312" w:cs="仿宋_GB2312"/>
          <w:color w:val="auto"/>
          <w:sz w:val="32"/>
          <w:szCs w:val="32"/>
          <w:lang w:eastAsia="zh-CN"/>
        </w:rPr>
        <w:t>申</w:t>
      </w:r>
      <w:r>
        <w:rPr>
          <w:rFonts w:hint="eastAsia" w:ascii="仿宋_GB2312" w:eastAsia="仿宋_GB2312" w:cs="仿宋_GB2312"/>
          <w:color w:val="auto"/>
          <w:sz w:val="32"/>
          <w:szCs w:val="32"/>
        </w:rPr>
        <w:t>报</w:t>
      </w:r>
      <w:r>
        <w:rPr>
          <w:rFonts w:hint="eastAsia" w:asci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5"/>
        <w:jc w:val="left"/>
        <w:textAlignment w:val="auto"/>
        <w:outlineLvl w:val="9"/>
        <w:rPr>
          <w:rFonts w:hint="eastAsia" w:ascii="仿宋_GB2312" w:eastAsia="仿宋_GB2312" w:cs="仿宋_GB2312"/>
          <w:color w:val="auto"/>
          <w:sz w:val="32"/>
          <w:szCs w:val="32"/>
        </w:rPr>
      </w:pPr>
      <w:r>
        <w:rPr>
          <w:rFonts w:hint="eastAsia" w:ascii="仿宋_GB2312" w:eastAsia="仿宋_GB2312" w:cs="仿宋_GB2312"/>
          <w:color w:val="auto"/>
          <w:sz w:val="32"/>
          <w:szCs w:val="32"/>
        </w:rPr>
        <w:t>项目申报</w:t>
      </w:r>
    </w:p>
    <w:p>
      <w:pPr>
        <w:pStyle w:val="2"/>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Calibri" w:eastAsia="仿宋_GB2312" w:cs="仿宋_GB2312"/>
          <w:color w:val="auto"/>
          <w:kern w:val="2"/>
          <w:sz w:val="32"/>
          <w:szCs w:val="32"/>
          <w:lang w:val="en-US" w:eastAsia="zh-CN" w:bidi="ar-SA"/>
        </w:rPr>
        <w:t xml:space="preserve">  申报单位可登录北京市人民政府门户网站“政策兑现”频道（https://zhengce.beijing.gov.cn ），选择相对应的项目申报。申报单位可在申请平台上查询审核进度、审核意见，申请材料不符合要求的，申报单位应根据审核意见，在2025年6月30日24时前补充材料，逾期将不予受理。如遇问题可咨询对应区文促中心（咨询电话010-69680072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5"/>
        <w:textAlignment w:val="auto"/>
        <w:outlineLvl w:val="9"/>
        <w:rPr>
          <w:rFonts w:hint="eastAsia" w:ascii="仿宋_GB2312" w:eastAsia="仿宋_GB2312"/>
          <w:color w:val="auto"/>
          <w:sz w:val="32"/>
          <w:szCs w:val="32"/>
          <w:lang w:eastAsia="zh-CN"/>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三</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第三方评审</w:t>
      </w:r>
    </w:p>
    <w:p>
      <w:pPr>
        <w:keepNext w:val="0"/>
        <w:keepLines w:val="0"/>
        <w:pageBreakBefore w:val="0"/>
        <w:widowControl w:val="0"/>
        <w:tabs>
          <w:tab w:val="left" w:pos="426"/>
        </w:tabs>
        <w:kinsoku/>
        <w:wordWrap/>
        <w:overflowPunct/>
        <w:topLinePunct w:val="0"/>
        <w:autoSpaceDE/>
        <w:autoSpaceDN/>
        <w:bidi w:val="0"/>
        <w:adjustRightInd w:val="0"/>
        <w:snapToGrid w:val="0"/>
        <w:spacing w:line="560" w:lineRule="exact"/>
        <w:ind w:left="0" w:leftChars="0" w:right="0" w:rightChars="0" w:firstLine="707" w:firstLineChars="221"/>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区文促中心委托第三方机构对项目进行评定，同时第三方机构组织项目联席会评审，并出具评审报告。</w:t>
      </w:r>
    </w:p>
    <w:p>
      <w:pPr>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（四））资金拨付</w:t>
      </w:r>
    </w:p>
    <w:p>
      <w:pPr>
        <w:keepNext w:val="0"/>
        <w:keepLines w:val="0"/>
        <w:pageBreakBefore w:val="0"/>
        <w:widowControl w:val="0"/>
        <w:numPr>
          <w:ilvl w:val="0"/>
          <w:numId w:val="0"/>
        </w:numPr>
        <w:tabs>
          <w:tab w:val="left" w:pos="426"/>
        </w:tabs>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区文促中心会同区财政局研究提出资金支持意见，报区政府审定后，兑现支持资金。</w:t>
      </w:r>
    </w:p>
    <w:p>
      <w:pPr>
        <w:pStyle w:val="2"/>
        <w:keepNext w:val="0"/>
        <w:keepLines w:val="0"/>
        <w:pageBreakBefore w:val="0"/>
        <w:kinsoku/>
        <w:wordWrap/>
        <w:overflowPunct/>
        <w:topLinePunct w:val="0"/>
        <w:autoSpaceDE/>
        <w:autoSpaceDN/>
        <w:bidi w:val="0"/>
        <w:adjustRightInd w:val="0"/>
        <w:snapToGrid w:val="0"/>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eastAsia="仿宋_GB2312"/>
          <w:lang w:eastAsia="zh-CN"/>
        </w:rPr>
      </w:pPr>
      <w:r>
        <w:rPr>
          <w:rFonts w:hint="eastAsia" w:ascii="仿宋_GB2312" w:eastAsia="仿宋_GB2312" w:cs="仿宋_GB2312"/>
          <w:color w:val="auto"/>
          <w:sz w:val="32"/>
          <w:szCs w:val="32"/>
          <w:lang w:eastAsia="zh-CN"/>
        </w:rPr>
        <w:t>重复使用同一发票申报项目视为重复申报，对于提供虚假材料、骗取财政资金、存在违法违规情况的市场主体，区文促中心有权收回支持资金，并根据国家相关法律、法规进行处理，同时将项目单位纳入失信名单管理。本政策与其他区级同类支持政策不可重复申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仿宋_GB2312" w:hAnsi="仿宋_GB2312" w:eastAsia="仿宋_GB2312" w:cs="仿宋_GB2312"/>
          <w:b w:val="0"/>
          <w:bCs w:val="0"/>
          <w:color w:val="auto"/>
          <w:sz w:val="32"/>
          <w:szCs w:val="32"/>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附件：申报书</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480" w:firstLineChars="14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480" w:firstLineChars="14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480" w:firstLineChars="14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480" w:firstLineChars="14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480" w:firstLineChars="14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480" w:firstLineChars="140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outlineLvl w:val="2"/>
      </w:pPr>
      <w:r>
        <w:rPr>
          <w:rFonts w:hint="eastAsia" w:ascii="仿宋_GB2312" w:hAnsi="宋体" w:eastAsia="仿宋_GB2312" w:cs="仿宋_GB2312"/>
          <w:b/>
          <w:bCs/>
          <w:sz w:val="32"/>
          <w:szCs w:val="32"/>
        </w:rPr>
        <w:t>附件</w:t>
      </w:r>
      <w:r>
        <w:rPr>
          <w:rFonts w:hint="eastAsia" w:ascii="仿宋_GB2312" w:hAnsi="宋体" w:eastAsia="仿宋_GB2312" w:cs="仿宋_GB2312"/>
          <w:b/>
          <w:bCs/>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申报书</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仿宋_GB2312" w:eastAsia="仿宋_GB2312"/>
          <w:b/>
          <w:bCs/>
          <w:sz w:val="28"/>
          <w:szCs w:val="28"/>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22" w:firstLineChars="150"/>
        <w:textAlignment w:val="auto"/>
        <w:rPr>
          <w:rFonts w:ascii="仿宋_GB2312" w:eastAsia="仿宋_GB2312"/>
          <w:b/>
          <w:bCs/>
          <w:sz w:val="28"/>
          <w:szCs w:val="28"/>
          <w:u w:val="single"/>
        </w:rPr>
      </w:pPr>
      <w:r>
        <w:rPr>
          <w:rFonts w:hint="eastAsia" w:ascii="仿宋_GB2312" w:hAnsi="宋体" w:eastAsia="仿宋_GB2312" w:cs="仿宋_GB2312"/>
          <w:b/>
          <w:bCs/>
          <w:sz w:val="28"/>
          <w:szCs w:val="28"/>
        </w:rPr>
        <w:t>项目名称：</w:t>
      </w:r>
      <w:r>
        <w:rPr>
          <w:rFonts w:ascii="仿宋_GB2312" w:hAnsi="宋体" w:eastAsia="仿宋_GB2312" w:cs="仿宋_GB2312"/>
          <w:b/>
          <w:bCs/>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22" w:firstLineChars="150"/>
        <w:textAlignment w:val="auto"/>
        <w:rPr>
          <w:rFonts w:ascii="仿宋_GB2312" w:eastAsia="仿宋_GB2312"/>
          <w:b/>
          <w:bCs/>
          <w:sz w:val="28"/>
          <w:szCs w:val="28"/>
        </w:rPr>
      </w:pPr>
      <w:r>
        <w:rPr>
          <w:rFonts w:hint="eastAsia" w:ascii="仿宋_GB2312" w:hAnsi="宋体" w:eastAsia="仿宋_GB2312" w:cs="仿宋_GB2312"/>
          <w:b/>
          <w:bCs/>
          <w:sz w:val="28"/>
          <w:szCs w:val="28"/>
        </w:rPr>
        <w:t>申报单位：</w:t>
      </w:r>
      <w:r>
        <w:rPr>
          <w:rFonts w:ascii="仿宋_GB2312" w:hAnsi="宋体" w:eastAsia="仿宋_GB2312" w:cs="仿宋_GB2312"/>
          <w:b/>
          <w:bCs/>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22" w:firstLineChars="150"/>
        <w:textAlignment w:val="auto"/>
        <w:rPr>
          <w:rFonts w:ascii="仿宋_GB2312" w:eastAsia="仿宋_GB2312"/>
          <w:b/>
          <w:bCs/>
          <w:sz w:val="28"/>
          <w:szCs w:val="28"/>
          <w:u w:val="single"/>
        </w:rPr>
      </w:pPr>
      <w:r>
        <w:rPr>
          <w:rFonts w:hint="eastAsia" w:ascii="仿宋_GB2312" w:hAnsi="宋体" w:eastAsia="仿宋_GB2312" w:cs="仿宋_GB2312"/>
          <w:b/>
          <w:bCs/>
          <w:sz w:val="28"/>
          <w:szCs w:val="28"/>
        </w:rPr>
        <w:t>法定代表人：</w:t>
      </w:r>
      <w:r>
        <w:rPr>
          <w:rFonts w:ascii="仿宋_GB2312" w:hAnsi="宋体" w:eastAsia="仿宋_GB2312" w:cs="仿宋_GB2312"/>
          <w:b/>
          <w:bCs/>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22" w:firstLineChars="150"/>
        <w:textAlignment w:val="auto"/>
        <w:rPr>
          <w:rFonts w:ascii="仿宋_GB2312" w:eastAsia="仿宋_GB2312"/>
          <w:b/>
          <w:bCs/>
          <w:sz w:val="28"/>
          <w:szCs w:val="28"/>
          <w:u w:val="single"/>
        </w:rPr>
      </w:pPr>
      <w:r>
        <w:rPr>
          <w:rFonts w:hint="eastAsia" w:ascii="仿宋_GB2312" w:hAnsi="宋体" w:eastAsia="仿宋_GB2312" w:cs="仿宋_GB2312"/>
          <w:b/>
          <w:bCs/>
          <w:sz w:val="28"/>
          <w:szCs w:val="28"/>
        </w:rPr>
        <w:t>项目负责人、手机：</w:t>
      </w:r>
      <w:r>
        <w:rPr>
          <w:rFonts w:ascii="仿宋_GB2312" w:hAnsi="宋体" w:eastAsia="仿宋_GB2312" w:cs="仿宋_GB2312"/>
          <w:b/>
          <w:bCs/>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22" w:firstLineChars="150"/>
        <w:textAlignment w:val="auto"/>
        <w:rPr>
          <w:rFonts w:ascii="仿宋_GB2312" w:eastAsia="仿宋_GB2312"/>
          <w:b/>
          <w:bCs/>
          <w:sz w:val="28"/>
          <w:szCs w:val="28"/>
          <w:u w:val="single"/>
        </w:rPr>
      </w:pPr>
      <w:r>
        <w:rPr>
          <w:rFonts w:hint="eastAsia" w:ascii="仿宋_GB2312" w:hAnsi="宋体" w:eastAsia="仿宋_GB2312" w:cs="仿宋_GB2312"/>
          <w:b/>
          <w:bCs/>
          <w:sz w:val="28"/>
          <w:szCs w:val="28"/>
        </w:rPr>
        <w:t>项目联系人、手机：</w:t>
      </w:r>
      <w:r>
        <w:rPr>
          <w:rFonts w:ascii="仿宋_GB2312" w:hAnsi="宋体" w:eastAsia="仿宋_GB2312" w:cs="仿宋_GB2312"/>
          <w:b/>
          <w:bCs/>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22" w:firstLineChars="150"/>
        <w:textAlignment w:val="auto"/>
        <w:rPr>
          <w:rFonts w:ascii="仿宋_GB2312" w:eastAsia="仿宋_GB2312"/>
          <w:b/>
          <w:bCs/>
          <w:sz w:val="28"/>
          <w:szCs w:val="28"/>
          <w:u w:val="single"/>
        </w:rPr>
      </w:pPr>
      <w:r>
        <w:rPr>
          <w:rFonts w:hint="eastAsia" w:ascii="仿宋_GB2312" w:hAnsi="宋体" w:eastAsia="仿宋_GB2312" w:cs="仿宋_GB2312"/>
          <w:b/>
          <w:bCs/>
          <w:sz w:val="28"/>
          <w:szCs w:val="28"/>
        </w:rPr>
        <w:t>单位地址、邮编：</w:t>
      </w:r>
      <w:r>
        <w:rPr>
          <w:rFonts w:ascii="仿宋_GB2312" w:hAnsi="宋体" w:eastAsia="仿宋_GB2312" w:cs="仿宋_GB2312"/>
          <w:b/>
          <w:bCs/>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422" w:firstLineChars="150"/>
        <w:textAlignment w:val="auto"/>
        <w:rPr>
          <w:rFonts w:ascii="仿宋_GB2312" w:eastAsia="仿宋_GB2312"/>
          <w:b/>
          <w:bCs/>
          <w:sz w:val="28"/>
          <w:szCs w:val="28"/>
        </w:rPr>
      </w:pPr>
      <w:r>
        <w:rPr>
          <w:rFonts w:hint="eastAsia" w:ascii="仿宋_GB2312" w:hAnsi="宋体" w:eastAsia="仿宋_GB2312" w:cs="仿宋_GB2312"/>
          <w:b/>
          <w:bCs/>
          <w:sz w:val="28"/>
          <w:szCs w:val="28"/>
        </w:rPr>
        <w:t>填报日期：</w:t>
      </w:r>
      <w:r>
        <w:rPr>
          <w:rFonts w:ascii="仿宋_GB2312" w:hAnsi="宋体" w:eastAsia="仿宋_GB2312" w:cs="仿宋_GB2312"/>
          <w:b/>
          <w:bCs/>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仿宋_GB2312" w:eastAsia="仿宋_GB2312"/>
          <w:b/>
          <w:bCs/>
          <w:sz w:val="28"/>
          <w:szCs w:val="28"/>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仿宋_GB2312" w:eastAsia="仿宋_GB2312"/>
          <w:b/>
          <w:bCs/>
          <w:sz w:val="28"/>
          <w:szCs w:val="28"/>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sz w:val="28"/>
          <w:szCs w:val="28"/>
        </w:rPr>
      </w:pPr>
      <w:r>
        <w:rPr>
          <w:rFonts w:hint="eastAsia" w:ascii="仿宋_GB2312" w:hAnsi="宋体" w:eastAsia="仿宋_GB2312" w:cs="仿宋_GB2312"/>
          <w:b/>
          <w:bCs/>
          <w:sz w:val="28"/>
          <w:szCs w:val="28"/>
        </w:rPr>
        <w:t>北京市怀柔区文化产业发展促进中心印制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仿宋_GB2312" w:eastAsia="仿宋_GB2312"/>
          <w:b/>
          <w:bCs/>
          <w:sz w:val="32"/>
          <w:szCs w:val="32"/>
        </w:rPr>
      </w:pPr>
      <w:r>
        <w:rPr>
          <w:b/>
          <w:bCs/>
          <w:sz w:val="28"/>
          <w:szCs w:val="28"/>
        </w:rPr>
        <w:br w:type="page"/>
      </w:r>
    </w:p>
    <w:tbl>
      <w:tblPr>
        <w:tblStyle w:val="6"/>
        <w:tblW w:w="10909" w:type="dxa"/>
        <w:tblInd w:w="-106" w:type="dxa"/>
        <w:tblLayout w:type="fixed"/>
        <w:tblCellMar>
          <w:top w:w="0" w:type="dxa"/>
          <w:left w:w="108" w:type="dxa"/>
          <w:bottom w:w="0" w:type="dxa"/>
          <w:right w:w="108" w:type="dxa"/>
        </w:tblCellMar>
      </w:tblPr>
      <w:tblGrid>
        <w:gridCol w:w="1642"/>
        <w:gridCol w:w="1490"/>
        <w:gridCol w:w="1477"/>
        <w:gridCol w:w="171"/>
        <w:gridCol w:w="175"/>
        <w:gridCol w:w="513"/>
        <w:gridCol w:w="174"/>
        <w:gridCol w:w="1463"/>
        <w:gridCol w:w="500"/>
        <w:gridCol w:w="762"/>
        <w:gridCol w:w="1193"/>
        <w:gridCol w:w="1349"/>
      </w:tblGrid>
      <w:tr>
        <w:tblPrEx>
          <w:tblLayout w:type="fixed"/>
          <w:tblCellMar>
            <w:top w:w="0" w:type="dxa"/>
            <w:left w:w="108" w:type="dxa"/>
            <w:bottom w:w="0" w:type="dxa"/>
            <w:right w:w="108" w:type="dxa"/>
          </w:tblCellMar>
        </w:tblPrEx>
        <w:trPr>
          <w:gridAfter w:val="1"/>
          <w:wAfter w:w="1349" w:type="dxa"/>
          <w:trHeight w:val="602" w:hRule="atLeast"/>
        </w:trPr>
        <w:tc>
          <w:tcPr>
            <w:tcW w:w="1642"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单位名称</w:t>
            </w:r>
          </w:p>
        </w:tc>
        <w:tc>
          <w:tcPr>
            <w:tcW w:w="7918"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r>
      <w:tr>
        <w:tblPrEx>
          <w:tblLayout w:type="fixed"/>
          <w:tblCellMar>
            <w:top w:w="0" w:type="dxa"/>
            <w:left w:w="108" w:type="dxa"/>
            <w:bottom w:w="0" w:type="dxa"/>
            <w:right w:w="108" w:type="dxa"/>
          </w:tblCellMar>
        </w:tblPrEx>
        <w:trPr>
          <w:gridAfter w:val="1"/>
          <w:wAfter w:w="1349" w:type="dxa"/>
          <w:trHeight w:val="837" w:hRule="atLeast"/>
        </w:trPr>
        <w:tc>
          <w:tcPr>
            <w:tcW w:w="164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注册地址</w:t>
            </w:r>
          </w:p>
        </w:tc>
        <w:tc>
          <w:tcPr>
            <w:tcW w:w="5463" w:type="dxa"/>
            <w:gridSpan w:val="7"/>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c>
          <w:tcPr>
            <w:tcW w:w="1262"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统一社会信用代码</w:t>
            </w:r>
          </w:p>
        </w:tc>
        <w:tc>
          <w:tcPr>
            <w:tcW w:w="1193"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r>
      <w:tr>
        <w:tblPrEx>
          <w:tblLayout w:type="fixed"/>
          <w:tblCellMar>
            <w:top w:w="0" w:type="dxa"/>
            <w:left w:w="108" w:type="dxa"/>
            <w:bottom w:w="0" w:type="dxa"/>
            <w:right w:w="108" w:type="dxa"/>
          </w:tblCellMar>
        </w:tblPrEx>
        <w:trPr>
          <w:gridAfter w:val="1"/>
          <w:wAfter w:w="1349" w:type="dxa"/>
          <w:trHeight w:val="600" w:hRule="atLeast"/>
        </w:trPr>
        <w:tc>
          <w:tcPr>
            <w:tcW w:w="164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经营地址</w:t>
            </w:r>
          </w:p>
        </w:tc>
        <w:tc>
          <w:tcPr>
            <w:tcW w:w="7918" w:type="dxa"/>
            <w:gridSpan w:val="10"/>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r>
      <w:tr>
        <w:tblPrEx>
          <w:tblLayout w:type="fixed"/>
          <w:tblCellMar>
            <w:top w:w="0" w:type="dxa"/>
            <w:left w:w="108" w:type="dxa"/>
            <w:bottom w:w="0" w:type="dxa"/>
            <w:right w:w="108" w:type="dxa"/>
          </w:tblCellMar>
        </w:tblPrEx>
        <w:trPr>
          <w:gridAfter w:val="1"/>
          <w:wAfter w:w="1349" w:type="dxa"/>
          <w:trHeight w:val="837" w:hRule="atLeast"/>
        </w:trPr>
        <w:tc>
          <w:tcPr>
            <w:tcW w:w="164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ascii="仿宋_GB2312" w:hAnsi="宋体" w:eastAsia="仿宋_GB2312" w:cs="仿宋_GB2312"/>
                <w:b/>
                <w:bCs/>
                <w:kern w:val="0"/>
                <w:sz w:val="24"/>
                <w:szCs w:val="24"/>
              </w:rPr>
              <w:t>E-mail</w:t>
            </w:r>
          </w:p>
        </w:tc>
        <w:tc>
          <w:tcPr>
            <w:tcW w:w="5463" w:type="dxa"/>
            <w:gridSpan w:val="7"/>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u w:val="single"/>
              </w:rPr>
            </w:pPr>
          </w:p>
        </w:tc>
        <w:tc>
          <w:tcPr>
            <w:tcW w:w="1262"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eastAsia="仿宋_GB2312"/>
                <w:b/>
                <w:bCs/>
                <w:kern w:val="0"/>
                <w:sz w:val="24"/>
                <w:szCs w:val="24"/>
                <w:lang w:val="en-US" w:eastAsia="zh-CN"/>
              </w:rPr>
            </w:pPr>
            <w:r>
              <w:rPr>
                <w:rFonts w:hint="eastAsia" w:ascii="仿宋_GB2312" w:hAnsi="宋体" w:eastAsia="仿宋_GB2312" w:cs="仿宋_GB2312"/>
                <w:b/>
                <w:bCs/>
                <w:kern w:val="0"/>
                <w:sz w:val="24"/>
                <w:szCs w:val="24"/>
              </w:rPr>
              <w:t>纳税地</w:t>
            </w:r>
            <w:r>
              <w:rPr>
                <w:rFonts w:hint="eastAsia" w:ascii="仿宋_GB2312" w:hAnsi="宋体" w:eastAsia="仿宋_GB2312" w:cs="仿宋_GB2312"/>
                <w:b/>
                <w:bCs/>
                <w:kern w:val="0"/>
                <w:sz w:val="24"/>
                <w:szCs w:val="24"/>
                <w:lang w:val="en-US" w:eastAsia="zh-CN"/>
              </w:rPr>
              <w:t>(区直/镇乡)</w:t>
            </w:r>
          </w:p>
        </w:tc>
        <w:tc>
          <w:tcPr>
            <w:tcW w:w="1193"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r>
      <w:tr>
        <w:tblPrEx>
          <w:tblLayout w:type="fixed"/>
          <w:tblCellMar>
            <w:top w:w="0" w:type="dxa"/>
            <w:left w:w="108" w:type="dxa"/>
            <w:bottom w:w="0" w:type="dxa"/>
            <w:right w:w="108" w:type="dxa"/>
          </w:tblCellMar>
        </w:tblPrEx>
        <w:trPr>
          <w:gridAfter w:val="1"/>
          <w:wAfter w:w="1349" w:type="dxa"/>
          <w:trHeight w:val="725" w:hRule="atLeast"/>
        </w:trPr>
        <w:tc>
          <w:tcPr>
            <w:tcW w:w="164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注册资本</w:t>
            </w:r>
            <w:r>
              <w:rPr>
                <w:rFonts w:ascii="仿宋_GB2312" w:eastAsia="仿宋_GB2312"/>
                <w:b/>
                <w:bCs/>
                <w:kern w:val="0"/>
                <w:sz w:val="24"/>
                <w:szCs w:val="24"/>
              </w:rPr>
              <w:br w:type="textWrapping"/>
            </w:r>
            <w:r>
              <w:rPr>
                <w:rFonts w:ascii="仿宋_GB2312" w:hAnsi="宋体" w:eastAsia="仿宋_GB2312" w:cs="仿宋_GB2312"/>
                <w:b/>
                <w:bCs/>
                <w:kern w:val="0"/>
                <w:sz w:val="24"/>
                <w:szCs w:val="24"/>
              </w:rPr>
              <w:t>(</w:t>
            </w:r>
            <w:r>
              <w:rPr>
                <w:rFonts w:hint="eastAsia" w:ascii="仿宋_GB2312" w:hAnsi="宋体" w:eastAsia="仿宋_GB2312" w:cs="仿宋_GB2312"/>
                <w:b/>
                <w:bCs/>
                <w:kern w:val="0"/>
                <w:sz w:val="24"/>
                <w:szCs w:val="24"/>
              </w:rPr>
              <w:t>万元</w:t>
            </w:r>
            <w:r>
              <w:rPr>
                <w:rFonts w:ascii="仿宋_GB2312" w:hAnsi="宋体" w:eastAsia="仿宋_GB2312" w:cs="仿宋_GB2312"/>
                <w:b/>
                <w:bCs/>
                <w:kern w:val="0"/>
                <w:sz w:val="24"/>
                <w:szCs w:val="24"/>
              </w:rPr>
              <w:t>)</w:t>
            </w:r>
          </w:p>
        </w:tc>
        <w:tc>
          <w:tcPr>
            <w:tcW w:w="14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c>
          <w:tcPr>
            <w:tcW w:w="1823"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成立日期</w:t>
            </w:r>
          </w:p>
        </w:tc>
        <w:tc>
          <w:tcPr>
            <w:tcW w:w="2150"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c>
          <w:tcPr>
            <w:tcW w:w="1262"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企业类型</w:t>
            </w:r>
          </w:p>
        </w:tc>
        <w:tc>
          <w:tcPr>
            <w:tcW w:w="1193"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p>
        </w:tc>
      </w:tr>
      <w:tr>
        <w:tblPrEx>
          <w:tblLayout w:type="fixed"/>
          <w:tblCellMar>
            <w:top w:w="0" w:type="dxa"/>
            <w:left w:w="108" w:type="dxa"/>
            <w:bottom w:w="0" w:type="dxa"/>
            <w:right w:w="108" w:type="dxa"/>
          </w:tblCellMar>
        </w:tblPrEx>
        <w:trPr>
          <w:gridAfter w:val="1"/>
          <w:wAfter w:w="1349" w:type="dxa"/>
          <w:trHeight w:val="487" w:hRule="atLeast"/>
        </w:trPr>
        <w:tc>
          <w:tcPr>
            <w:tcW w:w="164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联系人</w:t>
            </w:r>
          </w:p>
        </w:tc>
        <w:tc>
          <w:tcPr>
            <w:tcW w:w="14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c>
          <w:tcPr>
            <w:tcW w:w="1823"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手机</w:t>
            </w:r>
          </w:p>
        </w:tc>
        <w:tc>
          <w:tcPr>
            <w:tcW w:w="2150"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c>
          <w:tcPr>
            <w:tcW w:w="1262"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座机</w:t>
            </w:r>
          </w:p>
        </w:tc>
        <w:tc>
          <w:tcPr>
            <w:tcW w:w="1193"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r>
      <w:tr>
        <w:tblPrEx>
          <w:tblLayout w:type="fixed"/>
          <w:tblCellMar>
            <w:top w:w="0" w:type="dxa"/>
            <w:left w:w="108" w:type="dxa"/>
            <w:bottom w:w="0" w:type="dxa"/>
            <w:right w:w="108" w:type="dxa"/>
          </w:tblCellMar>
        </w:tblPrEx>
        <w:trPr>
          <w:gridAfter w:val="1"/>
          <w:wAfter w:w="1349" w:type="dxa"/>
          <w:trHeight w:val="487" w:hRule="atLeast"/>
        </w:trPr>
        <w:tc>
          <w:tcPr>
            <w:tcW w:w="164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法人</w:t>
            </w:r>
          </w:p>
        </w:tc>
        <w:tc>
          <w:tcPr>
            <w:tcW w:w="149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c>
          <w:tcPr>
            <w:tcW w:w="1823"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手机</w:t>
            </w:r>
          </w:p>
        </w:tc>
        <w:tc>
          <w:tcPr>
            <w:tcW w:w="2150"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c>
          <w:tcPr>
            <w:tcW w:w="1262"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kern w:val="0"/>
                <w:sz w:val="24"/>
                <w:szCs w:val="24"/>
              </w:rPr>
            </w:pPr>
            <w:r>
              <w:rPr>
                <w:rFonts w:hint="eastAsia" w:ascii="仿宋_GB2312" w:hAnsi="宋体" w:eastAsia="仿宋_GB2312" w:cs="仿宋_GB2312"/>
                <w:b/>
                <w:bCs/>
                <w:kern w:val="0"/>
                <w:sz w:val="24"/>
                <w:szCs w:val="24"/>
              </w:rPr>
              <w:t>座机</w:t>
            </w:r>
          </w:p>
        </w:tc>
        <w:tc>
          <w:tcPr>
            <w:tcW w:w="1193"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r>
      <w:tr>
        <w:tblPrEx>
          <w:tblLayout w:type="fixed"/>
          <w:tblCellMar>
            <w:top w:w="0" w:type="dxa"/>
            <w:left w:w="108" w:type="dxa"/>
            <w:bottom w:w="0" w:type="dxa"/>
            <w:right w:w="108" w:type="dxa"/>
          </w:tblCellMar>
        </w:tblPrEx>
        <w:trPr>
          <w:trHeight w:val="723" w:hRule="atLeast"/>
        </w:trPr>
        <w:tc>
          <w:tcPr>
            <w:tcW w:w="164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eastAsia="仿宋_GB2312"/>
                <w:b/>
                <w:bCs/>
                <w:color w:val="auto"/>
                <w:kern w:val="0"/>
                <w:sz w:val="24"/>
                <w:szCs w:val="24"/>
                <w:lang w:val="en-US" w:eastAsia="zh-CN"/>
              </w:rPr>
            </w:pPr>
            <w:r>
              <w:rPr>
                <w:rFonts w:hint="eastAsia" w:ascii="仿宋_GB2312" w:hAnsi="宋体" w:eastAsia="仿宋_GB2312" w:cs="仿宋_GB2312"/>
                <w:b/>
                <w:bCs/>
                <w:kern w:val="0"/>
                <w:sz w:val="24"/>
                <w:szCs w:val="24"/>
                <w:lang w:eastAsia="zh-CN"/>
              </w:rPr>
              <w:t>申报类型</w:t>
            </w:r>
          </w:p>
        </w:tc>
        <w:tc>
          <w:tcPr>
            <w:tcW w:w="3826" w:type="dxa"/>
            <w:gridSpan w:val="5"/>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eastAsia="仿宋_GB2312"/>
                <w:b/>
                <w:bCs/>
                <w:color w:val="auto"/>
                <w:kern w:val="0"/>
                <w:sz w:val="24"/>
                <w:szCs w:val="24"/>
                <w:lang w:val="en-US" w:eastAsia="zh-CN"/>
              </w:rPr>
            </w:pPr>
          </w:p>
        </w:tc>
        <w:tc>
          <w:tcPr>
            <w:tcW w:w="2137" w:type="dxa"/>
            <w:gridSpan w:val="3"/>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eastAsia="仿宋_GB2312"/>
                <w:b/>
                <w:bCs/>
                <w:color w:val="auto"/>
                <w:kern w:val="0"/>
                <w:sz w:val="24"/>
                <w:szCs w:val="24"/>
                <w:lang w:val="en-US" w:eastAsia="zh-CN"/>
              </w:rPr>
            </w:pPr>
            <w:r>
              <w:rPr>
                <w:rFonts w:hint="eastAsia" w:ascii="仿宋_GB2312" w:hAnsi="宋体" w:eastAsia="仿宋_GB2312" w:cs="仿宋_GB2312"/>
                <w:b/>
                <w:bCs/>
                <w:kern w:val="0"/>
                <w:sz w:val="24"/>
                <w:szCs w:val="24"/>
                <w:lang w:eastAsia="zh-CN"/>
              </w:rPr>
              <w:t>申报金额</w:t>
            </w:r>
          </w:p>
        </w:tc>
        <w:tc>
          <w:tcPr>
            <w:tcW w:w="1955" w:type="dxa"/>
            <w:gridSpan w:val="2"/>
            <w:tcBorders>
              <w:top w:val="nil"/>
              <w:left w:val="single" w:color="auto" w:sz="4" w:space="0"/>
              <w:bottom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eastAsia="仿宋_GB2312"/>
                <w:b/>
                <w:bCs/>
                <w:color w:val="auto"/>
                <w:kern w:val="0"/>
                <w:sz w:val="24"/>
                <w:szCs w:val="24"/>
                <w:lang w:val="en-US" w:eastAsia="zh-CN"/>
              </w:rPr>
            </w:pPr>
          </w:p>
        </w:tc>
        <w:tc>
          <w:tcPr>
            <w:tcW w:w="1349" w:type="dxa"/>
            <w:tcBorders>
              <w:top w:val="nil"/>
              <w:left w:val="single" w:color="auto" w:sz="4" w:space="0"/>
              <w:bottom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eastAsia="仿宋_GB2312"/>
                <w:b/>
                <w:bCs/>
                <w:color w:val="auto"/>
                <w:kern w:val="0"/>
                <w:sz w:val="24"/>
                <w:szCs w:val="24"/>
                <w:lang w:val="en-US" w:eastAsia="zh-CN"/>
              </w:rPr>
            </w:pPr>
          </w:p>
        </w:tc>
      </w:tr>
      <w:tr>
        <w:tblPrEx>
          <w:tblLayout w:type="fixed"/>
          <w:tblCellMar>
            <w:top w:w="0" w:type="dxa"/>
            <w:left w:w="108" w:type="dxa"/>
            <w:bottom w:w="0" w:type="dxa"/>
            <w:right w:w="108" w:type="dxa"/>
          </w:tblCellMar>
        </w:tblPrEx>
        <w:trPr>
          <w:gridAfter w:val="1"/>
          <w:wAfter w:w="1349" w:type="dxa"/>
          <w:trHeight w:val="515" w:hRule="atLeast"/>
        </w:trPr>
        <w:tc>
          <w:tcPr>
            <w:tcW w:w="9560" w:type="dxa"/>
            <w:gridSpan w:val="11"/>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b/>
                <w:bCs/>
                <w:color w:val="auto"/>
                <w:kern w:val="0"/>
                <w:sz w:val="24"/>
                <w:szCs w:val="24"/>
              </w:rPr>
            </w:pPr>
            <w:r>
              <w:rPr>
                <w:rFonts w:hint="eastAsia" w:ascii="仿宋_GB2312" w:hAnsi="宋体" w:eastAsia="仿宋_GB2312" w:cs="仿宋_GB2312"/>
                <w:b/>
                <w:bCs/>
                <w:color w:val="auto"/>
                <w:kern w:val="0"/>
                <w:sz w:val="24"/>
                <w:szCs w:val="24"/>
              </w:rPr>
              <w:t>年</w:t>
            </w:r>
            <w:r>
              <w:rPr>
                <w:rFonts w:hint="eastAsia" w:ascii="仿宋_GB2312" w:hAnsi="宋体" w:eastAsia="仿宋_GB2312" w:cs="仿宋_GB2312"/>
                <w:b/>
                <w:bCs/>
                <w:color w:val="auto"/>
                <w:kern w:val="0"/>
                <w:sz w:val="24"/>
                <w:szCs w:val="24"/>
                <w:lang w:eastAsia="zh-CN"/>
              </w:rPr>
              <w:t>度实缴税费</w:t>
            </w:r>
            <w:r>
              <w:rPr>
                <w:rFonts w:hint="eastAsia" w:ascii="仿宋_GB2312" w:hAnsi="宋体" w:eastAsia="仿宋_GB2312" w:cs="仿宋_GB2312"/>
                <w:b/>
                <w:bCs/>
                <w:color w:val="auto"/>
                <w:kern w:val="0"/>
                <w:sz w:val="24"/>
                <w:szCs w:val="24"/>
              </w:rPr>
              <w:t>情况</w:t>
            </w:r>
            <w:r>
              <w:rPr>
                <w:rFonts w:ascii="仿宋_GB2312" w:hAnsi="宋体" w:eastAsia="仿宋_GB2312" w:cs="仿宋_GB2312"/>
                <w:b/>
                <w:bCs/>
                <w:color w:val="auto"/>
                <w:kern w:val="0"/>
                <w:sz w:val="24"/>
                <w:szCs w:val="24"/>
              </w:rPr>
              <w:t>(</w:t>
            </w:r>
            <w:r>
              <w:rPr>
                <w:rFonts w:hint="eastAsia" w:ascii="仿宋_GB2312" w:hAnsi="宋体" w:eastAsia="仿宋_GB2312" w:cs="仿宋_GB2312"/>
                <w:b/>
                <w:bCs/>
                <w:color w:val="auto"/>
                <w:kern w:val="0"/>
                <w:sz w:val="24"/>
                <w:szCs w:val="24"/>
              </w:rPr>
              <w:t>万元</w:t>
            </w:r>
            <w:r>
              <w:rPr>
                <w:rFonts w:ascii="仿宋_GB2312" w:hAnsi="宋体" w:eastAsia="仿宋_GB2312" w:cs="仿宋_GB2312"/>
                <w:b/>
                <w:bCs/>
                <w:color w:val="auto"/>
                <w:kern w:val="0"/>
                <w:sz w:val="24"/>
                <w:szCs w:val="24"/>
              </w:rPr>
              <w:t>)</w:t>
            </w:r>
          </w:p>
        </w:tc>
      </w:tr>
      <w:tr>
        <w:tblPrEx>
          <w:tblLayout w:type="fixed"/>
          <w:tblCellMar>
            <w:top w:w="0" w:type="dxa"/>
            <w:left w:w="108" w:type="dxa"/>
            <w:bottom w:w="0" w:type="dxa"/>
            <w:right w:w="108" w:type="dxa"/>
          </w:tblCellMar>
        </w:tblPrEx>
        <w:trPr>
          <w:gridAfter w:val="1"/>
          <w:wAfter w:w="1349" w:type="dxa"/>
          <w:trHeight w:val="477" w:hRule="atLeast"/>
        </w:trPr>
        <w:tc>
          <w:tcPr>
            <w:tcW w:w="164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eastAsia="仿宋_GB2312"/>
                <w:kern w:val="0"/>
                <w:sz w:val="24"/>
                <w:szCs w:val="24"/>
                <w:lang w:eastAsia="zh-CN"/>
              </w:rPr>
            </w:pPr>
            <w:bookmarkStart w:id="8" w:name="_Hlk11400089"/>
            <w:r>
              <w:rPr>
                <w:rFonts w:hint="eastAsia" w:ascii="仿宋_GB2312" w:hAnsi="宋体" w:eastAsia="仿宋_GB2312" w:cs="仿宋_GB2312"/>
                <w:b/>
                <w:bCs/>
                <w:kern w:val="0"/>
                <w:sz w:val="24"/>
                <w:szCs w:val="24"/>
                <w:lang w:eastAsia="zh-CN"/>
              </w:rPr>
              <w:t>企业所得税</w:t>
            </w:r>
          </w:p>
        </w:tc>
        <w:tc>
          <w:tcPr>
            <w:tcW w:w="149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c>
          <w:tcPr>
            <w:tcW w:w="147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宋体" w:eastAsia="仿宋_GB2312" w:cs="仿宋_GB2312"/>
                <w:b/>
                <w:bCs/>
                <w:kern w:val="0"/>
                <w:sz w:val="24"/>
                <w:szCs w:val="24"/>
                <w:lang w:eastAsia="zh-CN"/>
              </w:rPr>
            </w:pPr>
            <w:r>
              <w:rPr>
                <w:rFonts w:hint="eastAsia" w:ascii="仿宋_GB2312" w:hAnsi="宋体" w:eastAsia="仿宋_GB2312" w:cs="仿宋_GB2312"/>
                <w:b/>
                <w:bCs/>
                <w:kern w:val="0"/>
                <w:sz w:val="24"/>
                <w:szCs w:val="24"/>
                <w:lang w:eastAsia="zh-CN"/>
              </w:rPr>
              <w:t>增值税</w:t>
            </w:r>
          </w:p>
        </w:tc>
        <w:tc>
          <w:tcPr>
            <w:tcW w:w="1033" w:type="dxa"/>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宋体" w:eastAsia="仿宋_GB2312" w:cs="仿宋_GB2312"/>
                <w:b/>
                <w:bCs/>
                <w:kern w:val="0"/>
                <w:sz w:val="24"/>
                <w:szCs w:val="24"/>
                <w:lang w:eastAsia="zh-CN"/>
              </w:rPr>
            </w:pPr>
          </w:p>
        </w:tc>
        <w:tc>
          <w:tcPr>
            <w:tcW w:w="1963"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宋体" w:eastAsia="仿宋_GB2312" w:cs="仿宋_GB2312"/>
                <w:b/>
                <w:bCs/>
                <w:kern w:val="0"/>
                <w:sz w:val="24"/>
                <w:szCs w:val="24"/>
                <w:lang w:eastAsia="zh-CN"/>
              </w:rPr>
            </w:pPr>
            <w:r>
              <w:rPr>
                <w:rFonts w:hint="eastAsia" w:ascii="仿宋_GB2312" w:hAnsi="宋体" w:eastAsia="仿宋_GB2312" w:cs="仿宋_GB2312"/>
                <w:b/>
                <w:bCs/>
                <w:kern w:val="0"/>
                <w:sz w:val="24"/>
                <w:szCs w:val="24"/>
                <w:lang w:eastAsia="zh-CN"/>
              </w:rPr>
              <w:t>个人所得税</w:t>
            </w:r>
          </w:p>
        </w:tc>
        <w:tc>
          <w:tcPr>
            <w:tcW w:w="1955" w:type="dxa"/>
            <w:gridSpan w:val="2"/>
            <w:tcBorders>
              <w:top w:val="single" w:color="000000" w:sz="4" w:space="0"/>
              <w:left w:val="single" w:color="000000" w:sz="4" w:space="0"/>
              <w:bottom w:val="single" w:color="000000"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仿宋_GB2312" w:eastAsia="仿宋_GB2312"/>
                <w:kern w:val="0"/>
                <w:sz w:val="24"/>
                <w:szCs w:val="24"/>
              </w:rPr>
            </w:pPr>
          </w:p>
        </w:tc>
      </w:tr>
      <w:bookmarkEnd w:id="8"/>
      <w:tr>
        <w:tblPrEx>
          <w:tblLayout w:type="fixed"/>
          <w:tblCellMar>
            <w:top w:w="0" w:type="dxa"/>
            <w:left w:w="108" w:type="dxa"/>
            <w:bottom w:w="0" w:type="dxa"/>
            <w:right w:w="108" w:type="dxa"/>
          </w:tblCellMar>
        </w:tblPrEx>
        <w:trPr>
          <w:gridAfter w:val="1"/>
          <w:wAfter w:w="1349" w:type="dxa"/>
          <w:trHeight w:val="3283" w:hRule="atLeast"/>
        </w:trPr>
        <w:tc>
          <w:tcPr>
            <w:tcW w:w="4780" w:type="dxa"/>
            <w:gridSpan w:val="4"/>
            <w:tcBorders>
              <w:top w:val="single" w:color="auto" w:sz="4" w:space="0"/>
              <w:left w:val="single" w:color="auto" w:sz="4" w:space="0"/>
              <w:bottom w:val="single" w:color="auto" w:sz="4" w:space="0"/>
              <w:right w:val="single" w:color="000000" w:sz="4" w:space="0"/>
            </w:tcBorders>
            <w:shd w:val="clear" w:color="000000" w:fill="FFFFFF"/>
            <w:vAlign w:val="top"/>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bCs/>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宋体" w:eastAsia="仿宋_GB2312" w:cs="仿宋_GB2312"/>
                <w:b/>
                <w:bCs/>
                <w:kern w:val="0"/>
                <w:lang w:eastAsia="zh-CN"/>
              </w:rPr>
            </w:pPr>
            <w:r>
              <w:rPr>
                <w:rFonts w:hint="eastAsia" w:ascii="仿宋_GB2312" w:hAnsi="仿宋_GB2312" w:eastAsia="仿宋_GB2312" w:cs="仿宋_GB2312"/>
                <w:b/>
                <w:bCs/>
                <w:sz w:val="24"/>
                <w:szCs w:val="24"/>
                <w:lang w:eastAsia="zh-CN"/>
              </w:rPr>
              <w:t>镇乡政府意见（纳税属区本级财政收入范围的无需填写）</w:t>
            </w:r>
          </w:p>
          <w:p>
            <w:pPr>
              <w:pStyle w:val="3"/>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仿宋_GB2312" w:hAnsi="宋体" w:eastAsia="仿宋_GB2312" w:cs="仿宋_GB2312"/>
                <w:b w:val="0"/>
                <w:bCs w:val="0"/>
                <w:kern w:val="0"/>
                <w:sz w:val="24"/>
                <w:szCs w:val="24"/>
                <w:lang w:eastAsia="zh-CN"/>
              </w:rPr>
            </w:pPr>
          </w:p>
          <w:p>
            <w:pPr>
              <w:pStyle w:val="3"/>
              <w:keepNext w:val="0"/>
              <w:keepLines w:val="0"/>
              <w:pageBreakBefore w:val="0"/>
              <w:kinsoku/>
              <w:wordWrap/>
              <w:overflowPunct/>
              <w:topLinePunct w:val="0"/>
              <w:autoSpaceDE/>
              <w:autoSpaceDN/>
              <w:bidi w:val="0"/>
              <w:adjustRightInd w:val="0"/>
              <w:snapToGrid w:val="0"/>
              <w:spacing w:line="560" w:lineRule="exact"/>
              <w:ind w:left="0" w:leftChars="0" w:right="0" w:rightChars="0" w:firstLine="2880" w:firstLineChars="1200"/>
              <w:textAlignment w:val="auto"/>
              <w:rPr>
                <w:rFonts w:hint="eastAsia" w:ascii="仿宋_GB2312" w:hAnsi="宋体" w:eastAsia="仿宋_GB2312" w:cs="仿宋_GB2312"/>
                <w:b w:val="0"/>
                <w:bCs w:val="0"/>
                <w:kern w:val="0"/>
                <w:sz w:val="24"/>
                <w:szCs w:val="24"/>
                <w:lang w:eastAsia="zh-CN"/>
              </w:rPr>
            </w:pPr>
          </w:p>
          <w:p>
            <w:pPr>
              <w:pStyle w:val="3"/>
              <w:keepNext w:val="0"/>
              <w:keepLines w:val="0"/>
              <w:pageBreakBefore w:val="0"/>
              <w:kinsoku/>
              <w:wordWrap/>
              <w:overflowPunct/>
              <w:topLinePunct w:val="0"/>
              <w:autoSpaceDE/>
              <w:autoSpaceDN/>
              <w:bidi w:val="0"/>
              <w:adjustRightInd w:val="0"/>
              <w:snapToGrid w:val="0"/>
              <w:spacing w:line="560" w:lineRule="exact"/>
              <w:ind w:left="0" w:leftChars="0" w:right="0" w:rightChars="0" w:firstLine="2880" w:firstLineChars="1200"/>
              <w:textAlignment w:val="auto"/>
              <w:rPr>
                <w:rFonts w:hint="eastAsia" w:ascii="仿宋_GB2312" w:hAnsi="宋体" w:eastAsia="仿宋_GB2312" w:cs="仿宋_GB2312"/>
                <w:b w:val="0"/>
                <w:bCs w:val="0"/>
                <w:kern w:val="0"/>
                <w:sz w:val="24"/>
                <w:szCs w:val="24"/>
                <w:lang w:eastAsia="zh-CN"/>
              </w:rPr>
            </w:pPr>
            <w:r>
              <w:rPr>
                <w:rFonts w:hint="eastAsia" w:ascii="仿宋_GB2312" w:hAnsi="宋体" w:eastAsia="仿宋_GB2312" w:cs="仿宋_GB2312"/>
                <w:b w:val="0"/>
                <w:bCs w:val="0"/>
                <w:kern w:val="0"/>
                <w:sz w:val="24"/>
                <w:szCs w:val="24"/>
                <w:lang w:eastAsia="zh-CN"/>
              </w:rPr>
              <w:t>（盖章）</w:t>
            </w:r>
          </w:p>
          <w:p>
            <w:pPr>
              <w:pStyle w:val="3"/>
              <w:keepNext w:val="0"/>
              <w:keepLines w:val="0"/>
              <w:pageBreakBefore w:val="0"/>
              <w:kinsoku/>
              <w:wordWrap/>
              <w:overflowPunct/>
              <w:topLinePunct w:val="0"/>
              <w:autoSpaceDE/>
              <w:autoSpaceDN/>
              <w:bidi w:val="0"/>
              <w:adjustRightInd w:val="0"/>
              <w:snapToGrid w:val="0"/>
              <w:spacing w:line="560" w:lineRule="exact"/>
              <w:ind w:left="0" w:leftChars="0" w:right="0" w:rightChars="0" w:firstLine="2880" w:firstLineChars="1200"/>
              <w:textAlignment w:val="auto"/>
              <w:rPr>
                <w:rFonts w:hint="eastAsia" w:ascii="仿宋_GB2312" w:hAnsi="宋体" w:eastAsia="仿宋_GB2312" w:cs="仿宋_GB2312"/>
                <w:b w:val="0"/>
                <w:bCs w:val="0"/>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2640" w:firstLineChars="1100"/>
              <w:jc w:val="both"/>
              <w:textAlignment w:val="auto"/>
              <w:rPr>
                <w:rFonts w:hint="eastAsia" w:ascii="仿宋_GB2312" w:hAnsi="宋体" w:eastAsia="仿宋_GB2312" w:cs="仿宋_GB2312"/>
                <w:b w:val="0"/>
                <w:bCs w:val="0"/>
                <w:kern w:val="0"/>
              </w:rPr>
            </w:pPr>
            <w:r>
              <w:rPr>
                <w:rFonts w:hint="eastAsia" w:ascii="仿宋_GB2312" w:hAnsi="宋体" w:eastAsia="仿宋_GB2312" w:cs="仿宋_GB2312"/>
                <w:b w:val="0"/>
                <w:bCs w:val="0"/>
                <w:kern w:val="0"/>
                <w:sz w:val="24"/>
                <w:szCs w:val="24"/>
                <w:lang w:eastAsia="zh-CN"/>
              </w:rPr>
              <w:t>年</w:t>
            </w:r>
            <w:r>
              <w:rPr>
                <w:rFonts w:hint="eastAsia" w:ascii="仿宋_GB2312" w:hAnsi="宋体" w:eastAsia="仿宋_GB2312" w:cs="仿宋_GB2312"/>
                <w:b w:val="0"/>
                <w:bCs w:val="0"/>
                <w:kern w:val="0"/>
                <w:sz w:val="24"/>
                <w:szCs w:val="24"/>
                <w:lang w:val="en-US" w:eastAsia="zh-CN"/>
              </w:rPr>
              <w:t xml:space="preserve">   </w:t>
            </w:r>
            <w:r>
              <w:rPr>
                <w:rFonts w:hint="eastAsia" w:ascii="仿宋_GB2312" w:hAnsi="宋体" w:eastAsia="仿宋_GB2312" w:cs="仿宋_GB2312"/>
                <w:b w:val="0"/>
                <w:bCs w:val="0"/>
                <w:kern w:val="0"/>
                <w:sz w:val="24"/>
                <w:szCs w:val="24"/>
                <w:lang w:eastAsia="zh-CN"/>
              </w:rPr>
              <w:t>月</w:t>
            </w:r>
            <w:r>
              <w:rPr>
                <w:rFonts w:hint="eastAsia" w:ascii="仿宋_GB2312" w:hAnsi="宋体" w:eastAsia="仿宋_GB2312" w:cs="仿宋_GB2312"/>
                <w:b w:val="0"/>
                <w:bCs w:val="0"/>
                <w:kern w:val="0"/>
                <w:sz w:val="24"/>
                <w:szCs w:val="24"/>
                <w:lang w:val="en-US" w:eastAsia="zh-CN"/>
              </w:rPr>
              <w:t xml:space="preserve">   </w:t>
            </w:r>
            <w:r>
              <w:rPr>
                <w:rFonts w:hint="eastAsia" w:ascii="仿宋_GB2312" w:hAnsi="宋体" w:eastAsia="仿宋_GB2312" w:cs="仿宋_GB2312"/>
                <w:b w:val="0"/>
                <w:bCs w:val="0"/>
                <w:kern w:val="0"/>
                <w:sz w:val="24"/>
                <w:szCs w:val="24"/>
                <w:lang w:eastAsia="zh-CN"/>
              </w:rPr>
              <w:t>日</w:t>
            </w:r>
          </w:p>
        </w:tc>
        <w:tc>
          <w:tcPr>
            <w:tcW w:w="4780" w:type="dxa"/>
            <w:gridSpan w:val="7"/>
            <w:tcBorders>
              <w:top w:val="single" w:color="auto" w:sz="4" w:space="0"/>
              <w:left w:val="single" w:color="auto" w:sz="4" w:space="0"/>
              <w:bottom w:val="single" w:color="auto" w:sz="4" w:space="0"/>
              <w:right w:val="single" w:color="000000" w:sz="4" w:space="0"/>
            </w:tcBorders>
            <w:shd w:val="clear" w:color="000000" w:fill="FFFFFF"/>
            <w:vAlign w:val="top"/>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仿宋_GB2312" w:eastAsia="仿宋_GB2312" w:cs="仿宋_GB2312"/>
                <w:b/>
                <w:bCs/>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rPr>
                <w:rFonts w:hint="eastAsia" w:ascii="仿宋_GB2312" w:hAnsi="宋体" w:eastAsia="仿宋_GB2312" w:cs="仿宋_GB2312"/>
                <w:b/>
                <w:bCs/>
                <w:kern w:val="0"/>
                <w:lang w:eastAsia="zh-CN"/>
              </w:rPr>
            </w:pPr>
            <w:r>
              <w:rPr>
                <w:rFonts w:hint="eastAsia" w:ascii="仿宋_GB2312" w:hAnsi="仿宋_GB2312" w:eastAsia="仿宋_GB2312" w:cs="仿宋_GB2312"/>
                <w:b/>
                <w:bCs/>
                <w:sz w:val="24"/>
                <w:szCs w:val="24"/>
                <w:lang w:eastAsia="zh-CN"/>
              </w:rPr>
              <w:t>行业主管部门意见</w:t>
            </w:r>
          </w:p>
          <w:p>
            <w:pPr>
              <w:pStyle w:val="3"/>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仿宋_GB2312" w:hAnsi="宋体" w:eastAsia="仿宋_GB2312" w:cs="仿宋_GB2312"/>
                <w:b w:val="0"/>
                <w:bCs w:val="0"/>
                <w:kern w:val="0"/>
                <w:sz w:val="24"/>
                <w:szCs w:val="24"/>
                <w:lang w:eastAsia="zh-CN"/>
              </w:rPr>
            </w:pPr>
          </w:p>
          <w:p>
            <w:pPr>
              <w:pStyle w:val="3"/>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仿宋_GB2312" w:hAnsi="宋体" w:eastAsia="仿宋_GB2312" w:cs="仿宋_GB2312"/>
                <w:b w:val="0"/>
                <w:bCs w:val="0"/>
                <w:kern w:val="0"/>
                <w:sz w:val="24"/>
                <w:szCs w:val="24"/>
                <w:lang w:eastAsia="zh-CN"/>
              </w:rPr>
            </w:pPr>
          </w:p>
          <w:p>
            <w:pPr>
              <w:pStyle w:val="3"/>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仿宋_GB2312" w:hAnsi="宋体" w:eastAsia="仿宋_GB2312" w:cs="仿宋_GB2312"/>
                <w:b w:val="0"/>
                <w:bCs w:val="0"/>
                <w:kern w:val="0"/>
                <w:sz w:val="24"/>
                <w:szCs w:val="24"/>
                <w:lang w:eastAsia="zh-CN"/>
              </w:rPr>
            </w:pPr>
          </w:p>
          <w:p>
            <w:pPr>
              <w:pStyle w:val="3"/>
              <w:keepNext w:val="0"/>
              <w:keepLines w:val="0"/>
              <w:pageBreakBefore w:val="0"/>
              <w:kinsoku/>
              <w:wordWrap/>
              <w:overflowPunct/>
              <w:topLinePunct w:val="0"/>
              <w:autoSpaceDE/>
              <w:autoSpaceDN/>
              <w:bidi w:val="0"/>
              <w:adjustRightInd w:val="0"/>
              <w:snapToGrid w:val="0"/>
              <w:spacing w:line="560" w:lineRule="exact"/>
              <w:ind w:left="0" w:leftChars="0" w:right="0" w:rightChars="0" w:firstLine="2880" w:firstLineChars="1200"/>
              <w:textAlignment w:val="auto"/>
              <w:rPr>
                <w:rFonts w:hint="eastAsia" w:ascii="仿宋_GB2312" w:hAnsi="宋体" w:eastAsia="仿宋_GB2312" w:cs="仿宋_GB2312"/>
                <w:b w:val="0"/>
                <w:bCs w:val="0"/>
                <w:kern w:val="0"/>
                <w:sz w:val="24"/>
                <w:szCs w:val="24"/>
                <w:lang w:eastAsia="zh-CN"/>
              </w:rPr>
            </w:pPr>
            <w:r>
              <w:rPr>
                <w:rFonts w:hint="eastAsia" w:ascii="仿宋_GB2312" w:hAnsi="宋体" w:eastAsia="仿宋_GB2312" w:cs="仿宋_GB2312"/>
                <w:b w:val="0"/>
                <w:bCs w:val="0"/>
                <w:kern w:val="0"/>
                <w:sz w:val="24"/>
                <w:szCs w:val="24"/>
                <w:lang w:eastAsia="zh-CN"/>
              </w:rPr>
              <w:t>（盖章）</w:t>
            </w:r>
          </w:p>
          <w:p>
            <w:pPr>
              <w:pStyle w:val="3"/>
              <w:keepNext w:val="0"/>
              <w:keepLines w:val="0"/>
              <w:pageBreakBefore w:val="0"/>
              <w:kinsoku/>
              <w:wordWrap/>
              <w:overflowPunct/>
              <w:topLinePunct w:val="0"/>
              <w:autoSpaceDE/>
              <w:autoSpaceDN/>
              <w:bidi w:val="0"/>
              <w:adjustRightInd w:val="0"/>
              <w:snapToGrid w:val="0"/>
              <w:spacing w:line="560" w:lineRule="exact"/>
              <w:ind w:left="0" w:leftChars="0" w:right="0" w:rightChars="0" w:firstLine="2880" w:firstLineChars="1200"/>
              <w:textAlignment w:val="auto"/>
              <w:rPr>
                <w:rFonts w:hint="eastAsia" w:ascii="仿宋_GB2312" w:hAnsi="宋体" w:eastAsia="仿宋_GB2312" w:cs="仿宋_GB2312"/>
                <w:b w:val="0"/>
                <w:bCs w:val="0"/>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2880" w:firstLineChars="1200"/>
              <w:jc w:val="both"/>
              <w:textAlignment w:val="auto"/>
              <w:rPr>
                <w:rFonts w:hint="eastAsia" w:ascii="仿宋_GB2312" w:hAnsi="宋体" w:eastAsia="仿宋_GB2312" w:cs="仿宋_GB2312"/>
                <w:b w:val="0"/>
                <w:bCs w:val="0"/>
                <w:kern w:val="0"/>
              </w:rPr>
            </w:pPr>
            <w:r>
              <w:rPr>
                <w:rFonts w:hint="eastAsia" w:ascii="仿宋_GB2312" w:hAnsi="宋体" w:eastAsia="仿宋_GB2312" w:cs="仿宋_GB2312"/>
                <w:b w:val="0"/>
                <w:bCs w:val="0"/>
                <w:kern w:val="0"/>
                <w:sz w:val="24"/>
                <w:szCs w:val="24"/>
                <w:lang w:eastAsia="zh-CN"/>
              </w:rPr>
              <w:t>年</w:t>
            </w:r>
            <w:r>
              <w:rPr>
                <w:rFonts w:hint="eastAsia" w:ascii="仿宋_GB2312" w:hAnsi="宋体" w:eastAsia="仿宋_GB2312" w:cs="仿宋_GB2312"/>
                <w:b w:val="0"/>
                <w:bCs w:val="0"/>
                <w:kern w:val="0"/>
                <w:sz w:val="24"/>
                <w:szCs w:val="24"/>
                <w:lang w:val="en-US" w:eastAsia="zh-CN"/>
              </w:rPr>
              <w:t xml:space="preserve">   </w:t>
            </w:r>
            <w:r>
              <w:rPr>
                <w:rFonts w:hint="eastAsia" w:ascii="仿宋_GB2312" w:hAnsi="宋体" w:eastAsia="仿宋_GB2312" w:cs="仿宋_GB2312"/>
                <w:b w:val="0"/>
                <w:bCs w:val="0"/>
                <w:kern w:val="0"/>
                <w:sz w:val="24"/>
                <w:szCs w:val="24"/>
                <w:lang w:eastAsia="zh-CN"/>
              </w:rPr>
              <w:t>月</w:t>
            </w:r>
            <w:r>
              <w:rPr>
                <w:rFonts w:hint="eastAsia" w:ascii="仿宋_GB2312" w:hAnsi="宋体" w:eastAsia="仿宋_GB2312" w:cs="仿宋_GB2312"/>
                <w:b w:val="0"/>
                <w:bCs w:val="0"/>
                <w:kern w:val="0"/>
                <w:sz w:val="24"/>
                <w:szCs w:val="24"/>
                <w:lang w:val="en-US" w:eastAsia="zh-CN"/>
              </w:rPr>
              <w:t xml:space="preserve">   </w:t>
            </w:r>
            <w:r>
              <w:rPr>
                <w:rFonts w:hint="eastAsia" w:ascii="仿宋_GB2312" w:hAnsi="宋体" w:eastAsia="仿宋_GB2312" w:cs="仿宋_GB2312"/>
                <w:b w:val="0"/>
                <w:bCs w:val="0"/>
                <w:kern w:val="0"/>
                <w:sz w:val="24"/>
                <w:szCs w:val="24"/>
                <w:lang w:eastAsia="zh-CN"/>
              </w:rPr>
              <w:t>日</w:t>
            </w: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仿宋_GB2312" w:hAnsi="仿宋_GB2312" w:eastAsia="仿宋_GB2312" w:cs="仿宋_GB2312"/>
          <w:b w:val="0"/>
          <w:bCs w:val="0"/>
          <w:color w:val="auto"/>
          <w:sz w:val="32"/>
          <w:szCs w:val="32"/>
          <w:highlight w:val="none"/>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466B10"/>
    <w:multiLevelType w:val="singleLevel"/>
    <w:tmpl w:val="E9466B10"/>
    <w:lvl w:ilvl="0" w:tentative="0">
      <w:start w:val="2"/>
      <w:numFmt w:val="chineseCounting"/>
      <w:suff w:val="nothing"/>
      <w:lvlText w:val="（%1）"/>
      <w:lvlJc w:val="left"/>
      <w:rPr>
        <w:rFonts w:hint="eastAsia"/>
      </w:rPr>
    </w:lvl>
  </w:abstractNum>
  <w:abstractNum w:abstractNumId="1">
    <w:nsid w:val="64E94D64"/>
    <w:multiLevelType w:val="singleLevel"/>
    <w:tmpl w:val="64E94D6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93928"/>
    <w:rsid w:val="0A692778"/>
    <w:rsid w:val="0D143A30"/>
    <w:rsid w:val="1A637EE2"/>
    <w:rsid w:val="32CC5E6A"/>
    <w:rsid w:val="3A4A419F"/>
    <w:rsid w:val="4BE432A9"/>
    <w:rsid w:val="5EEA3CC1"/>
    <w:rsid w:val="7849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Normal Indent"/>
    <w:basedOn w:val="1"/>
    <w:qFormat/>
    <w:uiPriority w:val="0"/>
    <w:pPr>
      <w:suppressAutoHyphens w:val="0"/>
      <w:snapToGrid w:val="0"/>
      <w:spacing w:line="360" w:lineRule="auto"/>
      <w:ind w:firstLine="200" w:firstLineChars="200"/>
      <w:textAlignment w:val="auto"/>
    </w:pPr>
    <w:rPr>
      <w:rFonts w:hint="default" w:eastAsia="楷体_GB2312"/>
      <w:color w:val="auto"/>
      <w:kern w:val="2"/>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2024-12-04T07:30:00Z</dcterms:created>
  <dc:creator>fssf</dc:creator>
  <cp:lastModifiedBy>fssf</cp:lastModifiedBy>
  <cp:lastPrinted>2024-12-13T05:44:00Z</cp:lastPrinted>
  <dcterms:modified xsi:type="dcterms:W3CDTF">2025-01-03T05:51:41Z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