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Style w:val="12"/>
          <w:rFonts w:hint="default" w:ascii="Times New Roman" w:hAnsi="Times New Roman" w:cs="Times New Roman"/>
          <w:szCs w:val="44"/>
          <w:highlight w:val="none"/>
          <w:lang w:val="en-US" w:eastAsia="zh-CN"/>
        </w:rPr>
      </w:pPr>
      <w:bookmarkStart w:id="0" w:name="_Toc15086_WPSOffice_Level1"/>
      <w:bookmarkStart w:id="1" w:name="OLE_LINK1"/>
      <w:bookmarkStart w:id="2" w:name="_Toc25305"/>
      <w:bookmarkStart w:id="3" w:name="_Toc28922"/>
      <w:bookmarkStart w:id="4" w:name="_Toc18980"/>
      <w:bookmarkStart w:id="36" w:name="_GoBack"/>
      <w:r>
        <w:rPr>
          <w:rStyle w:val="12"/>
          <w:rFonts w:hint="default" w:ascii="Times New Roman" w:hAnsi="Times New Roman" w:cs="Times New Roman"/>
          <w:szCs w:val="44"/>
          <w:highlight w:val="none"/>
          <w:lang w:val="en-US" w:eastAsia="zh-CN"/>
        </w:rPr>
        <w:t>关于北京城市副中心数字经济产业高质量发展的实施细则</w:t>
      </w:r>
      <w:bookmarkEnd w:id="0"/>
      <w:bookmarkEnd w:id="36"/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5" w:name="_Toc3302_WPSOffice_Level1"/>
      <w:bookmarkStart w:id="6" w:name="_Toc15433"/>
      <w:bookmarkStart w:id="7" w:name="_Toc3234"/>
      <w:bookmarkStart w:id="8" w:name="_Toc26320"/>
      <w:bookmarkStart w:id="9" w:name="_Toc5359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第一章  总则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为加快数字经济的高质量发展，促进数字经济和实体经济深度融合，培育数字经济新质生产力，打造具有竞争力的数字产业集群，依据《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关于加快推进北京城市副中心产业高质量发展的若干措施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资金的使用和管理遵循依法依规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公开透明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重点突出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注重绩效的原则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引导和带动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本实施细则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资金支持项目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通州区经济和信息化局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具体负责征集、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兑现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、验收和监督管理，支持资金由</w:t>
      </w:r>
      <w:r>
        <w:rPr>
          <w:rFonts w:hint="default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通州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区财政局负责预算安排和监督使用。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第四条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本实施细则适用于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元宇宙、下一代移动通信（6G）、通用人工智能大模型、量子信息、量子计算、光电子集成电路等未来信息产业以及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网络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安全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智慧城市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数据要素、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网络视听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、卫星互联网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等重点数字经济产业方向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的企业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。认定标准根据区内产业发展实际情况进行动态调整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0" w:name="_Toc21032"/>
      <w:bookmarkStart w:id="11" w:name="_Toc18908_WPSOffice_Level1"/>
      <w:bookmarkStart w:id="12" w:name="_Toc4404"/>
      <w:bookmarkStart w:id="13" w:name="_Toc10177"/>
      <w:bookmarkStart w:id="14" w:name="_Toc5576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章  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支持企业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提质增效</w:t>
      </w:r>
      <w:bookmarkEnd w:id="10"/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中小企业加速发展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对购买使用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券产品的中小企业给予资金奖励。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北京市普通中小微企业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北京市“专精特新”中小企业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，北京地区国家级专精特新“小巨人”企业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，单笔合同补贴金额最高不超过合同总金额的30%。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梯次培育优质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获得中国电子信息企业百强、北京市隐形冠军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荣誉称号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获得国家级专精特新小巨人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北京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市级数字经济标杆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一次性50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首次升规的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数字经济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企业，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30万元奖励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对填补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数字经济产业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链空白、具有重大带动作用的企业，最高给予1000万元奖励。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5" w:name="_Toc12760"/>
      <w:bookmarkStart w:id="16" w:name="_Toc4580"/>
      <w:bookmarkStart w:id="17" w:name="_Toc23040"/>
      <w:bookmarkStart w:id="18" w:name="_Toc13055"/>
      <w:bookmarkStart w:id="19" w:name="_Toc14164_WPSOffice_Level1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章 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壮大</w:t>
      </w:r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数字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科研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bookmarkStart w:id="20" w:name="OLE_LINK2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鼓励企业与高等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院校</w:t>
      </w:r>
      <w:bookmarkEnd w:id="2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、科研机构以及上下游企业合作创办数字技术和产业服务平台，为元宇宙、人工智能、大数据、区块链、网络信息安全、光电子集成电路、移动通信、卫星互联网等数字经济重点领域提供专业保障和能力保障。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对新增的市经济和信息化局认定的重点实验室、产业设计中心、企业技术中心等数字技术或产业服务平台，采取支持性后补助方式最高支持200万元。对新增的国家工业和信息化部认定的重点实验室、数字技术中心、工程研究中心、产业创新中心、企业技术中心等数字技术或产业服务平台，采取支持性后补助方式最高支持500万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如有晋级，仅享受差额支持。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支持数字基础设施建设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1.鼓励企业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参与工业互联网、6G、卫星互联网、人工智能、区块链等国家新型基础设施建设，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按照核定纳入支持范围固定资产投资的10%给予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，其中国家级（顶级）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2000万元，区域级（二级）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500万元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对于获得市级资金支持的，给予最高1：0.5的区级资金支持，最高支持2000万元。上述两项资金支持不可同时享受。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2.鼓励企业将存量数据中心转型升级为智算中心，对于获得市级资金支持、且PUE&lt;1.35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</w:rPr>
        <w:t>算力规模大于1000PFLOPS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以上的智算中心，给予最高1：0.5的区级资金支持，最高支持1000万元。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3.鼓励企业基于国产人工智能芯片服务器提供智能算力服务，逐步提高国产软硬件占比。对于采购国产算力芯片的，给予采购国产智算芯片服务器金额最高10%的资金支持，每个项目累计不超过1000万元。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4.鼓励企业强化算力使用，支持企业租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用非关联方的智能算力资源，在工业、政务、医疗、金融、教育、交通、文旅、科学研究、城市管理、便民服务等领域进行行业人工智能大模型训练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和应用。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对获得北京市人工智能算力券资金支持的，给予最高1: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的资金配套支持，单个企业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100万元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支持数字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场景创新应用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鼓励企业从小切口、实场景出发，基于网络安全、数据要素、元宇宙、人工智能大模型方向等方向，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打造一批数字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创新应用标杆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示范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场景。经评审，对国家互联网信息办公室备案的模型、国家及北京市评定的典型案例、以及成效显著的场景案例，给予合同金额最高30%的资金支持，最高支持200万元。</w:t>
      </w:r>
    </w:p>
    <w:p>
      <w:pPr>
        <w:pStyle w:val="2"/>
        <w:ind w:firstLine="640" w:firstLineChars="200"/>
        <w:rPr>
          <w:rFonts w:hint="default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网络</w:t>
      </w:r>
      <w:r>
        <w:rPr>
          <w:rFonts w:hint="default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安全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方向，鼓励企业参与网络安全防护、信息数据安全防护、信创替代等场景应用孵化，推动网络信息安全产业壮大升级。</w:t>
      </w:r>
    </w:p>
    <w:p>
      <w:pPr>
        <w:pStyle w:val="3"/>
        <w:ind w:firstLine="640" w:firstLineChars="200"/>
        <w:rPr>
          <w:rFonts w:hint="default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数据要素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，鼓励企业汇集影视、音乐、文旅、金融等领域数据，开展数据内容训练、监管沙盒探索等，推进文旅数据专区、金融数据专区建设，提升科技文旅、科技金融体验感。</w:t>
      </w:r>
    </w:p>
    <w:p>
      <w:pPr>
        <w:pStyle w:val="2"/>
        <w:ind w:firstLine="640" w:firstLineChars="200"/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元宇宙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ascii="Times New Roman" w:hAnsi="Times New Roman" w:eastAsia="仿宋_GB2312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，鼓励企业在文化、旅游、商业、城市服务等领域加速突破，围绕大运河、三庙一塔、绿心公园、三大文化设施等地标性载体，搭建元宇宙景区、元宇宙图书馆、元宇宙博物馆、VR（AR）沉浸式展厅等创新场景。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人工智能大模型</w:t>
      </w:r>
      <w:r>
        <w:rPr>
          <w:rFonts w:hint="eastAsia" w:ascii="Times New Roman" w:hAnsi="Times New Roman" w:eastAsia="仿宋_GB2312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，鼓励企业围绕智慧教育、医疗健康、自动驾驶、具身智能等重点方向开展场景研究，打造垂直行业领域大模型，支撑多任务复杂场景行业应用，构建行业数据集。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jc w:val="left"/>
        <w:textAlignment w:val="auto"/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第十条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支持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>数字产业集聚发展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鼓励企业整合优秀产学研资源、科技创新服务资源、行业专业资源、金融服务资源、经营管理资源，积极培育未来产业优质项目，持续壮大未来产业生态集群。对于获得北京市未来产业育新基地的企业，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给予最高1：0.5的资金配套支持，最高支持2000万元。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21" w:name="_Toc3827"/>
      <w:bookmarkStart w:id="22" w:name="_Toc1387"/>
      <w:bookmarkStart w:id="23" w:name="_Toc269"/>
      <w:bookmarkStart w:id="24" w:name="_Toc2788"/>
      <w:bookmarkStart w:id="25" w:name="_Toc13610_WPSOffice_Level1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第四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章  </w:t>
      </w:r>
      <w:bookmarkEnd w:id="21"/>
      <w:bookmarkEnd w:id="22"/>
      <w:bookmarkEnd w:id="23"/>
      <w:bookmarkEnd w:id="24"/>
      <w:bookmarkEnd w:id="25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加强宣传推介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支持企业举办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活动展览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鼓励企业围绕元宇宙、数据要素、网络安全、智慧城市、大模型、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区块链、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移动互联网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数字经济领域，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举办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国际、国内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展览展示、论坛会议、展会、大赛等活动，提升行业影响力。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对于活动举办前经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通州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区经济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信息化局备案的产业活动主办方、承办方和协办方等出资单位，按照实际发生额的50%给予支持，每项活动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支持100万元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单个企业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支持100万元。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26" w:name="_Toc9398"/>
      <w:bookmarkStart w:id="27" w:name="_Toc25300"/>
      <w:bookmarkStart w:id="28" w:name="_Toc371"/>
      <w:bookmarkStart w:id="29" w:name="_Toc16078_WPSOffice_Level1"/>
      <w:bookmarkStart w:id="30" w:name="_Toc29291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第五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章 资金申报与项目管理</w:t>
      </w:r>
      <w:bookmarkEnd w:id="26"/>
      <w:bookmarkEnd w:id="27"/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通州区经济和信息化局根据《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关于加快推进北京城市副中心产业高质量发展的若干措施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》和本区发展的实际情况，编制发布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数字经济产业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发展项目申报通知，组织申报相关工作。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企业应在规定申报时间内提交相关材料，如未在规定时间内提交申请的，视为自动放弃。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项目单位收到专项资金后，应加强财政资金使用管理，严格执行财务规章制度和会计核算办法。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31" w:name="_Toc26910"/>
      <w:bookmarkStart w:id="32" w:name="_Toc18816"/>
      <w:bookmarkStart w:id="33" w:name="_Toc27241"/>
      <w:bookmarkStart w:id="34" w:name="_Toc17882"/>
      <w:bookmarkStart w:id="35" w:name="_Toc25208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章 附则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对产业带动性强、地方经济发展贡献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、行业影响力大的重点项目，采取“一企一策”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“一事一议”方式，给予最大支持。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原区级决策事项，仍按照决策内容执行。本着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从优不重复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的原则，该实施细则与区级其他产业政策相同的内容不重复享受；同一项目同时符合该实施细则多个支持类别的，同一年度只能选择一项进行申报。</w:t>
      </w:r>
    </w:p>
    <w:p>
      <w:pPr>
        <w:pStyle w:val="5"/>
        <w:widowControl/>
        <w:shd w:val="clear" w:fill="FFFFFF"/>
        <w:adjustRightInd w:val="0"/>
        <w:snapToGrid w:val="0"/>
        <w:spacing w:beforeAutospacing="0" w:after="0" w:afterAutospacing="0" w:line="56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bidi="ar-SA"/>
        </w:rPr>
        <w:t xml:space="preserve"> 本实施细则由通州区经济和信息化局负责解释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自发布之日起试行，原《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bidi="ar-SA"/>
        </w:rPr>
        <w:t>关于北京城市副中心数字经济产业高质量发展的实施细则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bidi="ar-SA"/>
        </w:rPr>
        <w:t>通经信局〔2024〕136号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作废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试行期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三年，试行期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间如遇国家及北京市相关政策变动将相应调整。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bidi="ar-SA"/>
        </w:rPr>
      </w:pP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DZjMWE0ODdmOTMyOTU2NzUyNDcyNDU2Y2Y5ZDEifQ=="/>
    <w:docVar w:name="KSO_WPS_MARK_KEY" w:val="ac62c165-966f-4b1a-bfd2-e83c46478da9"/>
  </w:docVars>
  <w:rsids>
    <w:rsidRoot w:val="7319503C"/>
    <w:rsid w:val="03300CCC"/>
    <w:rsid w:val="040D3E7F"/>
    <w:rsid w:val="099B68C7"/>
    <w:rsid w:val="09F118E6"/>
    <w:rsid w:val="0A5F788E"/>
    <w:rsid w:val="0D935B07"/>
    <w:rsid w:val="10252DB8"/>
    <w:rsid w:val="10EA3C90"/>
    <w:rsid w:val="115C2962"/>
    <w:rsid w:val="179E5455"/>
    <w:rsid w:val="181B72DB"/>
    <w:rsid w:val="189F35B2"/>
    <w:rsid w:val="19C34B93"/>
    <w:rsid w:val="1BCB2889"/>
    <w:rsid w:val="1CE11FE2"/>
    <w:rsid w:val="1D525097"/>
    <w:rsid w:val="1DD64E49"/>
    <w:rsid w:val="1FAB3839"/>
    <w:rsid w:val="201725C8"/>
    <w:rsid w:val="20306EC4"/>
    <w:rsid w:val="20CB6E6D"/>
    <w:rsid w:val="211A69F0"/>
    <w:rsid w:val="25001CF4"/>
    <w:rsid w:val="274F43F6"/>
    <w:rsid w:val="276D1523"/>
    <w:rsid w:val="27A907C1"/>
    <w:rsid w:val="2A1F07C1"/>
    <w:rsid w:val="2CD86C3B"/>
    <w:rsid w:val="30C83F2A"/>
    <w:rsid w:val="310F66AF"/>
    <w:rsid w:val="34690AD3"/>
    <w:rsid w:val="352C05D9"/>
    <w:rsid w:val="3AED7D56"/>
    <w:rsid w:val="3B2557D3"/>
    <w:rsid w:val="3B3B188B"/>
    <w:rsid w:val="3BF17C3B"/>
    <w:rsid w:val="3C123F18"/>
    <w:rsid w:val="3D6C119D"/>
    <w:rsid w:val="3DCF5DEE"/>
    <w:rsid w:val="40112738"/>
    <w:rsid w:val="4037219F"/>
    <w:rsid w:val="43A6343E"/>
    <w:rsid w:val="444F273B"/>
    <w:rsid w:val="44562E10"/>
    <w:rsid w:val="4456696C"/>
    <w:rsid w:val="44CE29A6"/>
    <w:rsid w:val="44F64696"/>
    <w:rsid w:val="45717309"/>
    <w:rsid w:val="457A008A"/>
    <w:rsid w:val="45AF2859"/>
    <w:rsid w:val="46921963"/>
    <w:rsid w:val="493651F8"/>
    <w:rsid w:val="4B76021B"/>
    <w:rsid w:val="4BC7236C"/>
    <w:rsid w:val="4FF21678"/>
    <w:rsid w:val="51143E36"/>
    <w:rsid w:val="512C2E39"/>
    <w:rsid w:val="528D20F2"/>
    <w:rsid w:val="54505185"/>
    <w:rsid w:val="569C6DA8"/>
    <w:rsid w:val="572528F9"/>
    <w:rsid w:val="576B36B5"/>
    <w:rsid w:val="578E03BF"/>
    <w:rsid w:val="579957F6"/>
    <w:rsid w:val="59F561A6"/>
    <w:rsid w:val="5F6D90A3"/>
    <w:rsid w:val="5FA95C4A"/>
    <w:rsid w:val="62210161"/>
    <w:rsid w:val="632B74E9"/>
    <w:rsid w:val="63643984"/>
    <w:rsid w:val="672F9BBE"/>
    <w:rsid w:val="68880F3A"/>
    <w:rsid w:val="6AD26706"/>
    <w:rsid w:val="6D97577B"/>
    <w:rsid w:val="6E4F39F7"/>
    <w:rsid w:val="6FB31823"/>
    <w:rsid w:val="70C25205"/>
    <w:rsid w:val="72001B41"/>
    <w:rsid w:val="722C0B88"/>
    <w:rsid w:val="7319503C"/>
    <w:rsid w:val="738642C8"/>
    <w:rsid w:val="792627D5"/>
    <w:rsid w:val="795D1F6F"/>
    <w:rsid w:val="79B80F53"/>
    <w:rsid w:val="7C0326A4"/>
    <w:rsid w:val="7C26752C"/>
    <w:rsid w:val="7E092CD8"/>
    <w:rsid w:val="D7B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widowControl w:val="0"/>
      <w:suppressAutoHyphen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widowControl w:val="0"/>
      <w:suppressAutoHyphens/>
      <w:jc w:val="both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index 1"/>
    <w:basedOn w:val="1"/>
    <w:next w:val="1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Char"/>
    <w:link w:val="4"/>
    <w:qFormat/>
    <w:uiPriority w:val="0"/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2627</Words>
  <Characters>2715</Characters>
  <Lines>0</Lines>
  <Paragraphs>0</Paragraphs>
  <TotalTime>55</TotalTime>
  <ScaleCrop>false</ScaleCrop>
  <LinksUpToDate>false</LinksUpToDate>
  <CharactersWithSpaces>2755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2024-06-29T01:32:00Z</dcterms:created>
  <dc:creator>dell</dc:creator>
  <cp:lastModifiedBy>user</cp:lastModifiedBy>
  <cp:lastPrinted>2024-12-13T09:48:00Z</cp:lastPrinted>
  <dcterms:modified xsi:type="dcterms:W3CDTF">2024-12-16T10:29:59Z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2C75501AF90F4CB6A7666CA401DE4218_13</vt:lpwstr>
  </property>
</Properties>
</file>