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ar"/>
        </w:rPr>
        <w:t>石景山区未来产业发展行动计划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ar"/>
        </w:rPr>
        <w:t>（2025—2027年）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</w:rPr>
        <w:t>稿）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为深入贯彻落实党中央、国务院重大决策部署，进一步落实工业和信息化部等七部门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《关于推动未来产业创新发展的实施意见》《北京市促进未来产业创新发展实施方案》，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抢抓新一轮科技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革命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和产业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变革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机遇，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加快推动石景山区未来产业发展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，深入推进新型工业化，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因地制宜发展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新质生产力，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结合区域实际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，制定本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行动计划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以习近平新时代中国特色社会主义思想为指导，全面贯彻党的二十大和二十届三中全会精神，深入实施“两大战略”，统筹做好“四篇文章”，立足新发展阶段，构建新发展格局，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围绕北京国际科技创新中心建设，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以颠覆性技术和前沿技术催生新产业、新模式、新动能，发展新质生产力。将培育发展未来产业作为引领经济社会变革的重要力量，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强化技术、场景、平台、生态等协同联动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，前瞻布局未来产业，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打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造成为具有石景山特色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影响力的未来产业创新策源中心和发展高地</w:t>
      </w:r>
      <w:r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二、基本原则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70707"/>
          <w:kern w:val="0"/>
          <w:sz w:val="32"/>
          <w:szCs w:val="32"/>
        </w:rPr>
        <w:t>坚持市场主导、政府引导。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强化企业创新主体地位，发挥政府引导作用，加强产业规划、完善产业政策、提升产业服务，突破制约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产业发展的体制机制障碍，深入推进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创新政策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先行先试，实现产学研用多主体联动。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70707"/>
          <w:kern w:val="0"/>
          <w:sz w:val="32"/>
          <w:szCs w:val="32"/>
        </w:rPr>
        <w:t>坚持创新驱动、前瞻布局。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以前沿技术突破引领未来产业发展，促进创新要素资源向未来产业集中。依托现有产业优势，率先在前沿科技和产业变革领域布局突破，形成一批颠覆性技术和标志性产品。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70707"/>
          <w:kern w:val="0"/>
          <w:sz w:val="32"/>
          <w:szCs w:val="32"/>
        </w:rPr>
        <w:t>坚持场景牵引、系统推进。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以场景供给为牵引，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技术攻关+成果转化+科技金融+人才支撑”发展路径，系统推进技术向产品转化、产品向产业提升、产业向规模越级进程，打造创新链产业链资金链人才链深度融合的产业生态。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70707"/>
          <w:kern w:val="0"/>
          <w:sz w:val="32"/>
          <w:szCs w:val="32"/>
        </w:rPr>
        <w:t>坚持生态协同、开放合作。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注重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体系搭建，发挥行业协会、产业联盟等平台作用，加快优质资源要素导入，完善产业链上下游衔接密切的全要素生态体系，形成产业集群竞争优势。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三、发展目标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val="en-US" w:eastAsia="zh-CN"/>
        </w:rPr>
        <w:t>到2027年末，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形成要素齐备、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企业集聚、创新活跃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的发展格局，在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领域，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集聚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0家以上行业重点企业，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突破10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项以上关键技术，建成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个以上产业服务平台，建设20个以上重点应用场景示范项目，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实现收入突破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0亿元，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建设未来产业育新基地，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培养引进一批战略科学家、高端领军人才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创业投资家，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为“十五五”时期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石景山区未来产业发展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打下坚实基础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四、产业布局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1.未来信息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bidi w:val="0"/>
        <w:spacing w:after="0" w:line="560" w:lineRule="exact"/>
        <w:ind w:firstLine="640" w:firstLineChars="200"/>
        <w:outlineLvl w:val="9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元宇宙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:推动与科幻、虚拟现实领域融合发展。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加快渲染处理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空间计算、智能编码、动作捕捉等关键技术的研发与应用，加快XR终端、脑机接口、沉浸影音、数字人、3D渲染引擎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技术升级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围绕感知交互技术，拓展视觉、听觉等感知范围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感知效率、感知效果等技术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量子信息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量子通信、量子传感等方向，开展核心器件和测控系统等技术攻关。推动量子软件、量子云平台协同布置，拓展量子通信在国防、金融等高保密等级行业的应用。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</w:rPr>
        <w:t>光电子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val="en-US" w:eastAsia="zh-CN"/>
        </w:rPr>
        <w:t>:推动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</w:rPr>
        <w:t>研制开发硅光成套工艺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val="en-US" w:eastAsia="zh-CN"/>
        </w:rPr>
        <w:t>模块封装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val="en-US" w:eastAsia="zh-CN"/>
        </w:rPr>
        <w:t>硅光芯片设计等关键核心技术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</w:rPr>
        <w:t>，构建异构集成技术基础支撑能力，攻关片间光网络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lang w:val="en-US" w:eastAsia="zh-CN"/>
        </w:rPr>
        <w:t>光互联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</w:rPr>
        <w:t>等核心技术，开展先进成像光学设计、光学元件加工、模组装配及检测的一体化研究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2.未来健康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bidi="ar"/>
        </w:rPr>
        <w:t>细胞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"/>
        </w:rPr>
        <w:t>治疗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bidi="ar"/>
        </w:rPr>
        <w:t>重点研发新型免疫细胞亚群的创新型改造、干细胞-类器官的药物筛选技术、器官创伤修复、再生重建以及先天畸形诊断治疗等细胞技术关键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"/>
        </w:rPr>
        <w:t>装备。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bidi="ar"/>
        </w:rPr>
        <w:t>突破高通量基因测序仪及配套试剂、基因编辑、类器官等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"/>
        </w:rPr>
        <w:t>基因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bidi="ar"/>
        </w:rPr>
        <w:t>关键技术，推动前沿技术与产业融合工程建设。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"/>
        </w:rPr>
        <w:t>合成生物：突破生物制造菌种计算设计、高通量筛选、高效表达、精准调控等关键技术，重点研发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编辑与合成</w:t>
      </w:r>
      <w:r>
        <w:rPr>
          <w:rFonts w:hint="default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、酶工程、</w:t>
      </w:r>
      <w:r>
        <w:rPr>
          <w:rFonts w:hint="eastAsia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细胞工厂</w:t>
      </w:r>
      <w:r>
        <w:rPr>
          <w:rFonts w:hint="default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底层技术，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开发</w:t>
      </w:r>
      <w:r>
        <w:rPr>
          <w:rFonts w:hint="default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生物设计软件、自动化实验设备、</w:t>
      </w:r>
      <w:r>
        <w:rPr>
          <w:rFonts w:hint="eastAsia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云端生物铸造厂</w:t>
      </w:r>
      <w:r>
        <w:rPr>
          <w:rFonts w:hint="default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b w:val="0"/>
          <w:bCs w:val="0"/>
          <w:sz w:val="32"/>
          <w:szCs w:val="22"/>
          <w:highlight w:val="none"/>
          <w:lang w:val="en-US" w:eastAsia="zh-CN"/>
        </w:rPr>
        <w:t>平台。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3.未来制造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人形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机器人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推动灵巧手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高精度操作能力提升、本体轻量化、以及大模型高质量训练方向突破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感知认知、视觉导航等基础技术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机器人技术与多模态大模型融合发展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加快发展新一代工业机器人、服务机器人和特种机器人，构建新一代智能机器人创新生态和发展体系。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智慧出行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聚焦新能源汽车载运工具及无人化驾驶技术，重点研究基于车路云一体化系统的多车协同技术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固定翼飞机、无人机、eVTOL及民用直升机等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关键零部件和电子模块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技术攻关，推动相关产业向智能化与集群化方向迈进。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4.未来空间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卫星网络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开展低轨卫星星座、星地通信及地面应用系统，研究卫星传输单元、图像编码单元、语音编码单元等系统集成，重点开发小型化，克服低温条件可手持穿戴等智能移动、无线电、物联网移动用途的卫星终端设备。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空间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研究突破星地一体化的高可靠数据传输、星地融合海量信息实时处理等关键技术，研发高可靠数据传输系统，确保卫星数据完整、准确落地。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空天地信息网络一体化融合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，加快卫星通信、导航、遥感等技术的融合应用，推动空间数据的共享、互通以及在各领域的应用示范。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五、重点任务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（一）前沿技术创新行动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支持产业链链长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承担国家级科技重大项目和重大科技攻关工程，通过“揭榜挂帅”“赛马”等项目组织形式，重点突破一批未来产业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原创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和原创成果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实现未来产业“从0到1”的跨越。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鼓励龙头企业牵头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或参与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创新联合体，集聚产学研资源，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加快突破一批未来产业关键核心技术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面向国家重大需求，推进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第六代移动通信（6G）、光电子、脑机接口、智慧出行、商业航天等重点领域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研发攻关，推动跨领域技术交叉融合创新，加大未来产业前沿技术提前布局。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（牵头单位：石景山园管委会区科委；配合单位：区经济和信息化局）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（二）科技成果转化行动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引入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高校、科研院所的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资源，探索建设一批专业化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未来产业创新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、产教联合体、概念验证中心，推动前沿技术培育与产业创新深度融合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围绕未来产业重点领域举办成果对接展会，推动供需精准对接，推动解决创新成果向产业化转化“最后一公里”问题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落实首台（套）等激励政策，加快新技术新产品应用推广。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（牵头单位：石景山园管委会区科委；配合单位：区经济和信息化局）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（三）创新生态营造行动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建设专业孵化器，完善“创业导师+创业专家+创业辅导员+创业联络员”的服务体系，为科创企业和团队提供全链条、全要素、全融通的双创服务，组织创孵沙龙、创业训练营等活动，构建宜创宜业的产业发展环境。瞄准量子信息、光电子、智慧出行、脑机交互、卫星网络、空间信息等未来产业重点领域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引进重点实验室，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搭建产业公共服务平台，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提升关键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核心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技术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能力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举办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未来产业系列品牌论坛、创新创业大赛、成果展会，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激发市场主体创新动能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，营造浓厚的创新氛围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（牵头单位：石景山园管委会区科委；配合单位：区经济和信息化局）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（四）产业集群建设行动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引入高水平、专业化产业运营和服务机构，建设未来产业育新基地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围绕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未来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产业发展重点环节、关键领域，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形成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动态招商清单，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招引一批细分领域领军企业。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发挥龙头企业引领作用，带动中小企业融通发展，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培育一批具有核心竞争力的潜力企业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  <w:lang w:val="en-US" w:eastAsia="zh-CN"/>
        </w:rPr>
        <w:t>促进上下游资源集聚，推动产业集群做大做强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（牵头单位：石景山园管委会区科委；配合单位：区经济和信息化局、区投促中心）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（五）未来场景构建行动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28"/>
          <w:lang w:val="en-US" w:eastAsia="zh-CN"/>
        </w:rPr>
        <w:t>建设</w:t>
      </w: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28"/>
        </w:rPr>
        <w:t>一批场景应用示范项目，通过场景加速推动创新企业快速发展。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搭建未来场景实验室，打磨凝练未来场景需求榜单，</w:t>
      </w: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28"/>
        </w:rPr>
        <w:t>通过发布会、路演、大赛等方式，吸引企业开展场景创新</w:t>
      </w: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打造一批示范性强、影响力大的应用场景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安防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应急、工业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领域应用需求，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推动人形机器人、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虚拟仿真、3D视觉、先进光成像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等技术应用，积极建设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巡检、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汽车、物流、搬运、分拣、检测等应用场景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数字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金融、新型消费应用领域，推动量子通信、</w:t>
      </w:r>
      <w:r>
        <w:rPr>
          <w:rFonts w:hint="eastAsia" w:ascii="仿宋_GB2312" w:hAnsi="黑体" w:eastAsia="仿宋_GB2312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光电子芯片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、数字孪生等技术应用，积极建设金融服务、智能穿戴设备、智慧文旅、智慧教育等应用场景；面向医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疗领域数智化转型需求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推动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脑机交互、细胞治疗、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人形机器人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合成生物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等技术应用，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新药研发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精准手术操作、个性康复指导、健康管理、新药研发、疾病预防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辅助医疗诊断等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场景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智慧城市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领域，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推动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空间遥感、红外探测、低空通信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等技术应用，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积极建设城市管理、智慧交通、环保监测等应用场景。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（牵头单位：石景山园管委会区科委；配合单位：区公安分局、区城市管理委、区经济和信息化局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区卫生健康委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区发展改革委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区银保园管委会）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（六）科技金融加速行动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发挥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石景山区现代创新产业发展基金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作用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，面向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四大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细分赛道布局产业发展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子基金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引导社会资本参与未来产业技术创新和产业化落地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。支持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未来产业专业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孵化器与投资机构加强合作，探索投后管理与孵化加速深度融合的新机制、新模式，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扩大“耐心资本”供给，坚持“投早、投小、投硬科技”，稳定支持具有核心技术能力的硬科技企业发展。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引导银行、担保机构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为未来产业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提供优惠科技信贷产品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培育多元化资金投入体系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（牵头单位：区银保园管委会；配合单位：石景山园管委会区科委、区经济和信息化局）</w:t>
      </w:r>
    </w:p>
    <w:p>
      <w:pPr>
        <w:keepNext w:val="0"/>
        <w:keepLines w:val="0"/>
        <w:pageBreakBefore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70707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70707"/>
          <w:kern w:val="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070707"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卓越人才汇聚行动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绘制未来产业细分赛道“人才链”图谱，发挥行业协会、学会资源优势，集聚一批产业高端人才。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联合企业、高校、科研院所，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创新重点领域高端人才培养机制，探索复合型创新人才的培养模式，推动基础理论和应用能力培训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产业发展提供人才保障。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利用央企、新型研发机构资源，拓展海外引才渠道，加大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前沿领域紧缺高层次人才的引进力度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070707"/>
          <w:kern w:val="0"/>
          <w:sz w:val="32"/>
          <w:szCs w:val="32"/>
        </w:rPr>
        <w:t>搭建高层次人才服务平台，完善人才服务保障工作内容，设立“一站式”服务项目机制。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（牵头单位：石景山园管委会区科委；配合单位：区委组织部、区人力资源社会保障局）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（八）国际开放合作行动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利用中关村论坛、中国科幻大会等重大平台，搭建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未来产业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国际化交流展示平台，广泛邀请企业参与，扩大区域产业影响力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建立未来产业国际化合作对接机制，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汇聚前沿领域专家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，搭建常态化双向供需对接开放渠道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（牵头单位：石景山园管委会区科委；配合单位：区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投促中心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 w:bidi="ar-SA"/>
        </w:rPr>
        <w:t>六、保障措施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（一）加强组织领导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建立健全未来产业工作推进机制，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明确责任分工，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  <w:lang w:val="en-US" w:eastAsia="zh-CN"/>
        </w:rPr>
        <w:t>定期调度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工作，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highlight w:val="none"/>
        </w:rPr>
        <w:t>统筹推动未来产业各项任务落实，形成全区推进未来产业高质量发展合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力。建立未来产业发展专家咨询机制，为全区未来产业发展提供决策支持和咨询建议。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bidi w:val="0"/>
        <w:spacing w:after="0" w:line="560" w:lineRule="exact"/>
        <w:ind w:firstLine="640" w:firstLineChars="200"/>
        <w:contextualSpacing/>
        <w:outlineLvl w:val="1"/>
        <w:rPr>
          <w:rFonts w:ascii="楷体_GB2312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highlight w:val="none"/>
        </w:rPr>
        <w:t>（二）强化政策保障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制定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实施石景山区加快培育未来产业支持办法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加大关键技术攻关、创新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场景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应用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、产业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孵化服务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  <w:lang w:val="en-US" w:eastAsia="zh-CN"/>
        </w:rPr>
        <w:t>基金发展支撑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、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人才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引进培育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力度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，吸引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更多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  <w:lang w:val="en-US" w:eastAsia="zh-CN"/>
        </w:rPr>
        <w:t>未来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产业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  <w:highlight w:val="none"/>
        </w:rPr>
        <w:t>资</w:t>
      </w:r>
      <w:r>
        <w:rPr>
          <w:rFonts w:ascii="仿宋_GB2312" w:hAnsi="FangSong_GB2312" w:eastAsia="仿宋_GB2312" w:cs="FangSong_GB2312"/>
          <w:color w:val="auto"/>
          <w:sz w:val="32"/>
          <w:szCs w:val="32"/>
          <w:highlight w:val="none"/>
        </w:rPr>
        <w:t>源集聚。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  <w:lang w:val="en-US" w:eastAsia="zh-CN" w:bidi="ar-SA"/>
        </w:rPr>
        <w:t>（三）提升</w:t>
      </w:r>
      <w:r>
        <w:rPr>
          <w:rFonts w:hint="eastAsia" w:ascii="楷体_GB2312" w:hAnsi="FangSong_GB2312" w:eastAsia="楷体_GB2312" w:cs="FangSong_GB2312"/>
          <w:color w:val="auto"/>
          <w:sz w:val="32"/>
          <w:szCs w:val="32"/>
          <w:highlight w:val="none"/>
        </w:rPr>
        <w:t>宣传质效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拓展宣传推介渠道，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  <w:t>通过官网、推介会、新媒体等多种方式，全方位宣传本区未来产业政策、人才政策等，不断提升区域科技创新能力和影响力。通过中国科幻大会、服贸会、中关村论坛等活动，大力宣传石景山发展未来产业创新发展成果，提升全国影响力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850" w:gutter="0"/>
      <w:pgNumType w:fmt="numberInDash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574675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45.2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+pH5s9QAAAAFAQAADwAAAAAAAAABACAA&#10;AAA4AAAAZHJzL2Rvd25yZXYueG1sUEsBAhQAFAAAAAgAh07iQB3H2+A0AgAAWAQAAA4AAAAAAAAA&#10;AQAgAAAAO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2244725</wp:posOffset>
              </wp:positionH>
              <wp:positionV relativeFrom="paragraph">
                <wp:posOffset>0</wp:posOffset>
              </wp:positionV>
              <wp:extent cx="123825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6.75pt;margin-top:0pt;height:144pt;width:9.75pt;mso-position-horizontal-relative:margin;z-index:251659264;mso-width-relative:page;mso-height-relative:page;" filled="f" stroked="f" coordsize="21600,21600" o:gfxdata="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imjrI1wAAAAgBAAAPAAAAAAAAAAEA&#10;IAAAADgAAABkcnMvZG93bnJldi54bWxQSwECFAAUAAAACACHTuJAaKj+tTMCAABWBAAADgAAAAAA&#10;AAABACAAAAA8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TJkY2E1MmUxM2RiNGQxYTViYTc5YzM2ZjE1NDUifQ=="/>
  </w:docVars>
  <w:rsids>
    <w:rsidRoot w:val="00172A27"/>
    <w:rsid w:val="00172A27"/>
    <w:rsid w:val="00185EE3"/>
    <w:rsid w:val="005A29D7"/>
    <w:rsid w:val="007535E2"/>
    <w:rsid w:val="008B73C2"/>
    <w:rsid w:val="009B5ACC"/>
    <w:rsid w:val="00AC068F"/>
    <w:rsid w:val="00EA208A"/>
    <w:rsid w:val="00F42E48"/>
    <w:rsid w:val="0147778C"/>
    <w:rsid w:val="01541EA9"/>
    <w:rsid w:val="01E46D89"/>
    <w:rsid w:val="01FD7E4B"/>
    <w:rsid w:val="02410964"/>
    <w:rsid w:val="02A57033"/>
    <w:rsid w:val="02DC52DA"/>
    <w:rsid w:val="030C4028"/>
    <w:rsid w:val="03D34F82"/>
    <w:rsid w:val="048028BE"/>
    <w:rsid w:val="050B287F"/>
    <w:rsid w:val="05AF5900"/>
    <w:rsid w:val="06145DC8"/>
    <w:rsid w:val="062B6C17"/>
    <w:rsid w:val="06626E67"/>
    <w:rsid w:val="069952C7"/>
    <w:rsid w:val="06EE06AA"/>
    <w:rsid w:val="07302A71"/>
    <w:rsid w:val="07707311"/>
    <w:rsid w:val="07CE3FF6"/>
    <w:rsid w:val="09905A49"/>
    <w:rsid w:val="09A03EDE"/>
    <w:rsid w:val="0A083831"/>
    <w:rsid w:val="0A4315FE"/>
    <w:rsid w:val="0A7D1BC1"/>
    <w:rsid w:val="0AC873FC"/>
    <w:rsid w:val="0B27418B"/>
    <w:rsid w:val="0C293400"/>
    <w:rsid w:val="0C4F5747"/>
    <w:rsid w:val="0CC23ED9"/>
    <w:rsid w:val="0D8458C4"/>
    <w:rsid w:val="0EAA3109"/>
    <w:rsid w:val="0F895414"/>
    <w:rsid w:val="11912346"/>
    <w:rsid w:val="11B47508"/>
    <w:rsid w:val="11CC3396"/>
    <w:rsid w:val="13386F35"/>
    <w:rsid w:val="14353AC2"/>
    <w:rsid w:val="148A6B30"/>
    <w:rsid w:val="151A2797"/>
    <w:rsid w:val="154716B1"/>
    <w:rsid w:val="155B6F0B"/>
    <w:rsid w:val="15897F1C"/>
    <w:rsid w:val="158D1BF3"/>
    <w:rsid w:val="161754C0"/>
    <w:rsid w:val="164C60A4"/>
    <w:rsid w:val="165027E8"/>
    <w:rsid w:val="17883B9E"/>
    <w:rsid w:val="1A1D0315"/>
    <w:rsid w:val="1A2D6DFF"/>
    <w:rsid w:val="1A474F92"/>
    <w:rsid w:val="1A4C32C6"/>
    <w:rsid w:val="1A98650B"/>
    <w:rsid w:val="1AD734D7"/>
    <w:rsid w:val="1BD23C9F"/>
    <w:rsid w:val="1D754862"/>
    <w:rsid w:val="1EAF2557"/>
    <w:rsid w:val="1EE241F9"/>
    <w:rsid w:val="1EF26B32"/>
    <w:rsid w:val="1EF81C6E"/>
    <w:rsid w:val="20F75BC2"/>
    <w:rsid w:val="217F21D3"/>
    <w:rsid w:val="21AB121A"/>
    <w:rsid w:val="21CB366A"/>
    <w:rsid w:val="22391369"/>
    <w:rsid w:val="230230BC"/>
    <w:rsid w:val="23166B67"/>
    <w:rsid w:val="23907E55"/>
    <w:rsid w:val="23CF3F6C"/>
    <w:rsid w:val="25761B3F"/>
    <w:rsid w:val="261E0B61"/>
    <w:rsid w:val="270A69E3"/>
    <w:rsid w:val="273C3E88"/>
    <w:rsid w:val="278DD752"/>
    <w:rsid w:val="27F429B1"/>
    <w:rsid w:val="27F4395F"/>
    <w:rsid w:val="28E86F25"/>
    <w:rsid w:val="291B50D0"/>
    <w:rsid w:val="2944442E"/>
    <w:rsid w:val="29B7461D"/>
    <w:rsid w:val="2A6B7798"/>
    <w:rsid w:val="2AA80185"/>
    <w:rsid w:val="2B563FA5"/>
    <w:rsid w:val="2BA226AF"/>
    <w:rsid w:val="2BFC2926"/>
    <w:rsid w:val="2C477D91"/>
    <w:rsid w:val="2C733CC9"/>
    <w:rsid w:val="2EFF3B7B"/>
    <w:rsid w:val="2F2C0B1D"/>
    <w:rsid w:val="2F6649D2"/>
    <w:rsid w:val="2FCA40FB"/>
    <w:rsid w:val="30030473"/>
    <w:rsid w:val="303D5733"/>
    <w:rsid w:val="316F5DC0"/>
    <w:rsid w:val="31857AA8"/>
    <w:rsid w:val="322F37A1"/>
    <w:rsid w:val="3260395B"/>
    <w:rsid w:val="329D695D"/>
    <w:rsid w:val="33A444F1"/>
    <w:rsid w:val="33DC1707"/>
    <w:rsid w:val="33F22CD8"/>
    <w:rsid w:val="34EF0FC6"/>
    <w:rsid w:val="34F90010"/>
    <w:rsid w:val="34FB796B"/>
    <w:rsid w:val="353C06AF"/>
    <w:rsid w:val="36013481"/>
    <w:rsid w:val="3626505F"/>
    <w:rsid w:val="373D1126"/>
    <w:rsid w:val="37EB2F17"/>
    <w:rsid w:val="38523D46"/>
    <w:rsid w:val="38593C76"/>
    <w:rsid w:val="38D90EE8"/>
    <w:rsid w:val="390A32B9"/>
    <w:rsid w:val="397D4DF2"/>
    <w:rsid w:val="39AF6E3D"/>
    <w:rsid w:val="39F74BA5"/>
    <w:rsid w:val="3A4B6C9E"/>
    <w:rsid w:val="3A6F5083"/>
    <w:rsid w:val="3C5F3DF0"/>
    <w:rsid w:val="3D24455A"/>
    <w:rsid w:val="3D380F65"/>
    <w:rsid w:val="3DF338D5"/>
    <w:rsid w:val="3DFE37C3"/>
    <w:rsid w:val="3E5315DD"/>
    <w:rsid w:val="40136D3E"/>
    <w:rsid w:val="4019700B"/>
    <w:rsid w:val="40327A94"/>
    <w:rsid w:val="4037486B"/>
    <w:rsid w:val="41010570"/>
    <w:rsid w:val="410A1661"/>
    <w:rsid w:val="41F06AA9"/>
    <w:rsid w:val="41FD6251"/>
    <w:rsid w:val="42DB2D30"/>
    <w:rsid w:val="430420E0"/>
    <w:rsid w:val="46036BF8"/>
    <w:rsid w:val="46222FA9"/>
    <w:rsid w:val="46821C9A"/>
    <w:rsid w:val="48420604"/>
    <w:rsid w:val="48455675"/>
    <w:rsid w:val="492D162E"/>
    <w:rsid w:val="49BB2948"/>
    <w:rsid w:val="4ACA3C0F"/>
    <w:rsid w:val="4C5216C4"/>
    <w:rsid w:val="4CA95044"/>
    <w:rsid w:val="4D514E22"/>
    <w:rsid w:val="4D817BB7"/>
    <w:rsid w:val="4DA1334D"/>
    <w:rsid w:val="4E2D4BE1"/>
    <w:rsid w:val="4E404914"/>
    <w:rsid w:val="4E4A0AB9"/>
    <w:rsid w:val="4E8A2033"/>
    <w:rsid w:val="4EA6468F"/>
    <w:rsid w:val="50E23ABF"/>
    <w:rsid w:val="514B0912"/>
    <w:rsid w:val="51646B6C"/>
    <w:rsid w:val="51E25CE3"/>
    <w:rsid w:val="524A64DB"/>
    <w:rsid w:val="54964330"/>
    <w:rsid w:val="5497634D"/>
    <w:rsid w:val="55661910"/>
    <w:rsid w:val="55880EF7"/>
    <w:rsid w:val="567E247E"/>
    <w:rsid w:val="56B85264"/>
    <w:rsid w:val="58353010"/>
    <w:rsid w:val="58CD4FF7"/>
    <w:rsid w:val="5943098D"/>
    <w:rsid w:val="5ACE14FA"/>
    <w:rsid w:val="5BD45CEA"/>
    <w:rsid w:val="5C1178F0"/>
    <w:rsid w:val="5C1D0043"/>
    <w:rsid w:val="5C2E2250"/>
    <w:rsid w:val="5D255365"/>
    <w:rsid w:val="5E023994"/>
    <w:rsid w:val="5F824661"/>
    <w:rsid w:val="60A81824"/>
    <w:rsid w:val="612C2AD6"/>
    <w:rsid w:val="614632A9"/>
    <w:rsid w:val="61F93300"/>
    <w:rsid w:val="62261C95"/>
    <w:rsid w:val="627E3805"/>
    <w:rsid w:val="628F77C1"/>
    <w:rsid w:val="629B43B7"/>
    <w:rsid w:val="62C3746A"/>
    <w:rsid w:val="63133D3B"/>
    <w:rsid w:val="632223E3"/>
    <w:rsid w:val="63770981"/>
    <w:rsid w:val="637C5F97"/>
    <w:rsid w:val="63AB687C"/>
    <w:rsid w:val="64630F05"/>
    <w:rsid w:val="653B635F"/>
    <w:rsid w:val="655F16CC"/>
    <w:rsid w:val="658B24C1"/>
    <w:rsid w:val="66501015"/>
    <w:rsid w:val="666A42A2"/>
    <w:rsid w:val="66F016E5"/>
    <w:rsid w:val="66FB3677"/>
    <w:rsid w:val="67226E55"/>
    <w:rsid w:val="67862220"/>
    <w:rsid w:val="67AB5867"/>
    <w:rsid w:val="67FA56DC"/>
    <w:rsid w:val="681A5D7E"/>
    <w:rsid w:val="687E098D"/>
    <w:rsid w:val="68B63CF9"/>
    <w:rsid w:val="68C1357A"/>
    <w:rsid w:val="68EA5751"/>
    <w:rsid w:val="6A6E7069"/>
    <w:rsid w:val="6A895812"/>
    <w:rsid w:val="6AA133AA"/>
    <w:rsid w:val="6B4C0C26"/>
    <w:rsid w:val="6B5C220A"/>
    <w:rsid w:val="6C20148A"/>
    <w:rsid w:val="6C3F19FF"/>
    <w:rsid w:val="6C7F295B"/>
    <w:rsid w:val="6D21370B"/>
    <w:rsid w:val="6D4842D9"/>
    <w:rsid w:val="6E531FEA"/>
    <w:rsid w:val="6F3E2352"/>
    <w:rsid w:val="6F446861"/>
    <w:rsid w:val="6F7FA6B4"/>
    <w:rsid w:val="711F4406"/>
    <w:rsid w:val="71B72890"/>
    <w:rsid w:val="71FD4747"/>
    <w:rsid w:val="720F7FD6"/>
    <w:rsid w:val="732238CE"/>
    <w:rsid w:val="736E78B7"/>
    <w:rsid w:val="73736C68"/>
    <w:rsid w:val="7402183D"/>
    <w:rsid w:val="741B0EB4"/>
    <w:rsid w:val="744321B9"/>
    <w:rsid w:val="74AE1D28"/>
    <w:rsid w:val="74B16DD2"/>
    <w:rsid w:val="752E10BB"/>
    <w:rsid w:val="758D5D25"/>
    <w:rsid w:val="760A0EAA"/>
    <w:rsid w:val="76BD26F7"/>
    <w:rsid w:val="781F64C0"/>
    <w:rsid w:val="78CB7931"/>
    <w:rsid w:val="78ED02C3"/>
    <w:rsid w:val="79C3399F"/>
    <w:rsid w:val="79D20267"/>
    <w:rsid w:val="7A150154"/>
    <w:rsid w:val="7BA06143"/>
    <w:rsid w:val="7E307C52"/>
    <w:rsid w:val="7EE8052D"/>
    <w:rsid w:val="7F3217A8"/>
    <w:rsid w:val="7F7B60CA"/>
    <w:rsid w:val="7FE0EC88"/>
    <w:rsid w:val="AF4FFB3F"/>
    <w:rsid w:val="BFFC556D"/>
    <w:rsid w:val="DBF6FECF"/>
    <w:rsid w:val="DDD6FD72"/>
    <w:rsid w:val="EEEBF11B"/>
    <w:rsid w:val="F1F753B3"/>
    <w:rsid w:val="FB7FA988"/>
    <w:rsid w:val="FD5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beforeLines="0" w:after="0" w:afterLines="0" w:line="580" w:lineRule="exact"/>
      <w:ind w:firstLine="200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outlineLvl w:val="1"/>
    </w:pPr>
    <w:rPr>
      <w:rFonts w:eastAsia="楷体" w:cstheme="majorBidi"/>
      <w:szCs w:val="32"/>
    </w:rPr>
  </w:style>
  <w:style w:type="paragraph" w:styleId="4">
    <w:name w:val="heading 3"/>
    <w:basedOn w:val="5"/>
    <w:next w:val="5"/>
    <w:autoRedefine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6">
    <w:name w:val="heading 4"/>
    <w:basedOn w:val="7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paragraph" w:styleId="7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/>
      <w:szCs w:val="21"/>
    </w:rPr>
  </w:style>
  <w:style w:type="character" w:default="1" w:styleId="23">
    <w:name w:val="Default Paragraph Font"/>
    <w:autoRedefine/>
    <w:unhideWhenUsed/>
    <w:qFormat/>
    <w:uiPriority w:val="1"/>
  </w:style>
  <w:style w:type="table" w:default="1" w:styleId="2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报告正文"/>
    <w:basedOn w:val="1"/>
    <w:autoRedefine/>
    <w:qFormat/>
    <w:uiPriority w:val="0"/>
    <w:pPr>
      <w:spacing w:before="0" w:beforeLines="0" w:after="0" w:afterLines="0" w:line="580" w:lineRule="exact"/>
      <w:ind w:firstLine="200" w:firstLineChars="200"/>
    </w:pPr>
    <w:rPr>
      <w:rFonts w:ascii="Times New Roman" w:hAnsi="Times New Roman" w:eastAsia="仿宋_GB2312" w:cs="Times New Roman"/>
      <w:sz w:val="32"/>
      <w:szCs w:val="28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"/>
    <w:basedOn w:val="1"/>
    <w:next w:val="10"/>
    <w:autoRedefine/>
    <w:qFormat/>
    <w:uiPriority w:val="0"/>
  </w:style>
  <w:style w:type="paragraph" w:customStyle="1" w:styleId="10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11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autoRedefine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index heading"/>
    <w:basedOn w:val="1"/>
    <w:next w:val="16"/>
    <w:autoRedefine/>
    <w:qFormat/>
    <w:uiPriority w:val="99"/>
    <w:rPr>
      <w:rFonts w:ascii="Arial" w:hAnsi="Arial"/>
      <w:b/>
    </w:rPr>
  </w:style>
  <w:style w:type="paragraph" w:styleId="16">
    <w:name w:val="index 1"/>
    <w:basedOn w:val="1"/>
    <w:next w:val="1"/>
    <w:autoRedefine/>
    <w:qFormat/>
    <w:uiPriority w:val="99"/>
  </w:style>
  <w:style w:type="paragraph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9">
    <w:name w:val="Body Text First Indent"/>
    <w:basedOn w:val="9"/>
    <w:qFormat/>
    <w:uiPriority w:val="0"/>
    <w:pPr>
      <w:ind w:firstLine="420" w:firstLineChars="100"/>
    </w:pPr>
    <w:rPr>
      <w:rFonts w:ascii="Times New Roman" w:hAnsi="Times New Roman"/>
      <w:szCs w:val="20"/>
    </w:rPr>
  </w:style>
  <w:style w:type="paragraph" w:styleId="20">
    <w:name w:val="Body Text First Indent 2"/>
    <w:basedOn w:val="11"/>
    <w:autoRedefine/>
    <w:qFormat/>
    <w:uiPriority w:val="0"/>
  </w:style>
  <w:style w:type="table" w:styleId="22">
    <w:name w:val="Table Grid"/>
    <w:basedOn w:val="21"/>
    <w:autoRedefine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paragraph" w:customStyle="1" w:styleId="26">
    <w:name w:val="正文 A"/>
    <w:next w:val="27"/>
    <w:autoRedefine/>
    <w:qFormat/>
    <w:uiPriority w:val="0"/>
    <w:pPr>
      <w:framePr w:wrap="around" w:vAnchor="margin" w:hAnchor="text" w:yAlign="top"/>
      <w:widowControl w:val="0"/>
      <w:spacing w:after="160" w:line="259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正文文本1"/>
    <w:next w:val="26"/>
    <w:autoRedefine/>
    <w:qFormat/>
    <w:uiPriority w:val="0"/>
    <w:pPr>
      <w:framePr w:wrap="around" w:vAnchor="margin" w:hAnchor="text" w:yAlign="top"/>
      <w:widowControl w:val="0"/>
      <w:spacing w:after="160" w:line="259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8">
    <w:name w:val="四级标题"/>
    <w:basedOn w:val="1"/>
    <w:autoRedefine/>
    <w:qFormat/>
    <w:uiPriority w:val="0"/>
    <w:pPr>
      <w:spacing w:before="0" w:beforeLines="0" w:after="0" w:afterLines="0" w:line="580" w:lineRule="exact"/>
      <w:ind w:firstLine="200" w:firstLineChars="200"/>
      <w:outlineLvl w:val="3"/>
    </w:pPr>
    <w:rPr>
      <w:rFonts w:ascii="Times New Roman" w:hAnsi="Times New Roman" w:eastAsia="仿宋_GB2312"/>
      <w:sz w:val="32"/>
    </w:rPr>
  </w:style>
  <w:style w:type="paragraph" w:customStyle="1" w:styleId="29">
    <w:name w:val="图表标题"/>
    <w:basedOn w:val="5"/>
    <w:autoRedefine/>
    <w:qFormat/>
    <w:uiPriority w:val="0"/>
    <w:pPr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4539</Words>
  <Characters>4641</Characters>
  <Lines>30</Lines>
  <Paragraphs>8</Paragraphs>
  <TotalTime>1</TotalTime>
  <ScaleCrop>false</ScaleCrop>
  <LinksUpToDate>false</LinksUpToDate>
  <CharactersWithSpaces>4642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2023-03-31T10:37:00Z</dcterms:created>
  <dc:creator>lenovo</dc:creator>
  <cp:lastModifiedBy>uos</cp:lastModifiedBy>
  <cp:lastPrinted>2023-04-07T06:47:00Z</cp:lastPrinted>
  <dcterms:modified xsi:type="dcterms:W3CDTF">2024-12-12T13:24:08Z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391AC5449C8FB05D4A545A67266722DE_43</vt:lpwstr>
  </property>
</Properties>
</file>