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4F0F5">
      <w:pPr>
        <w:spacing w:line="560" w:lineRule="exact"/>
        <w:jc w:val="center"/>
        <w:rPr>
          <w:rFonts w:ascii="方正小标宋简体" w:hAnsi="方正小标宋简体" w:eastAsia="方正小标宋简体" w:cs="方正小标宋简体"/>
          <w:w w:val="99"/>
          <w:sz w:val="44"/>
          <w:szCs w:val="52"/>
        </w:rPr>
      </w:pPr>
      <w:r>
        <w:rPr>
          <w:rFonts w:hint="eastAsia" w:ascii="方正小标宋简体" w:hAnsi="方正小标宋简体" w:eastAsia="方正小标宋简体" w:cs="方正小标宋简体"/>
          <w:w w:val="99"/>
          <w:sz w:val="44"/>
          <w:szCs w:val="52"/>
        </w:rPr>
        <w:t>北京市通州区</w:t>
      </w:r>
    </w:p>
    <w:p w14:paraId="78C5F596">
      <w:pPr>
        <w:spacing w:line="560" w:lineRule="exact"/>
        <w:jc w:val="center"/>
        <w:rPr>
          <w:rFonts w:ascii="方正小标宋简体" w:hAnsi="方正小标宋简体" w:eastAsia="方正小标宋简体" w:cs="方正小标宋简体"/>
          <w:w w:val="99"/>
          <w:sz w:val="44"/>
          <w:szCs w:val="52"/>
        </w:rPr>
      </w:pPr>
      <w:r>
        <w:rPr>
          <w:rFonts w:hint="eastAsia" w:ascii="方正小标宋简体" w:hAnsi="方正小标宋简体" w:eastAsia="方正小标宋简体" w:cs="方正小标宋简体"/>
          <w:w w:val="99"/>
          <w:sz w:val="44"/>
          <w:szCs w:val="52"/>
        </w:rPr>
        <w:t>深化气候适应型城市建设试点实施方案</w:t>
      </w:r>
    </w:p>
    <w:p w14:paraId="1A9BB31C">
      <w:pPr>
        <w:adjustRightInd w:val="0"/>
        <w:snapToGrid w:val="0"/>
        <w:spacing w:line="560" w:lineRule="exact"/>
        <w:ind w:firstLine="640" w:firstLineChars="200"/>
        <w:rPr>
          <w:rFonts w:ascii="仿宋_GB2312" w:hAnsi="仿宋_GB2312" w:eastAsia="仿宋_GB2312" w:cs="仿宋_GB2312"/>
          <w:sz w:val="32"/>
          <w:szCs w:val="32"/>
        </w:rPr>
      </w:pPr>
    </w:p>
    <w:p w14:paraId="34EBB40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为全面贯彻党中央、国务院关于碳达峰、碳中和系列重大决策部署，</w:t>
      </w:r>
      <w:r>
        <w:rPr>
          <w:rFonts w:ascii="仿宋_GB2312" w:hAnsi="仿宋_GB2312" w:eastAsia="仿宋_GB2312" w:cs="仿宋_GB2312"/>
          <w:sz w:val="32"/>
          <w:szCs w:val="32"/>
        </w:rPr>
        <w:t>落实《国家适应气候变化战略2035》</w:t>
      </w:r>
      <w:r>
        <w:rPr>
          <w:rFonts w:hint="eastAsia" w:ascii="仿宋_GB2312" w:hAnsi="仿宋_GB2312" w:eastAsia="仿宋_GB2312" w:cs="仿宋_GB2312"/>
          <w:sz w:val="32"/>
          <w:szCs w:val="32"/>
        </w:rPr>
        <w:t>（环气候〔2022〕41号）《</w:t>
      </w:r>
      <w:r>
        <w:rPr>
          <w:rFonts w:ascii="仿宋_GB2312" w:hAnsi="仿宋_GB2312" w:eastAsia="仿宋_GB2312" w:cs="仿宋_GB2312"/>
          <w:sz w:val="32"/>
          <w:szCs w:val="32"/>
        </w:rPr>
        <w:t>北京市适应气候变化行动方案</w:t>
      </w:r>
      <w:r>
        <w:rPr>
          <w:rFonts w:hint="eastAsia" w:ascii="仿宋_GB2312" w:hAnsi="仿宋_GB2312" w:eastAsia="仿宋_GB2312" w:cs="仿宋_GB2312"/>
          <w:sz w:val="32"/>
          <w:szCs w:val="32"/>
        </w:rPr>
        <w:t>》（京环发〔2024〕1号）《关于印发深化气候适应型城市建设试点名单的通知》（环办气候函〔202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〕187号）等有关文件精神和要求，推进通州区气候适应型城市建设试点工作开展，特制定本方案。</w:t>
      </w:r>
    </w:p>
    <w:p w14:paraId="7D72E1CB">
      <w:pPr>
        <w:pStyle w:val="4"/>
        <w:spacing w:before="0" w:after="0"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一、指导思想</w:t>
      </w:r>
    </w:p>
    <w:p w14:paraId="1D9C256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党的二十大和二十届二中、三中全会精神，全面贯彻落实习近平生态文明思想，深入落实习近平总书记对北京重要讲话精神和对城市副中心重要指示精神，贯彻落实积极应对气候变化的国家战略,坚持统筹发展与安全，坚持适应与减缓气候变化并重,将适应气候变化全面融入经济社会发展全局,推进适应气候变化治理体系和治理能力现代化,有效应对气候变化带来的不利影响和风险,降低和减少气候灾害损失,努力建设气候友好型城市,助力国家绿色发展示范区建设，为通州区建设国际一流的和谐宜居之都示范区提供坚实的韧性保障。</w:t>
      </w:r>
    </w:p>
    <w:p w14:paraId="7B3B4AF5">
      <w:pPr>
        <w:pStyle w:val="4"/>
        <w:spacing w:before="0" w:after="0"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二、主要目标</w:t>
      </w:r>
    </w:p>
    <w:p w14:paraId="70ED4DF4">
      <w:pPr>
        <w:adjustRightInd w:val="0"/>
        <w:spacing w:line="560" w:lineRule="exact"/>
        <w:ind w:firstLine="640" w:firstLineChars="200"/>
        <w:rPr>
          <w:rFonts w:ascii="仿宋_GB2312" w:hAnsi="仿宋_GB2312" w:eastAsia="仿宋_GB2312" w:cs="仿宋_GB2312"/>
          <w:spacing w:val="2"/>
          <w:sz w:val="32"/>
          <w:szCs w:val="32"/>
        </w:rPr>
      </w:pPr>
      <w:r>
        <w:rPr>
          <w:rFonts w:hint="eastAsia" w:ascii="仿宋_GB2312" w:hAnsi="仿宋_GB2312" w:eastAsia="仿宋_GB2312" w:cs="仿宋_GB2312"/>
          <w:sz w:val="32"/>
          <w:szCs w:val="32"/>
        </w:rPr>
        <w:t>综合统筹考虑通州区气候风险类型、自然地理特征、城市功能与规模等因素，以完善城市适应气候变化体系、强化风险管理为主旨，以加强城市适应气候变化能力建设、增强风险预警和应急管理能力为核心，以优化城市空间布局和提高基础设施韧性为抓手，</w:t>
      </w:r>
      <w:r>
        <w:rPr>
          <w:rFonts w:hint="eastAsia" w:ascii="仿宋_GB2312" w:hAnsi="仿宋_GB2312" w:eastAsia="仿宋_GB2312" w:cs="仿宋_GB2312"/>
          <w:kern w:val="0"/>
          <w:sz w:val="32"/>
          <w:szCs w:val="32"/>
          <w:lang w:bidi="ar"/>
        </w:rPr>
        <w:t>积极探索和总结深化气候适应型城市建设试点路径和模式</w:t>
      </w:r>
      <w:r>
        <w:rPr>
          <w:rFonts w:hint="eastAsia" w:ascii="仿宋_GB2312" w:hAnsi="仿宋_GB2312" w:eastAsia="仿宋_GB2312" w:cs="仿宋_GB2312"/>
          <w:spacing w:val="2"/>
          <w:sz w:val="32"/>
          <w:szCs w:val="32"/>
        </w:rPr>
        <w:t>，将适应气候变化融入通州区城市建设全过程，</w:t>
      </w:r>
      <w:r>
        <w:rPr>
          <w:rFonts w:hint="eastAsia" w:ascii="仿宋_GB2312" w:hAnsi="仿宋_GB2312" w:eastAsia="仿宋_GB2312" w:cs="仿宋_GB2312"/>
          <w:kern w:val="0"/>
          <w:sz w:val="32"/>
          <w:szCs w:val="32"/>
          <w:lang w:bidi="ar"/>
        </w:rPr>
        <w:t>提高城市适应气候变化水平，</w:t>
      </w:r>
      <w:r>
        <w:rPr>
          <w:rFonts w:hint="eastAsia" w:ascii="仿宋_GB2312" w:hAnsi="仿宋_GB2312" w:eastAsia="仿宋_GB2312" w:cs="仿宋_GB2312"/>
          <w:spacing w:val="2"/>
          <w:sz w:val="32"/>
          <w:szCs w:val="32"/>
        </w:rPr>
        <w:t>城市功能更加完善，品质更加安全和谐宜居，为打造新时代千年之城奠定坚实基础。</w:t>
      </w:r>
    </w:p>
    <w:p w14:paraId="5988A68E">
      <w:pPr>
        <w:spacing w:line="560"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到2025年，适应气候变化政策体系和体制机制基本形成，气候变化和极端天气气候事件监测预警能力持续增强,气候变化影响和风险评估水平有效提升。气候灾害防治体系和防治能力取得重大进展，全社会自觉参与适应气候变化行动的氛围初步形成，成为全国深化气候适应型城市建设试点先行先试典范。</w:t>
      </w:r>
    </w:p>
    <w:p w14:paraId="1F6C16B7">
      <w:pPr>
        <w:spacing w:line="560" w:lineRule="exact"/>
        <w:ind w:firstLine="648" w:firstLineChars="200"/>
        <w:jc w:val="left"/>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到2030年，适应气候变化政策体系和体制机制基本完善,气候变化观测预测、影响评估、风险管理体系基本形成,气候相关重大风险防范和灾害防治能力显著提升,城市系统气候脆弱性明显降低,适应气候变化技术体系和标准体系基本形成,深化气候适应型城市建设试点取得明显成效。</w:t>
      </w:r>
    </w:p>
    <w:p w14:paraId="6B563282">
      <w:pPr>
        <w:spacing w:line="560"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到2035年，气候变化监测预警能力达到同期国际先进水平,建成现代化的城市气候变化影响和风险评估体系。气候灾害防治体系和防治能力基本成熟，适应气候变化技术体系和标准体系更加完善,全社会适应气候变化能力显著提升，深化气候适应型城市基本建成，并总结经验在全国范围内有效推广。</w:t>
      </w:r>
    </w:p>
    <w:p w14:paraId="5B502D6A">
      <w:pPr>
        <w:pStyle w:val="4"/>
        <w:spacing w:before="0" w:after="0" w:line="560" w:lineRule="exac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三、重点任务</w:t>
      </w:r>
    </w:p>
    <w:p w14:paraId="0ABB8EFF">
      <w:pPr>
        <w:pStyle w:val="5"/>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（一）完善城市适应气候变化治理体系</w:t>
      </w:r>
    </w:p>
    <w:p w14:paraId="1FFA7519">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0"/>
        </w:rPr>
        <w:t>1.建立工作领导协调机制。</w:t>
      </w:r>
      <w:r>
        <w:rPr>
          <w:rFonts w:hint="eastAsia" w:ascii="仿宋_GB2312" w:hAnsi="仿宋_GB2312" w:eastAsia="仿宋_GB2312" w:cs="仿宋_GB2312"/>
          <w:sz w:val="32"/>
          <w:szCs w:val="32"/>
        </w:rPr>
        <w:t>加强深化气候适应型城市建设试点协调指导，建立以生态环境部门牵头，多部门工作协同共进的工作对接机制。建立跨部门高效畅通的沟通渠道，明确责任分工，推进各部门在适应气候变化领域的深度合作。</w:t>
      </w:r>
    </w:p>
    <w:p w14:paraId="4985BE8D">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5BB62D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配合单位：市</w:t>
      </w:r>
      <w:r>
        <w:rPr>
          <w:rFonts w:hint="eastAsia" w:ascii="仿宋_GB2312" w:hAnsi="仿宋_GB2312" w:eastAsia="仿宋_GB2312" w:cs="仿宋_GB2312"/>
          <w:sz w:val="32"/>
          <w:szCs w:val="32"/>
          <w:lang w:eastAsia="zh-CN"/>
        </w:rPr>
        <w:t>规划自然资源委</w:t>
      </w:r>
      <w:r>
        <w:rPr>
          <w:rFonts w:hint="eastAsia" w:ascii="仿宋_GB2312" w:hAnsi="仿宋_GB2312" w:eastAsia="仿宋_GB2312" w:cs="仿宋_GB2312"/>
          <w:sz w:val="32"/>
          <w:szCs w:val="32"/>
        </w:rPr>
        <w:t>通州分局、区应急管理局、区气象局等各相关部门</w:t>
      </w:r>
    </w:p>
    <w:p w14:paraId="747ED34B">
      <w:pPr>
        <w:pStyle w:val="16"/>
        <w:shd w:val="clear" w:color="auto" w:fill="FFFFFF"/>
        <w:snapToGrid w:val="0"/>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2.建立气候变化信息共享机制。</w:t>
      </w:r>
      <w:r>
        <w:rPr>
          <w:rFonts w:hint="eastAsia" w:ascii="仿宋_GB2312" w:hAnsi="仿宋_GB2312" w:eastAsia="仿宋_GB2312" w:cs="仿宋_GB2312"/>
          <w:kern w:val="2"/>
          <w:sz w:val="32"/>
          <w:szCs w:val="32"/>
        </w:rPr>
        <w:t>通过分类归总气候数据，逐步实现气候特征、趋势预测、</w:t>
      </w:r>
      <w:r>
        <w:rPr>
          <w:rFonts w:ascii="仿宋_GB2312" w:hAnsi="仿宋_GB2312" w:eastAsia="仿宋_GB2312" w:cs="仿宋_GB2312"/>
          <w:kern w:val="2"/>
          <w:sz w:val="32"/>
          <w:szCs w:val="32"/>
        </w:rPr>
        <w:t>灾害综合风险</w:t>
      </w:r>
      <w:r>
        <w:rPr>
          <w:rFonts w:hint="eastAsia" w:ascii="仿宋_GB2312" w:hAnsi="仿宋_GB2312" w:eastAsia="仿宋_GB2312" w:cs="仿宋_GB2312"/>
          <w:kern w:val="2"/>
          <w:sz w:val="32"/>
          <w:szCs w:val="32"/>
        </w:rPr>
        <w:t>等数据的体系化，建立完善数据共享机制，提升各部门适应气候变化能力。</w:t>
      </w:r>
    </w:p>
    <w:p w14:paraId="2786108B">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牵头单位：区生态环境局、区政务</w:t>
      </w:r>
      <w:r>
        <w:rPr>
          <w:rFonts w:ascii="仿宋_GB2312" w:hAnsi="仿宋_GB2312" w:eastAsia="仿宋_GB2312" w:cs="仿宋_GB2312"/>
          <w:sz w:val="32"/>
          <w:szCs w:val="32"/>
        </w:rPr>
        <w:t>和数据局</w:t>
      </w:r>
    </w:p>
    <w:p w14:paraId="65EE0EAF">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配合单位：区应急管理局、区气象局</w:t>
      </w:r>
    </w:p>
    <w:p w14:paraId="73B14995">
      <w:pPr>
        <w:pStyle w:val="22"/>
        <w:spacing w:line="560" w:lineRule="exact"/>
        <w:ind w:firstLine="643"/>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rPr>
        <w:t>3.完善应对气候变化审核机制。</w:t>
      </w:r>
      <w:r>
        <w:rPr>
          <w:rFonts w:hint="eastAsia" w:ascii="仿宋_GB2312" w:hAnsi="仿宋_GB2312" w:eastAsia="仿宋_GB2312" w:cs="仿宋_GB2312"/>
          <w:sz w:val="32"/>
          <w:szCs w:val="32"/>
          <w:lang w:bidi="ar"/>
        </w:rPr>
        <w:t>协同气候投融资试点建设工作，进一步完善应对气候变化审核机制，对区内重大规划、重大项目决策会研究前开展应对气候变化审核，推动建设项目高标准实施，主动适应气候变化。</w:t>
      </w:r>
    </w:p>
    <w:p w14:paraId="5E6FB407">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6F3796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配合单位：区发展改革委、区住房城乡建设委、区水务局等各相关部门</w:t>
      </w:r>
    </w:p>
    <w:p w14:paraId="10957065">
      <w:pPr>
        <w:spacing w:line="560" w:lineRule="exact"/>
        <w:ind w:firstLine="643"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4.建立</w:t>
      </w:r>
      <w:r>
        <w:rPr>
          <w:rFonts w:ascii="仿宋_GB2312" w:hAnsi="仿宋_GB2312" w:eastAsia="仿宋_GB2312" w:cs="仿宋_GB2312"/>
          <w:b/>
          <w:bCs/>
          <w:sz w:val="32"/>
          <w:szCs w:val="32"/>
          <w:lang w:bidi="ar"/>
        </w:rPr>
        <w:t>气候预警</w:t>
      </w:r>
      <w:r>
        <w:rPr>
          <w:rFonts w:hint="eastAsia" w:ascii="仿宋_GB2312" w:hAnsi="仿宋_GB2312" w:eastAsia="仿宋_GB2312" w:cs="仿宋_GB2312"/>
          <w:b/>
          <w:bCs/>
          <w:sz w:val="32"/>
          <w:szCs w:val="32"/>
          <w:lang w:bidi="ar"/>
        </w:rPr>
        <w:t>与</w:t>
      </w:r>
      <w:r>
        <w:rPr>
          <w:rFonts w:ascii="仿宋_GB2312" w:hAnsi="仿宋_GB2312" w:eastAsia="仿宋_GB2312" w:cs="仿宋_GB2312"/>
          <w:b/>
          <w:bCs/>
          <w:sz w:val="32"/>
          <w:szCs w:val="32"/>
          <w:lang w:bidi="ar"/>
        </w:rPr>
        <w:t>应急联动机制</w:t>
      </w:r>
      <w:r>
        <w:rPr>
          <w:rFonts w:hint="eastAsia" w:ascii="仿宋_GB2312" w:hAnsi="仿宋_GB2312" w:eastAsia="仿宋_GB2312" w:cs="仿宋_GB2312"/>
          <w:sz w:val="32"/>
          <w:szCs w:val="32"/>
          <w:lang w:bidi="ar"/>
        </w:rPr>
        <w:t>。推动</w:t>
      </w:r>
      <w:r>
        <w:rPr>
          <w:rFonts w:ascii="仿宋_GB2312" w:hAnsi="仿宋_GB2312" w:eastAsia="仿宋_GB2312" w:cs="仿宋_GB2312"/>
          <w:sz w:val="32"/>
          <w:szCs w:val="32"/>
          <w:lang w:bidi="ar"/>
        </w:rPr>
        <w:t>气象预警与应急响应信息横向互通</w:t>
      </w:r>
      <w:r>
        <w:rPr>
          <w:rFonts w:hint="eastAsia" w:ascii="仿宋_GB2312" w:hAnsi="仿宋_GB2312" w:eastAsia="仿宋_GB2312" w:cs="仿宋_GB2312"/>
          <w:sz w:val="32"/>
          <w:szCs w:val="32"/>
          <w:lang w:bidi="ar"/>
        </w:rPr>
        <w:t>，进一步完善</w:t>
      </w:r>
      <w:r>
        <w:rPr>
          <w:rFonts w:ascii="仿宋_GB2312" w:hAnsi="仿宋_GB2312" w:eastAsia="仿宋_GB2312" w:cs="仿宋_GB2312"/>
          <w:sz w:val="32"/>
          <w:szCs w:val="32"/>
          <w:lang w:bidi="ar"/>
        </w:rPr>
        <w:t>气象预警与应急响应启动</w:t>
      </w:r>
      <w:r>
        <w:rPr>
          <w:rFonts w:hint="eastAsia" w:ascii="仿宋_GB2312" w:hAnsi="仿宋_GB2312" w:eastAsia="仿宋_GB2312" w:cs="仿宋_GB2312"/>
          <w:sz w:val="32"/>
          <w:szCs w:val="32"/>
          <w:lang w:bidi="ar"/>
        </w:rPr>
        <w:t>的有效快速衔接。强</w:t>
      </w:r>
      <w:r>
        <w:rPr>
          <w:rFonts w:ascii="仿宋_GB2312" w:hAnsi="仿宋_GB2312" w:eastAsia="仿宋_GB2312" w:cs="仿宋_GB2312"/>
          <w:sz w:val="32"/>
          <w:szCs w:val="32"/>
          <w:lang w:bidi="ar"/>
        </w:rPr>
        <w:t>化气象预警和应急响应信息社会发布</w:t>
      </w:r>
      <w:r>
        <w:rPr>
          <w:rFonts w:hint="eastAsia" w:ascii="仿宋_GB2312" w:hAnsi="仿宋_GB2312" w:eastAsia="仿宋_GB2312" w:cs="仿宋_GB2312"/>
          <w:sz w:val="32"/>
          <w:szCs w:val="32"/>
          <w:lang w:bidi="ar"/>
        </w:rPr>
        <w:t>渠道</w:t>
      </w:r>
      <w:r>
        <w:rPr>
          <w:rFonts w:ascii="仿宋_GB2312" w:hAnsi="仿宋_GB2312" w:eastAsia="仿宋_GB2312" w:cs="仿宋_GB2312"/>
          <w:sz w:val="32"/>
          <w:szCs w:val="32"/>
          <w:lang w:bidi="ar"/>
        </w:rPr>
        <w:t>。</w:t>
      </w:r>
    </w:p>
    <w:p w14:paraId="04D0CCD8">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牵头单位：区应急管理局、区气象局</w:t>
      </w:r>
    </w:p>
    <w:p w14:paraId="5203E4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配合单位：区生态环境局</w:t>
      </w:r>
    </w:p>
    <w:p w14:paraId="263E31BF">
      <w:pPr>
        <w:pStyle w:val="16"/>
        <w:shd w:val="clear" w:color="auto" w:fill="FFFFFF"/>
        <w:snapToGrid w:val="0"/>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5.建立长效评估机制。</w:t>
      </w:r>
      <w:r>
        <w:rPr>
          <w:rFonts w:hint="eastAsia" w:ascii="仿宋_GB2312" w:hAnsi="仿宋_GB2312" w:eastAsia="仿宋_GB2312" w:cs="仿宋_GB2312"/>
          <w:kern w:val="2"/>
          <w:sz w:val="32"/>
          <w:szCs w:val="32"/>
          <w:lang w:bidi="ar"/>
        </w:rPr>
        <w:t>建立深化气候适应型城市建设试点工作评估机制，研究构建深化气候适应型城市建设长效评估体系。定期开展评估工作，</w:t>
      </w:r>
      <w:r>
        <w:rPr>
          <w:rFonts w:hint="eastAsia" w:ascii="仿宋_GB2312" w:hAnsi="仿宋_GB2312" w:eastAsia="仿宋_GB2312" w:cs="仿宋_GB2312"/>
          <w:kern w:val="2"/>
          <w:sz w:val="32"/>
          <w:szCs w:val="32"/>
        </w:rPr>
        <w:t>并逐步纳入生态环境美丽城市评估体系。</w:t>
      </w:r>
    </w:p>
    <w:p w14:paraId="532F7FBF">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74FF6E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配合单位：市</w:t>
      </w:r>
      <w:r>
        <w:rPr>
          <w:rFonts w:hint="eastAsia" w:ascii="仿宋_GB2312" w:hAnsi="仿宋_GB2312" w:eastAsia="仿宋_GB2312" w:cs="仿宋_GB2312"/>
          <w:sz w:val="32"/>
          <w:szCs w:val="32"/>
          <w:lang w:eastAsia="zh-CN"/>
        </w:rPr>
        <w:t>规划自然资源委</w:t>
      </w:r>
      <w:r>
        <w:rPr>
          <w:rFonts w:hint="eastAsia" w:ascii="仿宋_GB2312" w:hAnsi="仿宋_GB2312" w:eastAsia="仿宋_GB2312" w:cs="仿宋_GB2312"/>
          <w:sz w:val="32"/>
          <w:szCs w:val="32"/>
        </w:rPr>
        <w:t>通州分局、区应急管理局、区气象局、区水务局等各相关部门、各街道乡镇</w:t>
      </w:r>
    </w:p>
    <w:p w14:paraId="0131C126">
      <w:pPr>
        <w:pStyle w:val="16"/>
        <w:shd w:val="clear" w:color="auto" w:fill="FFFFFF"/>
        <w:snapToGrid w:val="0"/>
        <w:spacing w:beforeAutospacing="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6.健全全社会参与机制。</w:t>
      </w:r>
      <w:r>
        <w:rPr>
          <w:rFonts w:hint="eastAsia" w:ascii="仿宋_GB2312" w:hAnsi="仿宋_GB2312" w:eastAsia="仿宋_GB2312" w:cs="仿宋_GB2312"/>
          <w:kern w:val="2"/>
          <w:sz w:val="32"/>
          <w:szCs w:val="32"/>
        </w:rPr>
        <w:t>广泛动员公众与社会力量积极参与，将适应气候变化纳入学校教育和相关培训。加强宣传引导，组织开展适应气候变化宣传活动，提高公众对适应气候变化的认识和参与度。</w:t>
      </w:r>
    </w:p>
    <w:p w14:paraId="24E4F270">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牵头单位：区委宣传部、区生态环境局</w:t>
      </w:r>
    </w:p>
    <w:p w14:paraId="24B7C8FB">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配合单位：市</w:t>
      </w:r>
      <w:r>
        <w:rPr>
          <w:rFonts w:hint="eastAsia" w:ascii="仿宋_GB2312" w:hAnsi="仿宋_GB2312" w:eastAsia="仿宋_GB2312" w:cs="仿宋_GB2312"/>
          <w:sz w:val="32"/>
          <w:szCs w:val="32"/>
          <w:lang w:eastAsia="zh-CN"/>
        </w:rPr>
        <w:t>规划自然资源委</w:t>
      </w:r>
      <w:r>
        <w:rPr>
          <w:rFonts w:hint="eastAsia" w:ascii="仿宋_GB2312" w:hAnsi="仿宋_GB2312" w:eastAsia="仿宋_GB2312" w:cs="仿宋_GB2312"/>
          <w:sz w:val="32"/>
          <w:szCs w:val="32"/>
        </w:rPr>
        <w:t>通州分局、区园林绿化局、区气象局、区应急管理局等各相关部门</w:t>
      </w:r>
    </w:p>
    <w:p w14:paraId="24E2F6B2">
      <w:pPr>
        <w:pStyle w:val="5"/>
        <w:spacing w:before="0" w:after="0" w:line="560" w:lineRule="exact"/>
        <w:ind w:firstLine="640" w:firstLineChars="200"/>
        <w:rPr>
          <w:rFonts w:ascii="仿宋_GB2312" w:hAnsi="仿宋_GB2312" w:eastAsia="仿宋_GB2312" w:cs="仿宋_GB2312"/>
          <w:b w:val="0"/>
          <w:bCs/>
        </w:rPr>
      </w:pPr>
      <w:r>
        <w:rPr>
          <w:rFonts w:hint="eastAsia" w:ascii="楷体_GB2312" w:hAnsi="楷体_GB2312" w:eastAsia="楷体_GB2312" w:cs="楷体_GB2312"/>
          <w:b w:val="0"/>
          <w:bCs/>
        </w:rPr>
        <w:t>（二）强化城市气候变化影响和风险评估</w:t>
      </w:r>
    </w:p>
    <w:p w14:paraId="14D58DE3">
      <w:pPr>
        <w:spacing w:line="560" w:lineRule="exact"/>
        <w:ind w:firstLine="622" w:firstLineChars="200"/>
        <w:rPr>
          <w:rFonts w:ascii="仿宋_GB2312" w:hAnsi="宋体" w:eastAsia="仿宋_GB2312" w:cs="仿宋_GB2312"/>
          <w:sz w:val="31"/>
          <w:szCs w:val="31"/>
        </w:rPr>
      </w:pPr>
      <w:r>
        <w:rPr>
          <w:rFonts w:hint="eastAsia" w:ascii="仿宋_GB2312" w:hAnsi="宋体" w:eastAsia="仿宋_GB2312" w:cs="仿宋_GB2312"/>
          <w:b/>
          <w:bCs/>
          <w:sz w:val="31"/>
          <w:szCs w:val="31"/>
        </w:rPr>
        <w:t>7.推进气象信息化建设。</w:t>
      </w:r>
      <w:r>
        <w:rPr>
          <w:rFonts w:hint="eastAsia" w:ascii="仿宋_GB2312" w:hAnsi="宋体" w:eastAsia="仿宋_GB2312" w:cs="仿宋_GB2312"/>
          <w:sz w:val="31"/>
          <w:szCs w:val="31"/>
        </w:rPr>
        <w:t>夯实气候变化数据体系建设，利用通州国家级气象观测站长时间序列气候观测数据，持续推进全区气候变化信息化建设。融入多维空间智慧城市，应用百米级、分钟级等核心技术成果，构建全时全域、多维数据融合的智慧气象大脑。</w:t>
      </w:r>
    </w:p>
    <w:p w14:paraId="4FB81FA1">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牵头单位：区气象局</w:t>
      </w:r>
    </w:p>
    <w:p w14:paraId="208AA12B">
      <w:pPr>
        <w:pStyle w:val="18"/>
        <w:widowControl w:val="0"/>
        <w:spacing w:line="560" w:lineRule="exact"/>
        <w:ind w:firstLine="640"/>
      </w:pPr>
      <w:r>
        <w:rPr>
          <w:rFonts w:hint="eastAsia" w:ascii="仿宋_GB2312" w:hAnsi="仿宋_GB2312" w:eastAsia="仿宋_GB2312" w:cs="仿宋_GB2312"/>
          <w:sz w:val="32"/>
          <w:szCs w:val="32"/>
        </w:rPr>
        <w:t>配合单位：区政务</w:t>
      </w:r>
      <w:r>
        <w:rPr>
          <w:rFonts w:ascii="仿宋_GB2312" w:hAnsi="仿宋_GB2312" w:eastAsia="仿宋_GB2312" w:cs="仿宋_GB2312"/>
          <w:sz w:val="32"/>
          <w:szCs w:val="32"/>
        </w:rPr>
        <w:t>和数据局</w:t>
      </w:r>
      <w:r>
        <w:rPr>
          <w:rFonts w:hint="eastAsia" w:ascii="仿宋_GB2312" w:hAnsi="仿宋_GB2312" w:eastAsia="仿宋_GB2312" w:cs="仿宋_GB2312"/>
          <w:sz w:val="32"/>
          <w:szCs w:val="32"/>
        </w:rPr>
        <w:t>、区财政局</w:t>
      </w:r>
    </w:p>
    <w:p w14:paraId="7FB3A800">
      <w:pPr>
        <w:spacing w:line="560" w:lineRule="exact"/>
        <w:ind w:firstLine="622" w:firstLineChars="200"/>
        <w:rPr>
          <w:rFonts w:ascii="仿宋_GB2312" w:hAnsi="宋体" w:eastAsia="仿宋_GB2312" w:cs="仿宋_GB2312"/>
          <w:sz w:val="31"/>
          <w:szCs w:val="31"/>
        </w:rPr>
      </w:pPr>
      <w:r>
        <w:rPr>
          <w:rFonts w:hint="eastAsia" w:ascii="仿宋_GB2312" w:hAnsi="宋体" w:eastAsia="仿宋_GB2312" w:cs="仿宋_GB2312"/>
          <w:b/>
          <w:bCs/>
          <w:sz w:val="31"/>
          <w:szCs w:val="31"/>
        </w:rPr>
        <w:t>8.提高气候风险评估能力。</w:t>
      </w:r>
      <w:r>
        <w:rPr>
          <w:rFonts w:hint="eastAsia" w:ascii="仿宋_GB2312" w:hAnsi="宋体" w:eastAsia="仿宋_GB2312" w:cs="仿宋_GB2312"/>
          <w:sz w:val="31"/>
          <w:szCs w:val="31"/>
        </w:rPr>
        <w:t>开展气候变化风险和极端气候归因分析,绘制环境气候地图，提升灾害风险早期识别、综合风险评估能力。</w:t>
      </w:r>
      <w:r>
        <w:rPr>
          <w:rFonts w:ascii="仿宋_GB2312" w:hAnsi="宋体" w:eastAsia="仿宋_GB2312" w:cs="仿宋_GB2312"/>
          <w:sz w:val="31"/>
          <w:szCs w:val="31"/>
        </w:rPr>
        <w:t>融入智慧城市大脑新形态</w:t>
      </w:r>
      <w:r>
        <w:rPr>
          <w:rFonts w:hint="eastAsia" w:ascii="仿宋_GB2312" w:hAnsi="宋体" w:eastAsia="仿宋_GB2312" w:cs="仿宋_GB2312"/>
          <w:sz w:val="31"/>
          <w:szCs w:val="31"/>
        </w:rPr>
        <w:t>，以规建管运一张图、场景赋能中台、数字AI技术为基础，支撑城市治理和极端天气应急等实际应用。</w:t>
      </w:r>
    </w:p>
    <w:p w14:paraId="2BAD1F18">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1B43AA7B">
      <w:pPr>
        <w:pStyle w:val="18"/>
        <w:widowControl w:val="0"/>
        <w:spacing w:line="560" w:lineRule="exact"/>
        <w:ind w:firstLine="640"/>
      </w:pPr>
      <w:r>
        <w:rPr>
          <w:rFonts w:hint="eastAsia" w:ascii="仿宋_GB2312" w:hAnsi="仿宋_GB2312" w:eastAsia="仿宋_GB2312" w:cs="仿宋_GB2312"/>
          <w:sz w:val="32"/>
          <w:szCs w:val="32"/>
        </w:rPr>
        <w:t>配合单位：区气象局、市</w:t>
      </w:r>
      <w:r>
        <w:rPr>
          <w:rFonts w:hint="eastAsia" w:ascii="仿宋_GB2312" w:hAnsi="仿宋_GB2312" w:eastAsia="仿宋_GB2312" w:cs="仿宋_GB2312"/>
          <w:sz w:val="32"/>
          <w:szCs w:val="32"/>
          <w:lang w:eastAsia="zh-CN"/>
        </w:rPr>
        <w:t>规划自然资源委</w:t>
      </w:r>
      <w:r>
        <w:rPr>
          <w:rFonts w:hint="eastAsia" w:ascii="仿宋_GB2312" w:hAnsi="仿宋_GB2312" w:eastAsia="仿宋_GB2312" w:cs="仿宋_GB2312"/>
          <w:sz w:val="32"/>
          <w:szCs w:val="32"/>
        </w:rPr>
        <w:t>通州分局、区政务</w:t>
      </w:r>
      <w:r>
        <w:rPr>
          <w:rFonts w:ascii="仿宋_GB2312" w:hAnsi="仿宋_GB2312" w:eastAsia="仿宋_GB2312" w:cs="仿宋_GB2312"/>
          <w:sz w:val="32"/>
          <w:szCs w:val="32"/>
        </w:rPr>
        <w:t>和数据局</w:t>
      </w:r>
      <w:r>
        <w:rPr>
          <w:rFonts w:hint="eastAsia" w:ascii="仿宋_GB2312" w:hAnsi="仿宋_GB2312" w:eastAsia="仿宋_GB2312" w:cs="仿宋_GB2312"/>
          <w:sz w:val="32"/>
          <w:szCs w:val="32"/>
        </w:rPr>
        <w:t>、区财政局</w:t>
      </w:r>
    </w:p>
    <w:p w14:paraId="7ED379F6">
      <w:pPr>
        <w:pStyle w:val="18"/>
        <w:widowControl w:val="0"/>
        <w:spacing w:line="560" w:lineRule="exact"/>
        <w:ind w:firstLine="622"/>
        <w:rPr>
          <w:rFonts w:ascii="仿宋_GB2312" w:eastAsia="仿宋_GB2312"/>
          <w:sz w:val="32"/>
          <w:szCs w:val="32"/>
        </w:rPr>
      </w:pPr>
      <w:r>
        <w:rPr>
          <w:rFonts w:hint="eastAsia" w:ascii="仿宋_GB2312" w:hAnsi="宋体" w:eastAsia="仿宋_GB2312" w:cs="仿宋_GB2312"/>
          <w:b/>
          <w:bCs/>
          <w:sz w:val="31"/>
          <w:szCs w:val="31"/>
        </w:rPr>
        <w:t>9.开展重点区域和敏感领域风险影响评估。</w:t>
      </w:r>
      <w:r>
        <w:rPr>
          <w:rFonts w:hint="eastAsia" w:ascii="仿宋_GB2312" w:hAnsi="仿宋_GB2312" w:eastAsia="仿宋_GB2312" w:cs="仿宋_GB2312"/>
          <w:sz w:val="32"/>
          <w:szCs w:val="32"/>
        </w:rPr>
        <w:t>结合全区规划建设，</w:t>
      </w:r>
      <w:r>
        <w:rPr>
          <w:rFonts w:ascii="仿宋_GB2312" w:hAnsi="宋体" w:eastAsia="仿宋_GB2312" w:cs="仿宋_GB2312"/>
          <w:sz w:val="32"/>
          <w:szCs w:val="32"/>
        </w:rPr>
        <w:t>动态化开展面向</w:t>
      </w:r>
      <w:r>
        <w:rPr>
          <w:rFonts w:hint="eastAsia" w:ascii="仿宋_GB2312" w:hAnsi="宋体" w:eastAsia="仿宋_GB2312" w:cs="仿宋_GB2312"/>
          <w:sz w:val="32"/>
          <w:szCs w:val="32"/>
        </w:rPr>
        <w:t>通州区</w:t>
      </w:r>
      <w:r>
        <w:rPr>
          <w:rFonts w:ascii="仿宋_GB2312" w:hAnsi="宋体" w:eastAsia="仿宋_GB2312" w:cs="仿宋_GB2312"/>
          <w:sz w:val="32"/>
          <w:szCs w:val="32"/>
        </w:rPr>
        <w:t>水资源、生态系统、能源、农业和公共健康等敏感领域的气候变化影响和风险评估。</w:t>
      </w:r>
    </w:p>
    <w:p w14:paraId="0B1A3852">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019CE7EF">
      <w:pPr>
        <w:pStyle w:val="18"/>
        <w:widowControl w:val="0"/>
        <w:spacing w:line="560" w:lineRule="exact"/>
        <w:ind w:firstLine="640"/>
        <w:rPr>
          <w:rFonts w:eastAsia="仿宋_GB2312"/>
        </w:rPr>
      </w:pPr>
      <w:r>
        <w:rPr>
          <w:rFonts w:hint="eastAsia" w:ascii="仿宋_GB2312" w:hAnsi="仿宋_GB2312" w:eastAsia="仿宋_GB2312" w:cs="仿宋_GB2312"/>
          <w:sz w:val="32"/>
          <w:szCs w:val="32"/>
        </w:rPr>
        <w:t>配合单位：区气象局、</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r>
        <w:rPr>
          <w:rFonts w:hint="eastAsia" w:ascii="仿宋_GB2312" w:hAnsi="仿宋_GB2312" w:eastAsia="仿宋_GB2312" w:cs="仿宋_GB2312"/>
          <w:sz w:val="32"/>
          <w:szCs w:val="32"/>
        </w:rPr>
        <w:t>区水务局、区园林绿化局、区农业农村局、区卫生健康委</w:t>
      </w:r>
    </w:p>
    <w:p w14:paraId="4D0C9B42">
      <w:pPr>
        <w:pStyle w:val="5"/>
        <w:spacing w:before="0" w:after="0" w:line="560" w:lineRule="exact"/>
        <w:ind w:firstLine="640" w:firstLineChars="200"/>
        <w:rPr>
          <w:rFonts w:ascii="楷体_GB2312" w:hAnsi="楷体_GB2312" w:eastAsia="楷体_GB2312" w:cs="楷体_GB2312"/>
          <w:b w:val="0"/>
          <w:bCs/>
        </w:rPr>
      </w:pPr>
      <w:bookmarkStart w:id="0" w:name="_Toc157784229"/>
      <w:r>
        <w:rPr>
          <w:rFonts w:hint="eastAsia" w:ascii="楷体_GB2312" w:hAnsi="楷体_GB2312" w:eastAsia="楷体_GB2312" w:cs="楷体_GB2312"/>
          <w:b w:val="0"/>
          <w:bCs/>
        </w:rPr>
        <w:t>（三）加强城市适应气候变化能力建设</w:t>
      </w:r>
      <w:bookmarkEnd w:id="0"/>
    </w:p>
    <w:p w14:paraId="63F1A842">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10.加强高水平人才队伍建设</w:t>
      </w:r>
      <w:r>
        <w:rPr>
          <w:rFonts w:hint="eastAsia" w:ascii="仿宋_GB2312" w:hAnsi="仿宋_GB2312" w:eastAsia="仿宋_GB2312" w:cs="仿宋_GB2312"/>
          <w:bCs/>
          <w:sz w:val="32"/>
          <w:szCs w:val="32"/>
        </w:rPr>
        <w:t>。将应对气候变化人才纳入全区各类人才工程和人才培养计划，定期组织党政领导干部开展应对气候变化培训。加大对应对气候变化高层次领军人才和科技战略人才的培养力度。</w:t>
      </w:r>
    </w:p>
    <w:p w14:paraId="07CE266A">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牵头单位：区委组织部、区人才工作局</w:t>
      </w:r>
    </w:p>
    <w:p w14:paraId="4AC898D8">
      <w:pPr>
        <w:pStyle w:val="18"/>
        <w:widowControl w:val="0"/>
        <w:spacing w:line="560" w:lineRule="exact"/>
        <w:ind w:firstLine="640"/>
        <w:rPr>
          <w:rFonts w:eastAsia="仿宋_GB2312"/>
        </w:rPr>
      </w:pPr>
      <w:r>
        <w:rPr>
          <w:rFonts w:hint="eastAsia" w:ascii="仿宋_GB2312" w:hAnsi="仿宋_GB2312" w:eastAsia="仿宋_GB2312" w:cs="仿宋_GB2312"/>
          <w:sz w:val="32"/>
          <w:szCs w:val="32"/>
        </w:rPr>
        <w:t>配合单位：区生态环境局等各相关部门</w:t>
      </w:r>
    </w:p>
    <w:p w14:paraId="46914613">
      <w:pPr>
        <w:spacing w:line="560" w:lineRule="exact"/>
        <w:ind w:firstLine="643" w:firstLineChars="200"/>
        <w:rPr>
          <w:rFonts w:ascii="仿宋_GB2312" w:eastAsia="仿宋_GB2312"/>
          <w:sz w:val="32"/>
          <w:szCs w:val="30"/>
        </w:rPr>
      </w:pPr>
      <w:r>
        <w:rPr>
          <w:rFonts w:hint="eastAsia" w:ascii="仿宋_GB2312" w:eastAsia="仿宋_GB2312"/>
          <w:b/>
          <w:bCs/>
          <w:sz w:val="32"/>
          <w:szCs w:val="30"/>
        </w:rPr>
        <w:t>11.广泛宣传气候适应理念。</w:t>
      </w:r>
      <w:r>
        <w:rPr>
          <w:rFonts w:hint="eastAsia" w:ascii="仿宋_GB2312" w:eastAsia="仿宋_GB2312"/>
          <w:sz w:val="32"/>
          <w:szCs w:val="30"/>
        </w:rPr>
        <w:t>深入理解和把握习近平生态文明思想的丰富内涵及实践要求，扎实做好习近平生态文明思想的宣传，形成理论研究与宣传贯彻互动发展的良好格局。以学校、社区为依托，联合区科委、教委及各相关部门开展科普宣传，加强全社会各领域</w:t>
      </w:r>
      <w:r>
        <w:rPr>
          <w:rFonts w:hint="eastAsia" w:ascii="仿宋_GB2312" w:eastAsia="仿宋_GB2312"/>
          <w:color w:val="000000"/>
          <w:sz w:val="32"/>
          <w:szCs w:val="30"/>
        </w:rPr>
        <w:t>适应气候变化理念</w:t>
      </w:r>
      <w:r>
        <w:rPr>
          <w:rFonts w:hint="eastAsia" w:ascii="仿宋_GB2312" w:eastAsia="仿宋_GB2312"/>
          <w:sz w:val="32"/>
          <w:szCs w:val="30"/>
        </w:rPr>
        <w:t>，提高全民气候风险防范意识。</w:t>
      </w:r>
    </w:p>
    <w:p w14:paraId="0AB0F308">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牵头单位：区委宣传部、区生态环境局</w:t>
      </w:r>
    </w:p>
    <w:p w14:paraId="65622BFE">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配合单位：区科委、区教委等各相关部门</w:t>
      </w:r>
    </w:p>
    <w:p w14:paraId="5D5E6D86">
      <w:pPr>
        <w:spacing w:line="560" w:lineRule="exact"/>
        <w:ind w:firstLine="640"/>
        <w:rPr>
          <w:rFonts w:eastAsia="仿宋_GB2312"/>
          <w:sz w:val="32"/>
          <w:szCs w:val="32"/>
        </w:rPr>
      </w:pPr>
      <w:r>
        <w:rPr>
          <w:rFonts w:hint="eastAsia" w:ascii="仿宋_GB2312" w:hAnsi="仿宋_GB2312" w:eastAsia="仿宋_GB2312" w:cs="仿宋_GB2312"/>
          <w:b/>
          <w:bCs/>
          <w:sz w:val="32"/>
          <w:szCs w:val="32"/>
        </w:rPr>
        <w:t>12.推动社会救援能力建设。</w:t>
      </w:r>
      <w:r>
        <w:rPr>
          <w:rFonts w:eastAsia="仿宋_GB2312"/>
          <w:sz w:val="32"/>
          <w:szCs w:val="32"/>
        </w:rPr>
        <w:t>加强专业应急救援力量建设，提高多灾种救援能力，组建森林消防综合应急救援队伍，专业应急救援队伍综合能力得到进一步加强</w:t>
      </w:r>
      <w:r>
        <w:rPr>
          <w:rFonts w:hint="eastAsia" w:eastAsia="仿宋_GB2312"/>
          <w:sz w:val="32"/>
          <w:szCs w:val="32"/>
        </w:rPr>
        <w:t>。</w:t>
      </w:r>
      <w:r>
        <w:rPr>
          <w:rFonts w:hint="eastAsia" w:ascii="仿宋_GB2312" w:hAnsi="仿宋_GB2312" w:eastAsia="仿宋_GB2312" w:cs="仿宋_GB2312"/>
          <w:sz w:val="32"/>
          <w:szCs w:val="32"/>
        </w:rPr>
        <w:t>推动社会应急力量有序参与气候防灾减灾和应急处置工作，</w:t>
      </w:r>
      <w:r>
        <w:rPr>
          <w:rFonts w:eastAsia="仿宋_GB2312"/>
          <w:sz w:val="32"/>
          <w:szCs w:val="32"/>
        </w:rPr>
        <w:t>完善社会组织与志愿者队伍建设与管理，不断提高救援志愿者队伍的能力和水平。</w:t>
      </w:r>
    </w:p>
    <w:p w14:paraId="580FD265">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牵头单位：区应急管理局</w:t>
      </w:r>
    </w:p>
    <w:p w14:paraId="41A6AF19">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配合单位：各街道乡镇</w:t>
      </w:r>
    </w:p>
    <w:p w14:paraId="719B3944">
      <w:pPr>
        <w:pStyle w:val="18"/>
        <w:widowControl w:val="0"/>
        <w:spacing w:line="560" w:lineRule="exact"/>
        <w:ind w:firstLine="643"/>
        <w:rPr>
          <w:rFonts w:eastAsia="仿宋_GB2312"/>
          <w:sz w:val="32"/>
          <w:szCs w:val="32"/>
        </w:rPr>
      </w:pPr>
      <w:r>
        <w:rPr>
          <w:rFonts w:hint="eastAsia" w:ascii="仿宋_GB2312" w:eastAsia="仿宋_GB2312"/>
          <w:b/>
          <w:sz w:val="32"/>
          <w:szCs w:val="30"/>
        </w:rPr>
        <w:t>13.完善气候投融资项目库建设。</w:t>
      </w:r>
      <w:r>
        <w:rPr>
          <w:rFonts w:hint="eastAsia" w:eastAsia="仿宋_GB2312"/>
          <w:sz w:val="32"/>
          <w:szCs w:val="32"/>
        </w:rPr>
        <w:t>依托通州区气候投融资试点的资源优势，完善气候投融资对深化气候适应型城市建设试点的支撑作用。根据适应气候项目建设实际提供资金支持，切实发挥气候投融资项目库的金融调配功能。</w:t>
      </w:r>
    </w:p>
    <w:p w14:paraId="6F6C5193">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牵头单位：区生态环境局</w:t>
      </w:r>
    </w:p>
    <w:p w14:paraId="45584095">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配合单位：区发展改革委、区经济和信息化局、区财政局</w:t>
      </w:r>
    </w:p>
    <w:p w14:paraId="421F098F">
      <w:pPr>
        <w:pStyle w:val="5"/>
        <w:spacing w:before="0" w:after="0" w:line="560" w:lineRule="exact"/>
        <w:ind w:firstLine="640" w:firstLineChars="200"/>
        <w:rPr>
          <w:rFonts w:ascii="楷体_GB2312" w:hAnsi="楷体_GB2312" w:eastAsia="楷体_GB2312" w:cs="楷体_GB2312"/>
          <w:b w:val="0"/>
          <w:bCs/>
        </w:rPr>
      </w:pPr>
      <w:bookmarkStart w:id="1" w:name="_Toc157784230"/>
      <w:r>
        <w:rPr>
          <w:rFonts w:hint="eastAsia" w:ascii="楷体_GB2312" w:hAnsi="楷体_GB2312" w:eastAsia="楷体_GB2312" w:cs="楷体_GB2312"/>
          <w:b w:val="0"/>
          <w:bCs/>
        </w:rPr>
        <w:t>（四）加强极端天气气候事件风险监测预警和应急管理</w:t>
      </w:r>
      <w:bookmarkEnd w:id="1"/>
    </w:p>
    <w:p w14:paraId="3EEFBBBC">
      <w:pPr>
        <w:pStyle w:val="18"/>
        <w:widowControl w:val="0"/>
        <w:spacing w:line="560" w:lineRule="exact"/>
        <w:ind w:firstLine="643"/>
        <w:rPr>
          <w:rFonts w:ascii="仿宋_GB2312" w:hAnsi="宋体" w:eastAsia="仿宋_GB2312" w:cs="仿宋_GB2312"/>
          <w:sz w:val="31"/>
          <w:szCs w:val="31"/>
        </w:rPr>
      </w:pPr>
      <w:r>
        <w:rPr>
          <w:rFonts w:hint="eastAsia" w:ascii="仿宋_GB2312" w:eastAsia="仿宋_GB2312"/>
          <w:b/>
          <w:sz w:val="32"/>
          <w:szCs w:val="30"/>
        </w:rPr>
        <w:t>14.提升气候变化综合观测分析能力。</w:t>
      </w:r>
      <w:r>
        <w:rPr>
          <w:rFonts w:hint="eastAsia" w:ascii="仿宋_GB2312" w:eastAsia="仿宋_GB2312"/>
          <w:sz w:val="32"/>
          <w:szCs w:val="30"/>
        </w:rPr>
        <w:t>建设基于基本气候变量的长期、稳定、连续观测系统，提升自动化、智能化观测水平。完善观测装备型谱，强化廓线构建，增加台站密度，提升监测能力，建成稳定运行的高精度气象观测</w:t>
      </w:r>
      <w:r>
        <w:rPr>
          <w:rFonts w:hint="eastAsia" w:ascii="仿宋_GB2312" w:eastAsia="仿宋_GB2312"/>
          <w:sz w:val="32"/>
          <w:szCs w:val="32"/>
        </w:rPr>
        <w:t>站网。打造气象灾害综合风险基础数据库。开展短期气候风险预测，</w:t>
      </w:r>
      <w:r>
        <w:rPr>
          <w:rFonts w:hint="eastAsia" w:ascii="仿宋_GB2312" w:hAnsi="宋体" w:eastAsia="仿宋_GB2312" w:cs="仿宋_GB2312"/>
          <w:sz w:val="32"/>
          <w:szCs w:val="32"/>
        </w:rPr>
        <w:t>实现过程可视、事件可溯、调度灵活的高效平台。</w:t>
      </w:r>
      <w:r>
        <w:rPr>
          <w:rFonts w:hint="eastAsia" w:ascii="仿宋_GB2312" w:eastAsia="仿宋_GB2312"/>
          <w:sz w:val="32"/>
          <w:szCs w:val="32"/>
        </w:rPr>
        <w:t>发展行业专业气象预报业务体系。为大运河航道及通州文化旅游区提供“百米级、分</w:t>
      </w:r>
      <w:r>
        <w:rPr>
          <w:rFonts w:hint="eastAsia" w:ascii="仿宋_GB2312" w:eastAsia="仿宋_GB2312"/>
          <w:sz w:val="32"/>
          <w:szCs w:val="30"/>
        </w:rPr>
        <w:t>钟级”精细化气象服务。</w:t>
      </w:r>
    </w:p>
    <w:p w14:paraId="4E8225B2">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牵头单位：区气象局</w:t>
      </w:r>
    </w:p>
    <w:p w14:paraId="690D215A">
      <w:pPr>
        <w:pStyle w:val="18"/>
        <w:widowControl w:val="0"/>
        <w:spacing w:line="560" w:lineRule="exact"/>
        <w:ind w:firstLine="640"/>
        <w:rPr>
          <w:rFonts w:eastAsia="仿宋_GB2312"/>
        </w:rPr>
      </w:pPr>
      <w:r>
        <w:rPr>
          <w:rFonts w:hint="eastAsia" w:ascii="仿宋_GB2312" w:hAnsi="仿宋_GB2312" w:eastAsia="仿宋_GB2312" w:cs="仿宋_GB2312"/>
          <w:sz w:val="32"/>
          <w:szCs w:val="32"/>
        </w:rPr>
        <w:t>配合单位：区发展改革委、区文化和旅游</w:t>
      </w:r>
      <w:r>
        <w:rPr>
          <w:rFonts w:hint="eastAsia" w:ascii="仿宋_GB2312" w:eastAsia="仿宋_GB2312"/>
          <w:sz w:val="32"/>
          <w:szCs w:val="30"/>
        </w:rPr>
        <w:t>局、区财政局</w:t>
      </w:r>
    </w:p>
    <w:p w14:paraId="1D03FC2A">
      <w:pPr>
        <w:spacing w:line="560" w:lineRule="exact"/>
        <w:ind w:firstLine="643" w:firstLineChars="200"/>
        <w:rPr>
          <w:rFonts w:ascii="仿宋_GB2312" w:eastAsia="仿宋_GB2312"/>
          <w:kern w:val="0"/>
          <w:sz w:val="32"/>
          <w:szCs w:val="32"/>
        </w:rPr>
      </w:pPr>
      <w:r>
        <w:rPr>
          <w:rFonts w:hint="eastAsia" w:ascii="仿宋_GB2312" w:eastAsia="仿宋_GB2312"/>
          <w:b/>
          <w:sz w:val="32"/>
          <w:szCs w:val="30"/>
        </w:rPr>
        <w:t>15.提高气象精准预报预测水平。</w:t>
      </w:r>
      <w:r>
        <w:rPr>
          <w:rFonts w:hint="eastAsia" w:ascii="仿宋_GB2312" w:eastAsia="仿宋_GB2312"/>
          <w:sz w:val="32"/>
          <w:szCs w:val="30"/>
        </w:rPr>
        <w:t>及时引进中国气象局和北京市气象局的先进技术，结合</w:t>
      </w:r>
      <w:r>
        <w:rPr>
          <w:rFonts w:hint="eastAsia" w:ascii="仿宋_GB2312" w:eastAsia="仿宋_GB2312"/>
          <w:bCs/>
          <w:sz w:val="32"/>
          <w:szCs w:val="30"/>
        </w:rPr>
        <w:t>极端气候归因分析成果，建设极端天气和复合型灾害预测预警系统。</w:t>
      </w:r>
      <w:r>
        <w:rPr>
          <w:rFonts w:hint="eastAsia" w:ascii="仿宋_GB2312" w:eastAsia="仿宋_GB2312"/>
          <w:sz w:val="32"/>
          <w:szCs w:val="30"/>
        </w:rPr>
        <w:t>不断提高定时、定点、定量气象预报的及时性和准确率。</w:t>
      </w:r>
      <w:r>
        <w:rPr>
          <w:rFonts w:hint="eastAsia" w:ascii="仿宋_GB2312" w:eastAsia="仿宋_GB2312"/>
          <w:kern w:val="0"/>
          <w:sz w:val="32"/>
          <w:szCs w:val="32"/>
        </w:rPr>
        <w:t>引入灾害性天气的短时临近智能预报模型，实现自动预判天气变化和灾害风险预警。</w:t>
      </w:r>
    </w:p>
    <w:p w14:paraId="48E3CE8C">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牵头单位：区气象局</w:t>
      </w:r>
    </w:p>
    <w:p w14:paraId="227DFA2F">
      <w:pPr>
        <w:pStyle w:val="18"/>
        <w:widowControl w:val="0"/>
        <w:spacing w:line="560" w:lineRule="exact"/>
        <w:ind w:firstLine="640"/>
      </w:pPr>
      <w:r>
        <w:rPr>
          <w:rFonts w:hint="eastAsia" w:ascii="仿宋_GB2312" w:hAnsi="仿宋_GB2312" w:eastAsia="仿宋_GB2312" w:cs="仿宋_GB2312"/>
          <w:sz w:val="32"/>
          <w:szCs w:val="32"/>
        </w:rPr>
        <w:t>配合单位：区应急管理局</w:t>
      </w:r>
    </w:p>
    <w:p w14:paraId="2194B5A3">
      <w:pPr>
        <w:pStyle w:val="18"/>
        <w:widowControl w:val="0"/>
        <w:spacing w:line="560" w:lineRule="exact"/>
        <w:ind w:firstLine="643"/>
        <w:rPr>
          <w:rFonts w:ascii="仿宋_GB2312" w:hAnsi="仿宋_GB2312" w:eastAsia="仿宋_GB2312" w:cs="仿宋_GB2312"/>
          <w:sz w:val="32"/>
          <w:szCs w:val="20"/>
        </w:rPr>
      </w:pPr>
      <w:r>
        <w:rPr>
          <w:rFonts w:hint="eastAsia" w:ascii="仿宋_GB2312" w:hAnsi="仿宋_GB2312" w:eastAsia="仿宋_GB2312" w:cs="仿宋_GB2312"/>
          <w:b/>
          <w:bCs/>
          <w:snapToGrid w:val="0"/>
          <w:kern w:val="0"/>
          <w:sz w:val="32"/>
          <w:szCs w:val="32"/>
        </w:rPr>
        <w:t>16.健全气候风险应急管理机制。</w:t>
      </w:r>
      <w:r>
        <w:rPr>
          <w:rFonts w:hint="eastAsia" w:ascii="仿宋_GB2312" w:hAnsi="仿宋_GB2312" w:eastAsia="仿宋_GB2312" w:cs="仿宋_GB2312"/>
          <w:sz w:val="32"/>
          <w:szCs w:val="20"/>
        </w:rPr>
        <w:t>树立气候灾害风险管理理</w:t>
      </w:r>
    </w:p>
    <w:p w14:paraId="0F1AAD3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rPr>
        <w:t>念</w:t>
      </w:r>
      <w:r>
        <w:rPr>
          <w:rFonts w:hint="eastAsia" w:ascii="仿宋_GB2312" w:eastAsia="仿宋_GB2312"/>
          <w:sz w:val="32"/>
          <w:szCs w:val="30"/>
        </w:rPr>
        <w:t>，</w:t>
      </w:r>
      <w:r>
        <w:rPr>
          <w:rFonts w:hint="eastAsia" w:ascii="仿宋_GB2312" w:hAnsi="仿宋_GB2312" w:eastAsia="仿宋_GB2312" w:cs="仿宋_GB2312"/>
          <w:sz w:val="32"/>
        </w:rPr>
        <w:t>完善气候风险管理政策，强化全周期风险防控和全链条安全管理。</w:t>
      </w:r>
      <w:r>
        <w:rPr>
          <w:rFonts w:hint="eastAsia" w:ascii="仿宋_GB2312" w:hAnsi="仿宋_GB2312" w:eastAsia="仿宋_GB2312" w:cs="仿宋_GB2312"/>
          <w:sz w:val="32"/>
          <w:szCs w:val="32"/>
        </w:rPr>
        <w:t>强化区应急办高位统筹指导、综合协调作用，探索各级应急部门层级清晰、统协分明、分类管理、分工负责的应急管理体系。</w:t>
      </w:r>
      <w:r>
        <w:rPr>
          <w:rFonts w:hint="eastAsia" w:ascii="仿宋_GB2312" w:hAnsi="仿宋_GB2312" w:eastAsia="仿宋_GB2312" w:cs="仿宋_GB2312"/>
          <w:sz w:val="32"/>
        </w:rPr>
        <w:t>加强气候灾害及其诱发灾害的应急预案统一规划。</w:t>
      </w:r>
      <w:r>
        <w:rPr>
          <w:rFonts w:hint="eastAsia" w:ascii="仿宋_GB2312" w:hAnsi="仿宋_GB2312" w:eastAsia="仿宋_GB2312" w:cs="仿宋_GB2312"/>
          <w:sz w:val="32"/>
          <w:szCs w:val="32"/>
        </w:rPr>
        <w:t>加强预案的修订与演练，提高应急预案的操作性、实用性。</w:t>
      </w:r>
    </w:p>
    <w:p w14:paraId="402D77C2">
      <w:pPr>
        <w:pStyle w:val="18"/>
        <w:widowControl w:val="0"/>
        <w:spacing w:line="560" w:lineRule="exact"/>
        <w:ind w:firstLine="640"/>
      </w:pPr>
      <w:r>
        <w:rPr>
          <w:rFonts w:hint="eastAsia" w:ascii="仿宋_GB2312" w:hAnsi="仿宋_GB2312" w:eastAsia="仿宋_GB2312" w:cs="仿宋_GB2312"/>
          <w:sz w:val="32"/>
          <w:szCs w:val="32"/>
        </w:rPr>
        <w:t>牵头单位：区应急管理局</w:t>
      </w:r>
    </w:p>
    <w:p w14:paraId="5ED6AAD1">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配合单位：区气象局</w:t>
      </w:r>
    </w:p>
    <w:p w14:paraId="4BF17536">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17.提高气候灾害综合救援能力。</w:t>
      </w:r>
      <w:r>
        <w:rPr>
          <w:rFonts w:hint="eastAsia" w:ascii="仿宋_GB2312" w:hAnsi="仿宋_GB2312" w:eastAsia="仿宋_GB2312" w:cs="仿宋_GB2312"/>
          <w:sz w:val="32"/>
          <w:szCs w:val="32"/>
        </w:rPr>
        <w:t>建设完善城市综合应急指挥体系。加快“智慧应急”能力建设，大力推进人工智能、无人机等新技术的应用力度，完善和深化三级应急体系建设。推进避难场所分级建设。全面提升救援队伍专业化水平</w:t>
      </w:r>
      <w:r>
        <w:rPr>
          <w:rFonts w:hint="eastAsia" w:eastAsia="仿宋_GB2312"/>
          <w:sz w:val="32"/>
          <w:szCs w:val="32"/>
        </w:rPr>
        <w:t>，</w:t>
      </w:r>
      <w:r>
        <w:rPr>
          <w:rFonts w:hint="eastAsia" w:ascii="仿宋_GB2312" w:hAnsi="仿宋_GB2312" w:eastAsia="仿宋_GB2312" w:cs="仿宋_GB2312"/>
          <w:sz w:val="32"/>
          <w:szCs w:val="32"/>
        </w:rPr>
        <w:t>加大先进适用装备配备力度。提升极端暴雨干旱天气气候事件风险防范预警和防洪排涝抗旱减灾处置能力。</w:t>
      </w:r>
    </w:p>
    <w:p w14:paraId="6756F32E">
      <w:pPr>
        <w:pStyle w:val="18"/>
        <w:widowControl w:val="0"/>
        <w:spacing w:line="560" w:lineRule="exact"/>
        <w:ind w:firstLine="640"/>
      </w:pPr>
      <w:r>
        <w:rPr>
          <w:rFonts w:hint="eastAsia" w:ascii="仿宋_GB2312" w:hAnsi="仿宋_GB2312" w:eastAsia="仿宋_GB2312" w:cs="仿宋_GB2312"/>
          <w:sz w:val="32"/>
          <w:szCs w:val="32"/>
        </w:rPr>
        <w:t>牵头单位：区应急管理局</w:t>
      </w:r>
    </w:p>
    <w:p w14:paraId="6DA225BF">
      <w:pPr>
        <w:pStyle w:val="18"/>
        <w:widowControl w:val="0"/>
        <w:spacing w:line="560" w:lineRule="exact"/>
        <w:ind w:firstLine="640"/>
        <w:rPr>
          <w:rFonts w:eastAsia="仿宋_GB2312"/>
        </w:rPr>
      </w:pPr>
      <w:r>
        <w:rPr>
          <w:rFonts w:hint="eastAsia" w:ascii="仿宋_GB2312" w:hAnsi="仿宋_GB2312" w:eastAsia="仿宋_GB2312" w:cs="仿宋_GB2312"/>
          <w:sz w:val="32"/>
          <w:szCs w:val="32"/>
        </w:rPr>
        <w:t>配合单位：区城市管理委、区政务</w:t>
      </w:r>
      <w:r>
        <w:rPr>
          <w:rFonts w:ascii="仿宋_GB2312" w:hAnsi="仿宋_GB2312" w:eastAsia="仿宋_GB2312" w:cs="仿宋_GB2312"/>
          <w:sz w:val="32"/>
          <w:szCs w:val="32"/>
        </w:rPr>
        <w:t>和数据局</w:t>
      </w:r>
      <w:r>
        <w:rPr>
          <w:rFonts w:hint="eastAsia" w:ascii="仿宋_GB2312" w:hAnsi="仿宋_GB2312" w:eastAsia="仿宋_GB2312" w:cs="仿宋_GB2312"/>
          <w:sz w:val="32"/>
          <w:szCs w:val="32"/>
        </w:rPr>
        <w:t>、区财政局、各街道乡镇</w:t>
      </w:r>
    </w:p>
    <w:p w14:paraId="04ADCC79">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szCs w:val="32"/>
        </w:rPr>
        <w:t>18.</w:t>
      </w:r>
      <w:r>
        <w:rPr>
          <w:rFonts w:hint="eastAsia" w:ascii="仿宋_GB2312" w:eastAsia="仿宋_GB2312"/>
          <w:b/>
          <w:bCs/>
          <w:kern w:val="0"/>
          <w:sz w:val="32"/>
          <w:szCs w:val="32"/>
        </w:rPr>
        <w:t>加强气象领域京津冀区域合作。</w:t>
      </w:r>
      <w:r>
        <w:rPr>
          <w:rFonts w:hint="eastAsia" w:ascii="仿宋_GB2312" w:hAnsi="仿宋_GB2312" w:eastAsia="仿宋_GB2312" w:cs="仿宋_GB2312"/>
          <w:sz w:val="32"/>
        </w:rPr>
        <w:t>持续实施通</w:t>
      </w:r>
      <w:r>
        <w:rPr>
          <w:rFonts w:hint="eastAsia" w:eastAsia="仿宋_GB2312"/>
          <w:sz w:val="32"/>
          <w:szCs w:val="32"/>
        </w:rPr>
        <w:t>州区、天津市武清区、河北省廊坊市三地气象合作，</w:t>
      </w:r>
      <w:r>
        <w:rPr>
          <w:rFonts w:hint="eastAsia" w:ascii="仿宋_GB2312" w:hAnsi="仿宋_GB2312" w:eastAsia="仿宋_GB2312" w:cs="仿宋_GB2312"/>
          <w:sz w:val="32"/>
        </w:rPr>
        <w:t>实现区域气象站数据、气象预报、服务产品共享，提升区域气象灾害联防响应能力。健全“通武廊”气象局联席会议制度、业务交流制度和人员互派学习制度。</w:t>
      </w:r>
    </w:p>
    <w:p w14:paraId="60BA6806">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牵头单位：区气象局</w:t>
      </w:r>
    </w:p>
    <w:p w14:paraId="1EC168A7">
      <w:pPr>
        <w:pStyle w:val="18"/>
        <w:widowControl w:val="0"/>
        <w:spacing w:line="560" w:lineRule="exact"/>
        <w:ind w:firstLine="640"/>
      </w:pPr>
      <w:r>
        <w:rPr>
          <w:rFonts w:hint="eastAsia" w:ascii="仿宋_GB2312" w:hAnsi="仿宋_GB2312" w:eastAsia="仿宋_GB2312" w:cs="仿宋_GB2312"/>
          <w:sz w:val="32"/>
          <w:szCs w:val="32"/>
        </w:rPr>
        <w:t>配合单位：区应急管理局</w:t>
      </w:r>
    </w:p>
    <w:p w14:paraId="5C07A095">
      <w:pPr>
        <w:pStyle w:val="5"/>
        <w:spacing w:before="0" w:after="0" w:line="560" w:lineRule="exact"/>
        <w:ind w:firstLine="640" w:firstLineChars="200"/>
        <w:rPr>
          <w:rFonts w:ascii="仿宋_GB2312" w:hAnsi="仿宋_GB2312" w:eastAsia="仿宋_GB2312" w:cs="仿宋_GB2312"/>
          <w:b w:val="0"/>
          <w:bCs/>
        </w:rPr>
      </w:pPr>
      <w:bookmarkStart w:id="2" w:name="_Toc157784231"/>
      <w:r>
        <w:rPr>
          <w:rFonts w:hint="eastAsia" w:ascii="楷体_GB2312" w:hAnsi="楷体_GB2312" w:eastAsia="楷体_GB2312" w:cs="楷体_GB2312"/>
          <w:b w:val="0"/>
          <w:bCs/>
        </w:rPr>
        <w:t>（五）优化城市适应气候变化空间布局</w:t>
      </w:r>
      <w:bookmarkEnd w:id="2"/>
    </w:p>
    <w:p w14:paraId="1BBF6E01">
      <w:pPr>
        <w:adjustRightInd w:val="0"/>
        <w:snapToGrid w:val="0"/>
        <w:spacing w:line="560" w:lineRule="exact"/>
        <w:ind w:firstLine="643"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rPr>
        <w:t>19.构建</w:t>
      </w:r>
      <w:r>
        <w:rPr>
          <w:rFonts w:hint="eastAsia" w:ascii="仿宋_GB2312" w:hAnsi="仿宋_GB2312" w:eastAsia="仿宋_GB2312" w:cs="仿宋_GB2312"/>
          <w:b/>
          <w:bCs/>
          <w:kern w:val="0"/>
          <w:sz w:val="32"/>
          <w:szCs w:val="32"/>
          <w:lang w:val="en"/>
        </w:rPr>
        <w:t>韧性城市空间结构</w:t>
      </w:r>
      <w:r>
        <w:rPr>
          <w:rFonts w:hint="eastAsia" w:ascii="仿宋_GB2312" w:hAnsi="仿宋_GB2312" w:eastAsia="仿宋_GB2312" w:cs="仿宋_GB2312"/>
          <w:kern w:val="0"/>
          <w:sz w:val="32"/>
          <w:szCs w:val="32"/>
          <w:lang w:val="en"/>
        </w:rPr>
        <w:t>。将适应气候变化理念融入副中心规划建设中</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
        </w:rPr>
        <w:t>将城市安全和综合防灾系统纳入副中心规划建设管理全过程。打造“一环五廊多支点”的韧性城市空间结构。</w:t>
      </w:r>
      <w:r>
        <w:rPr>
          <w:rFonts w:eastAsia="仿宋_GB2312"/>
          <w:kern w:val="0"/>
          <w:sz w:val="32"/>
          <w:szCs w:val="32"/>
          <w:lang w:val="en"/>
        </w:rPr>
        <w:t>提升生态系统应对气候变化能力</w:t>
      </w:r>
      <w:r>
        <w:rPr>
          <w:rFonts w:hint="eastAsia" w:eastAsia="仿宋_GB2312"/>
          <w:kern w:val="0"/>
          <w:sz w:val="32"/>
          <w:szCs w:val="32"/>
        </w:rPr>
        <w:t>，</w:t>
      </w:r>
      <w:r>
        <w:rPr>
          <w:rFonts w:eastAsia="仿宋_GB2312"/>
          <w:kern w:val="0"/>
          <w:sz w:val="32"/>
          <w:szCs w:val="32"/>
          <w:lang w:val="en"/>
        </w:rPr>
        <w:t>构建生态廊道和城镇建设相互交融的空间格局</w:t>
      </w:r>
      <w:r>
        <w:rPr>
          <w:rFonts w:hint="eastAsia" w:eastAsia="仿宋_GB2312"/>
          <w:kern w:val="0"/>
          <w:sz w:val="32"/>
          <w:szCs w:val="32"/>
          <w:lang w:val="en"/>
        </w:rPr>
        <w:t>。</w:t>
      </w:r>
    </w:p>
    <w:p w14:paraId="4E885518">
      <w:pPr>
        <w:spacing w:line="560" w:lineRule="exact"/>
        <w:ind w:firstLine="640" w:firstLineChars="200"/>
        <w:jc w:val="left"/>
      </w:pPr>
      <w:r>
        <w:rPr>
          <w:rFonts w:hint="eastAsia" w:ascii="仿宋_GB2312" w:hAnsi="仿宋_GB2312" w:eastAsia="仿宋_GB2312" w:cs="仿宋_GB2312"/>
          <w:sz w:val="32"/>
          <w:szCs w:val="32"/>
        </w:rPr>
        <w:t>牵头单位：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p>
    <w:p w14:paraId="21346FCA">
      <w:pPr>
        <w:pStyle w:val="18"/>
        <w:widowControl w:val="0"/>
        <w:spacing w:line="560" w:lineRule="exact"/>
        <w:ind w:firstLine="640"/>
        <w:rPr>
          <w:rFonts w:eastAsia="仿宋_GB2312"/>
          <w:lang w:val="zh-CN"/>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区园林绿化局、区水务局、区农业农村局、各街道乡镇</w:t>
      </w:r>
    </w:p>
    <w:p w14:paraId="3E501F50">
      <w:pPr>
        <w:adjustRightInd w:val="0"/>
        <w:snapToGrid w:val="0"/>
        <w:spacing w:line="560" w:lineRule="exact"/>
        <w:ind w:firstLine="643" w:firstLineChars="200"/>
        <w:rPr>
          <w:rFonts w:eastAsia="仿宋_GB2312"/>
          <w:kern w:val="0"/>
          <w:sz w:val="32"/>
          <w:szCs w:val="32"/>
          <w:lang w:val="en"/>
        </w:rPr>
      </w:pPr>
      <w:r>
        <w:rPr>
          <w:rFonts w:hint="eastAsia" w:ascii="仿宋_GB2312" w:hAnsi="仿宋_GB2312" w:eastAsia="仿宋_GB2312" w:cs="仿宋_GB2312"/>
          <w:b/>
          <w:bCs/>
          <w:kern w:val="0"/>
          <w:sz w:val="32"/>
          <w:szCs w:val="32"/>
        </w:rPr>
        <w:t>20.优化</w:t>
      </w:r>
      <w:r>
        <w:rPr>
          <w:rFonts w:hint="eastAsia" w:eastAsia="仿宋_GB2312"/>
          <w:b/>
          <w:bCs/>
          <w:kern w:val="0"/>
          <w:sz w:val="32"/>
          <w:szCs w:val="32"/>
        </w:rPr>
        <w:t>城市功能布局。</w:t>
      </w:r>
      <w:r>
        <w:rPr>
          <w:rFonts w:eastAsia="仿宋_GB2312"/>
          <w:kern w:val="0"/>
          <w:sz w:val="32"/>
          <w:szCs w:val="32"/>
          <w:lang w:val="en"/>
        </w:rPr>
        <w:t>统筹安排城市建设、产业发展、生态涵养、基础设施和</w:t>
      </w:r>
      <w:r>
        <w:rPr>
          <w:rFonts w:hint="eastAsia" w:eastAsia="仿宋_GB2312"/>
          <w:kern w:val="0"/>
          <w:sz w:val="32"/>
          <w:szCs w:val="32"/>
          <w:lang w:val="en"/>
        </w:rPr>
        <w:t>公共服务</w:t>
      </w:r>
      <w:r>
        <w:rPr>
          <w:rFonts w:eastAsia="仿宋_GB2312"/>
          <w:kern w:val="0"/>
          <w:sz w:val="32"/>
          <w:szCs w:val="32"/>
          <w:lang w:val="en"/>
        </w:rPr>
        <w:t>。在街区控规、乡镇国土空间规划、村庄规划等国土空间规划制定完善中充分考虑气候要素</w:t>
      </w:r>
      <w:r>
        <w:rPr>
          <w:rFonts w:hint="eastAsia" w:eastAsia="仿宋_GB2312"/>
          <w:kern w:val="0"/>
          <w:sz w:val="32"/>
          <w:szCs w:val="32"/>
          <w:lang w:val="en"/>
        </w:rPr>
        <w:t>。</w:t>
      </w:r>
      <w:r>
        <w:rPr>
          <w:rFonts w:eastAsia="仿宋_GB2312"/>
          <w:kern w:val="0"/>
          <w:sz w:val="32"/>
          <w:szCs w:val="32"/>
          <w:lang w:val="en"/>
        </w:rPr>
        <w:t>加快镇域级控制性详细规划编制</w:t>
      </w:r>
      <w:r>
        <w:rPr>
          <w:rFonts w:hint="eastAsia" w:eastAsia="仿宋_GB2312"/>
          <w:kern w:val="0"/>
          <w:sz w:val="32"/>
          <w:szCs w:val="32"/>
          <w:lang w:val="en"/>
        </w:rPr>
        <w:t>，严格落实碳排放“双控”及“三线三区”要求。</w:t>
      </w:r>
      <w:r>
        <w:rPr>
          <w:rFonts w:eastAsia="仿宋_GB2312"/>
          <w:kern w:val="0"/>
          <w:sz w:val="32"/>
          <w:szCs w:val="32"/>
          <w:lang w:val="en"/>
        </w:rPr>
        <w:t>将气候变化影响因素纳入国土空间规划实施评估</w:t>
      </w:r>
      <w:r>
        <w:rPr>
          <w:rFonts w:hint="eastAsia" w:eastAsia="仿宋_GB2312"/>
          <w:kern w:val="0"/>
          <w:sz w:val="32"/>
          <w:szCs w:val="32"/>
        </w:rPr>
        <w:t>，</w:t>
      </w:r>
      <w:r>
        <w:rPr>
          <w:rFonts w:eastAsia="仿宋_GB2312"/>
          <w:kern w:val="0"/>
          <w:sz w:val="32"/>
          <w:szCs w:val="32"/>
          <w:lang w:val="en"/>
        </w:rPr>
        <w:t>构建气候适应型格局。推动《北京城市副中心（通州区）非建设空间规划及镇村实施指引（2021年-2035年）》落地实施。</w:t>
      </w:r>
    </w:p>
    <w:p w14:paraId="3B664313">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p>
    <w:p w14:paraId="56C5454B">
      <w:pPr>
        <w:pStyle w:val="25"/>
        <w:spacing w:line="560" w:lineRule="exact"/>
        <w:ind w:firstLine="640"/>
        <w:rPr>
          <w:rFonts w:ascii="仿宋_GB2312" w:hAnsi="仿宋_GB2312" w:eastAsia="仿宋_GB2312" w:cs="仿宋_GB2312"/>
          <w:spacing w:val="2"/>
          <w:sz w:val="32"/>
          <w:szCs w:val="32"/>
          <w:lang w:val="en-US"/>
        </w:rPr>
      </w:pPr>
      <w:r>
        <w:rPr>
          <w:rFonts w:hint="eastAsia" w:ascii="仿宋_GB2312" w:hAnsi="仿宋_GB2312" w:eastAsia="仿宋_GB2312" w:cs="仿宋_GB2312"/>
          <w:kern w:val="2"/>
          <w:sz w:val="32"/>
          <w:szCs w:val="32"/>
        </w:rPr>
        <w:t>配合单位：</w:t>
      </w:r>
      <w:r>
        <w:rPr>
          <w:rFonts w:hint="eastAsia" w:ascii="仿宋_GB2312" w:hAnsi="仿宋_GB2312" w:eastAsia="仿宋_GB2312" w:cs="仿宋_GB2312"/>
          <w:spacing w:val="2"/>
          <w:kern w:val="2"/>
          <w:sz w:val="32"/>
          <w:szCs w:val="32"/>
          <w:lang w:val="en-US"/>
        </w:rPr>
        <w:t>区生态环境局、区气象</w:t>
      </w:r>
      <w:r>
        <w:rPr>
          <w:rFonts w:hint="eastAsia" w:ascii="仿宋_GB2312" w:hAnsi="仿宋_GB2312" w:eastAsia="仿宋_GB2312" w:cs="仿宋_GB2312"/>
          <w:spacing w:val="2"/>
          <w:sz w:val="32"/>
          <w:szCs w:val="32"/>
        </w:rPr>
        <w:t>局、区城市管理委、</w:t>
      </w:r>
      <w:r>
        <w:rPr>
          <w:rFonts w:hint="eastAsia" w:ascii="仿宋_GB2312" w:hAnsi="仿宋_GB2312" w:eastAsia="仿宋_GB2312" w:cs="仿宋_GB2312"/>
          <w:sz w:val="32"/>
          <w:szCs w:val="32"/>
          <w:lang w:val="en-US"/>
        </w:rPr>
        <w:t>各街道乡镇</w:t>
      </w:r>
    </w:p>
    <w:p w14:paraId="5A54C508">
      <w:pPr>
        <w:pStyle w:val="18"/>
        <w:widowControl w:val="0"/>
        <w:spacing w:line="560" w:lineRule="exact"/>
        <w:ind w:firstLine="643"/>
        <w:rPr>
          <w:rFonts w:ascii="仿宋_GB2312" w:hAnsi="仿宋_GB2312" w:eastAsia="仿宋_GB2312" w:cs="仿宋_GB2312"/>
          <w:sz w:val="32"/>
          <w:szCs w:val="32"/>
          <w:lang w:val="en"/>
        </w:rPr>
      </w:pPr>
      <w:r>
        <w:rPr>
          <w:rFonts w:hint="eastAsia" w:ascii="仿宋_GB2312" w:hAnsi="仿宋_GB2312" w:eastAsia="仿宋_GB2312" w:cs="仿宋_GB2312"/>
          <w:b/>
          <w:bCs/>
          <w:sz w:val="32"/>
          <w:szCs w:val="32"/>
        </w:rPr>
        <w:t>21.</w:t>
      </w:r>
      <w:r>
        <w:rPr>
          <w:rFonts w:ascii="仿宋_GB2312" w:hAnsi="仿宋_GB2312" w:eastAsia="仿宋_GB2312" w:cs="仿宋_GB2312"/>
          <w:b/>
          <w:bCs/>
          <w:sz w:val="32"/>
          <w:szCs w:val="32"/>
          <w:lang w:val="en"/>
        </w:rPr>
        <w:t>增强农业生态系统</w:t>
      </w:r>
      <w:r>
        <w:rPr>
          <w:rFonts w:hint="eastAsia" w:ascii="仿宋_GB2312" w:hAnsi="仿宋_GB2312" w:eastAsia="仿宋_GB2312" w:cs="仿宋_GB2312"/>
          <w:b/>
          <w:bCs/>
          <w:sz w:val="32"/>
          <w:szCs w:val="32"/>
          <w:lang w:val="en" w:eastAsia="zh-CN"/>
        </w:rPr>
        <w:t>气候</w:t>
      </w:r>
      <w:r>
        <w:rPr>
          <w:rFonts w:ascii="仿宋_GB2312" w:hAnsi="仿宋_GB2312" w:eastAsia="仿宋_GB2312" w:cs="仿宋_GB2312"/>
          <w:b/>
          <w:bCs/>
          <w:sz w:val="32"/>
          <w:szCs w:val="32"/>
          <w:lang w:val="en"/>
        </w:rPr>
        <w:t>韧性。</w:t>
      </w:r>
      <w:r>
        <w:rPr>
          <w:rFonts w:ascii="仿宋_GB2312" w:hAnsi="仿宋_GB2312" w:eastAsia="仿宋_GB2312" w:cs="仿宋_GB2312"/>
          <w:sz w:val="32"/>
          <w:szCs w:val="32"/>
          <w:lang w:val="en"/>
        </w:rPr>
        <w:t>加快建设高标准农田,加强耕地保护,守住农业“基本盘</w:t>
      </w:r>
      <w:r>
        <w:rPr>
          <w:rFonts w:hint="eastAsia" w:ascii="仿宋_GB2312" w:hAnsi="仿宋_GB2312" w:eastAsia="仿宋_GB2312" w:cs="仿宋_GB2312"/>
          <w:sz w:val="32"/>
          <w:szCs w:val="32"/>
          <w:lang w:val="en"/>
        </w:rPr>
        <w:t>”。推动实现数量、空间、产业、配套、质量、生态“六位一体”的耕地保护利用目标，打造首都耕地高质量样板。开展农业资源动态评估和精细化管理,针对气候变化与极端天气气候事件新特点,调整种植产业布局和种植结构配置,改造优化农业水利基础设施。</w:t>
      </w:r>
    </w:p>
    <w:p w14:paraId="4440F172">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pacing w:val="2"/>
          <w:sz w:val="32"/>
          <w:szCs w:val="32"/>
        </w:rPr>
        <w:t>区农业农村局</w:t>
      </w:r>
    </w:p>
    <w:p w14:paraId="3021C8CB">
      <w:pPr>
        <w:pStyle w:val="25"/>
        <w:spacing w:line="560" w:lineRule="exact"/>
        <w:ind w:firstLine="640"/>
        <w:rPr>
          <w:rFonts w:ascii="仿宋_GB2312" w:hAnsi="仿宋_GB2312" w:eastAsia="仿宋_GB2312" w:cs="仿宋_GB2312"/>
          <w:spacing w:val="2"/>
          <w:sz w:val="32"/>
          <w:szCs w:val="32"/>
          <w:lang w:val="en-US"/>
        </w:rPr>
      </w:pPr>
      <w:r>
        <w:rPr>
          <w:rFonts w:hint="eastAsia" w:ascii="仿宋_GB2312" w:hAnsi="仿宋_GB2312" w:eastAsia="仿宋_GB2312" w:cs="仿宋_GB2312"/>
          <w:kern w:val="2"/>
          <w:sz w:val="32"/>
          <w:szCs w:val="32"/>
        </w:rPr>
        <w:t>配合单位：</w:t>
      </w:r>
      <w:r>
        <w:rPr>
          <w:rFonts w:hint="eastAsia" w:ascii="仿宋_GB2312" w:hAnsi="仿宋_GB2312" w:eastAsia="仿宋_GB2312" w:cs="仿宋_GB2312"/>
          <w:spacing w:val="2"/>
          <w:sz w:val="32"/>
          <w:szCs w:val="32"/>
          <w:lang w:val="en-US"/>
        </w:rPr>
        <w:t>市</w:t>
      </w:r>
      <w:r>
        <w:rPr>
          <w:rFonts w:hint="eastAsia" w:ascii="仿宋_GB2312" w:hAnsi="仿宋_GB2312" w:eastAsia="仿宋_GB2312" w:cs="仿宋_GB2312"/>
          <w:spacing w:val="2"/>
          <w:sz w:val="32"/>
          <w:szCs w:val="32"/>
          <w:lang w:val="en-US" w:eastAsia="zh-CN"/>
        </w:rPr>
        <w:t>规划自然资源委</w:t>
      </w:r>
      <w:r>
        <w:rPr>
          <w:rFonts w:hint="eastAsia" w:ascii="仿宋_GB2312" w:hAnsi="仿宋_GB2312" w:eastAsia="仿宋_GB2312" w:cs="仿宋_GB2312"/>
          <w:spacing w:val="2"/>
          <w:sz w:val="32"/>
          <w:szCs w:val="32"/>
          <w:lang w:val="en-US"/>
        </w:rPr>
        <w:t>通州分局</w:t>
      </w:r>
      <w:r>
        <w:rPr>
          <w:rFonts w:hint="eastAsia" w:ascii="仿宋_GB2312" w:hAnsi="仿宋_GB2312" w:eastAsia="仿宋_GB2312" w:cs="仿宋_GB2312"/>
          <w:spacing w:val="2"/>
          <w:kern w:val="2"/>
          <w:sz w:val="32"/>
          <w:szCs w:val="32"/>
          <w:lang w:val="en-US"/>
        </w:rPr>
        <w:t>、区气象</w:t>
      </w:r>
      <w:r>
        <w:rPr>
          <w:rFonts w:hint="eastAsia" w:ascii="仿宋_GB2312" w:hAnsi="仿宋_GB2312" w:eastAsia="仿宋_GB2312" w:cs="仿宋_GB2312"/>
          <w:spacing w:val="2"/>
          <w:sz w:val="32"/>
          <w:szCs w:val="32"/>
        </w:rPr>
        <w:t>局</w:t>
      </w:r>
    </w:p>
    <w:p w14:paraId="32FD63BD">
      <w:pPr>
        <w:pStyle w:val="5"/>
        <w:spacing w:before="0" w:after="0" w:line="560" w:lineRule="exact"/>
        <w:ind w:firstLine="640" w:firstLineChars="200"/>
        <w:rPr>
          <w:rFonts w:ascii="楷体_GB2312" w:hAnsi="楷体_GB2312" w:eastAsia="楷体_GB2312" w:cs="楷体_GB2312"/>
          <w:b w:val="0"/>
          <w:bCs/>
        </w:rPr>
      </w:pPr>
      <w:bookmarkStart w:id="3" w:name="_Toc157784232"/>
      <w:r>
        <w:rPr>
          <w:rFonts w:hint="eastAsia" w:ascii="楷体_GB2312" w:hAnsi="楷体_GB2312" w:eastAsia="楷体_GB2312" w:cs="楷体_GB2312"/>
          <w:b w:val="0"/>
          <w:bCs/>
        </w:rPr>
        <w:t>（六）提升城市基础设施气候韧性</w:t>
      </w:r>
      <w:bookmarkEnd w:id="3"/>
    </w:p>
    <w:p w14:paraId="35B01E52">
      <w:pPr>
        <w:adjustRightInd w:val="0"/>
        <w:snapToGrid w:val="0"/>
        <w:spacing w:line="560" w:lineRule="exact"/>
        <w:ind w:firstLine="643" w:firstLineChars="200"/>
        <w:rPr>
          <w:rFonts w:ascii="仿宋_GB2312" w:hAnsi="仿宋_GB2312" w:eastAsia="仿宋_GB2312" w:cs="仿宋_GB2312"/>
          <w:sz w:val="32"/>
          <w:szCs w:val="32"/>
          <w:lang w:val="en"/>
        </w:rPr>
      </w:pPr>
      <w:r>
        <w:rPr>
          <w:rFonts w:hint="eastAsia" w:ascii="仿宋_GB2312" w:hAnsi="仿宋_GB2312" w:eastAsia="仿宋_GB2312" w:cs="仿宋_GB2312"/>
          <w:b/>
          <w:bCs/>
          <w:sz w:val="32"/>
          <w:szCs w:val="32"/>
        </w:rPr>
        <w:t>22.全面</w:t>
      </w:r>
      <w:r>
        <w:rPr>
          <w:rFonts w:hint="eastAsia" w:ascii="仿宋_GB2312" w:hAnsi="仿宋_GB2312" w:eastAsia="仿宋_GB2312" w:cs="仿宋_GB2312"/>
          <w:b/>
          <w:bCs/>
          <w:sz w:val="32"/>
          <w:szCs w:val="32"/>
          <w:lang w:val="en"/>
        </w:rPr>
        <w:t>提升韧性</w:t>
      </w:r>
      <w:r>
        <w:rPr>
          <w:rFonts w:hint="eastAsia" w:ascii="仿宋_GB2312" w:hAnsi="仿宋_GB2312" w:eastAsia="仿宋_GB2312" w:cs="仿宋_GB2312"/>
          <w:b/>
          <w:bCs/>
          <w:sz w:val="32"/>
          <w:szCs w:val="32"/>
        </w:rPr>
        <w:t>城市</w:t>
      </w:r>
      <w:r>
        <w:rPr>
          <w:rFonts w:hint="eastAsia" w:ascii="仿宋_GB2312" w:hAnsi="仿宋_GB2312" w:eastAsia="仿宋_GB2312" w:cs="仿宋_GB2312"/>
          <w:b/>
          <w:bCs/>
          <w:sz w:val="32"/>
          <w:szCs w:val="32"/>
          <w:lang w:val="en"/>
        </w:rPr>
        <w:t>建设。</w:t>
      </w:r>
      <w:r>
        <w:rPr>
          <w:rFonts w:hint="eastAsia" w:eastAsia="仿宋_GB2312"/>
          <w:kern w:val="0"/>
          <w:sz w:val="32"/>
          <w:szCs w:val="32"/>
          <w:lang w:val="en"/>
        </w:rPr>
        <w:t>努力打造适应型城市试点新样板，提高工程防御能力和社会应对能力。</w:t>
      </w:r>
      <w:r>
        <w:rPr>
          <w:rFonts w:ascii="仿宋_GB2312" w:hAnsi="仿宋_GB2312" w:eastAsia="仿宋_GB2312" w:cs="仿宋_GB2312"/>
          <w:sz w:val="32"/>
          <w:szCs w:val="32"/>
          <w:lang w:val="en"/>
        </w:rPr>
        <w:t>不断完善防洪、排涝、消防、急救等防灾基础设施。均衡布局消防设施，建设分级分类疏散通道和避灾场所，建立安全、可靠、高效疏散救援通道系统</w:t>
      </w:r>
      <w:r>
        <w:rPr>
          <w:rFonts w:hint="eastAsia" w:ascii="仿宋_GB2312" w:hAnsi="仿宋_GB2312" w:eastAsia="仿宋_GB2312" w:cs="仿宋_GB2312"/>
          <w:sz w:val="32"/>
          <w:szCs w:val="32"/>
          <w:lang w:val="en"/>
        </w:rPr>
        <w:t>。</w:t>
      </w:r>
    </w:p>
    <w:p w14:paraId="5DFB7CA6">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pacing w:val="2"/>
          <w:sz w:val="32"/>
          <w:szCs w:val="32"/>
        </w:rPr>
        <w:t>区应急管理局</w:t>
      </w:r>
    </w:p>
    <w:p w14:paraId="6B1F42BC">
      <w:pPr>
        <w:pStyle w:val="2"/>
        <w:spacing w:after="0" w:line="560" w:lineRule="exact"/>
        <w:ind w:firstLine="640" w:firstLineChars="200"/>
        <w:rPr>
          <w:lang w:val="en"/>
        </w:rPr>
      </w:pPr>
      <w:r>
        <w:rPr>
          <w:rFonts w:hint="eastAsia" w:ascii="仿宋_GB2312" w:hAnsi="仿宋_GB2312" w:eastAsia="仿宋_GB2312" w:cs="仿宋_GB2312"/>
          <w:sz w:val="32"/>
          <w:szCs w:val="32"/>
        </w:rPr>
        <w:t>配合单位：区住房城乡建设委、区交通委、区城市管理委、区水务局、区财政局</w:t>
      </w:r>
    </w:p>
    <w:p w14:paraId="60E7E4A0">
      <w:pPr>
        <w:adjustRightInd w:val="0"/>
        <w:snapToGrid w:val="0"/>
        <w:spacing w:line="560" w:lineRule="exact"/>
        <w:ind w:firstLine="643" w:firstLineChars="200"/>
        <w:rPr>
          <w:rFonts w:ascii="仿宋_GB2312" w:hAnsi="仿宋_GB2312" w:eastAsia="仿宋_GB2312" w:cs="仿宋_GB2312"/>
          <w:spacing w:val="10"/>
          <w:sz w:val="32"/>
          <w:szCs w:val="32"/>
          <w:lang w:val="en"/>
        </w:rPr>
      </w:pPr>
      <w:r>
        <w:rPr>
          <w:rFonts w:hint="eastAsia" w:ascii="仿宋_GB2312" w:hAnsi="仿宋_GB2312" w:eastAsia="仿宋_GB2312" w:cs="仿宋_GB2312"/>
          <w:b/>
          <w:sz w:val="32"/>
          <w:szCs w:val="32"/>
        </w:rPr>
        <w:t>23.持续增强基础建设平安韧性能力。</w:t>
      </w:r>
      <w:r>
        <w:rPr>
          <w:rFonts w:hint="eastAsia" w:ascii="仿宋_GB2312" w:hAnsi="仿宋_GB2312" w:eastAsia="仿宋_GB2312" w:cs="仿宋_GB2312"/>
          <w:kern w:val="0"/>
          <w:sz w:val="32"/>
          <w:szCs w:val="32"/>
          <w:lang w:val="en"/>
        </w:rPr>
        <w:t>科学确定韧性规划设计标准，预留适度冗余，加强设施适应性，确保城市基本框架和主要功能具备防御风险和快速恢复能力。</w:t>
      </w:r>
      <w:r>
        <w:rPr>
          <w:rFonts w:hint="eastAsia" w:ascii="仿宋_GB2312" w:hAnsi="仿宋_GB2312" w:eastAsia="仿宋_GB2312" w:cs="仿宋_GB2312"/>
          <w:spacing w:val="18"/>
          <w:sz w:val="32"/>
          <w:szCs w:val="32"/>
        </w:rPr>
        <w:t>有</w:t>
      </w:r>
      <w:r>
        <w:rPr>
          <w:rFonts w:hint="eastAsia" w:ascii="仿宋_GB2312" w:hAnsi="仿宋_GB2312" w:eastAsia="仿宋_GB2312" w:cs="仿宋_GB2312"/>
          <w:spacing w:val="10"/>
          <w:sz w:val="32"/>
          <w:szCs w:val="32"/>
        </w:rPr>
        <w:t>序开展既有建筑绿色化改造，分区分类制定既有建筑改造目标，推动具备条件的既有建筑及老旧小区改造执</w:t>
      </w:r>
      <w:r>
        <w:rPr>
          <w:rFonts w:hint="eastAsia" w:ascii="仿宋_GB2312" w:hAnsi="仿宋_GB2312" w:eastAsia="仿宋_GB2312" w:cs="仿宋_GB2312"/>
          <w:spacing w:val="20"/>
          <w:sz w:val="32"/>
          <w:szCs w:val="32"/>
        </w:rPr>
        <w:t>行</w:t>
      </w:r>
      <w:r>
        <w:rPr>
          <w:rFonts w:hint="eastAsia" w:ascii="仿宋_GB2312" w:hAnsi="仿宋_GB2312" w:eastAsia="仿宋_GB2312" w:cs="仿宋_GB2312"/>
          <w:spacing w:val="13"/>
          <w:sz w:val="32"/>
          <w:szCs w:val="32"/>
        </w:rPr>
        <w:t>二</w:t>
      </w:r>
      <w:r>
        <w:rPr>
          <w:rFonts w:hint="eastAsia" w:ascii="仿宋_GB2312" w:hAnsi="仿宋_GB2312" w:eastAsia="仿宋_GB2312" w:cs="仿宋_GB2312"/>
          <w:spacing w:val="10"/>
          <w:sz w:val="32"/>
          <w:szCs w:val="32"/>
        </w:rPr>
        <w:t>星级及以上标准。</w:t>
      </w:r>
      <w:r>
        <w:rPr>
          <w:rFonts w:hint="eastAsia" w:ascii="仿宋_GB2312" w:hAnsi="仿宋_GB2312" w:eastAsia="仿宋_GB2312" w:cs="仿宋_GB2312"/>
          <w:spacing w:val="10"/>
          <w:sz w:val="32"/>
          <w:szCs w:val="32"/>
          <w:lang w:val="en"/>
        </w:rPr>
        <w:t>发展绿色农房，推进农村住宅节能改造，对符合条件的农宅和农村配套公建，按照超低能耗建筑标准建设。</w:t>
      </w:r>
    </w:p>
    <w:p w14:paraId="69670DE2">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牵头单位：区住房城乡建设委</w:t>
      </w:r>
    </w:p>
    <w:p w14:paraId="479DFE7D">
      <w:pPr>
        <w:pStyle w:val="2"/>
        <w:spacing w:after="0" w:line="560" w:lineRule="exact"/>
        <w:ind w:firstLine="640" w:firstLineChars="200"/>
      </w:pPr>
      <w:r>
        <w:rPr>
          <w:rFonts w:hint="eastAsia" w:ascii="仿宋_GB2312" w:hAnsi="仿宋_GB2312" w:eastAsia="仿宋_GB2312" w:cs="仿宋_GB2312"/>
          <w:sz w:val="32"/>
          <w:szCs w:val="32"/>
        </w:rPr>
        <w:t>配合单位：区发展改革委、区城市管理委、区农业农村局、区财政局</w:t>
      </w:r>
    </w:p>
    <w:p w14:paraId="3D720234">
      <w:pPr>
        <w:adjustRightInd w:val="0"/>
        <w:snapToGrid w:val="0"/>
        <w:spacing w:line="560" w:lineRule="exact"/>
        <w:ind w:firstLine="643"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b/>
          <w:sz w:val="32"/>
          <w:szCs w:val="32"/>
        </w:rPr>
        <w:t>24.做好地下综合管廊建管协调</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lang w:val="en"/>
        </w:rPr>
        <w:t>推动综合管廊节约精细化建设，优化完善地下综合管廊建设运营管理体制机制。构建综合管廊主干系统，因地制宜补充完善综合管廊建设。</w:t>
      </w:r>
    </w:p>
    <w:p w14:paraId="29B8AA5B">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14:paraId="6A746655">
      <w:pPr>
        <w:pStyle w:val="2"/>
        <w:spacing w:after="0" w:line="560" w:lineRule="exact"/>
        <w:ind w:firstLine="640" w:firstLineChars="200"/>
        <w:rPr>
          <w:rFonts w:eastAsia="仿宋_GB2312"/>
          <w:lang w:val="en"/>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r>
        <w:rPr>
          <w:rFonts w:hint="eastAsia" w:ascii="仿宋_GB2312" w:hAnsi="仿宋_GB2312" w:eastAsia="仿宋_GB2312" w:cs="仿宋_GB2312"/>
          <w:sz w:val="32"/>
          <w:szCs w:val="32"/>
        </w:rPr>
        <w:t>区发展改革委</w:t>
      </w:r>
    </w:p>
    <w:p w14:paraId="0D07708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25.优化适应气候的能源安全布局</w:t>
      </w:r>
      <w:r>
        <w:rPr>
          <w:rFonts w:hint="eastAsia" w:ascii="仿宋_GB2312" w:hAnsi="仿宋_GB2312" w:eastAsia="仿宋_GB2312" w:cs="仿宋_GB2312"/>
          <w:sz w:val="32"/>
          <w:szCs w:val="32"/>
        </w:rPr>
        <w:t>。建设坚强韧性能源体系。对电、气、热等市政基础设施保障能力进行规划。打造安全高效、互联互通的绿色智能电网。构建多气并举、安全可靠的燃气输配系统。发展多能互补、绿色低碳的供热体系。持续提升可再生能源利用比重。</w:t>
      </w:r>
    </w:p>
    <w:p w14:paraId="0F7D4CEE">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14:paraId="65CB5EB4">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配合单位：区发展改革委、</w:t>
      </w:r>
      <w:r>
        <w:rPr>
          <w:rFonts w:ascii="仿宋_GB2312" w:hAnsi="仿宋_GB2312" w:eastAsia="仿宋_GB2312" w:cs="仿宋_GB2312"/>
          <w:sz w:val="32"/>
          <w:szCs w:val="32"/>
        </w:rPr>
        <w:t>区供电公司</w:t>
      </w:r>
    </w:p>
    <w:p w14:paraId="712E31DF">
      <w:pPr>
        <w:adjustRightInd w:val="0"/>
        <w:snapToGrid w:val="0"/>
        <w:spacing w:line="560" w:lineRule="exact"/>
        <w:ind w:firstLine="643"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z w:val="32"/>
          <w:szCs w:val="32"/>
        </w:rPr>
        <w:t>26.建立</w:t>
      </w:r>
      <w:r>
        <w:rPr>
          <w:rFonts w:hint="eastAsia" w:ascii="仿宋_GB2312" w:hAnsi="仿宋_GB2312" w:eastAsia="仿宋_GB2312" w:cs="仿宋_GB2312"/>
          <w:b/>
          <w:bCs/>
          <w:sz w:val="32"/>
          <w:szCs w:val="32"/>
          <w:lang w:eastAsia="zh-CN"/>
        </w:rPr>
        <w:t>气候</w:t>
      </w:r>
      <w:r>
        <w:rPr>
          <w:rFonts w:hint="eastAsia" w:ascii="仿宋_GB2312" w:hAnsi="仿宋_GB2312" w:eastAsia="仿宋_GB2312" w:cs="仿宋_GB2312"/>
          <w:b/>
          <w:bCs/>
          <w:sz w:val="32"/>
          <w:szCs w:val="32"/>
        </w:rPr>
        <w:t>适应型能源管理机制。</w:t>
      </w:r>
      <w:r>
        <w:rPr>
          <w:rFonts w:hint="eastAsia" w:ascii="仿宋_GB2312" w:hAnsi="仿宋_GB2312" w:eastAsia="仿宋_GB2312" w:cs="仿宋_GB2312"/>
          <w:kern w:val="0"/>
          <w:sz w:val="32"/>
          <w:szCs w:val="32"/>
          <w:lang w:val="en"/>
        </w:rPr>
        <w:t>研究建立适应气候变化的能源综合保障方案体系,</w:t>
      </w:r>
      <w:r>
        <w:rPr>
          <w:rFonts w:hint="eastAsia" w:ascii="仿宋_GB2312" w:hAnsi="仿宋_GB2312" w:eastAsia="仿宋_GB2312" w:cs="仿宋_GB2312"/>
          <w:kern w:val="0"/>
          <w:sz w:val="32"/>
          <w:szCs w:val="32"/>
        </w:rPr>
        <w:t>健全</w:t>
      </w:r>
      <w:r>
        <w:rPr>
          <w:rFonts w:hint="eastAsia" w:ascii="仿宋_GB2312" w:hAnsi="仿宋_GB2312" w:eastAsia="仿宋_GB2312" w:cs="仿宋_GB2312"/>
          <w:sz w:val="32"/>
          <w:szCs w:val="32"/>
        </w:rPr>
        <w:t>隐患管理台帐动态更新机制。</w:t>
      </w:r>
      <w:r>
        <w:rPr>
          <w:rFonts w:hint="eastAsia" w:ascii="仿宋_GB2312" w:hAnsi="仿宋_GB2312" w:eastAsia="仿宋_GB2312" w:cs="仿宋_GB2312"/>
          <w:spacing w:val="7"/>
          <w:sz w:val="32"/>
          <w:szCs w:val="32"/>
        </w:rPr>
        <w:t>依托智慧能源管理平台，在整合现有电、气、热(冷)资源和服务的基础上，建立区域智慧能源服务体系，</w:t>
      </w:r>
      <w:r>
        <w:rPr>
          <w:rFonts w:hint="eastAsia" w:ascii="仿宋_GB2312" w:hAnsi="仿宋_GB2312" w:eastAsia="仿宋_GB2312" w:cs="仿宋_GB2312"/>
          <w:spacing w:val="8"/>
          <w:sz w:val="32"/>
          <w:szCs w:val="32"/>
        </w:rPr>
        <w:t>优</w:t>
      </w:r>
      <w:r>
        <w:rPr>
          <w:rFonts w:hint="eastAsia" w:ascii="仿宋_GB2312" w:hAnsi="仿宋_GB2312" w:eastAsia="仿宋_GB2312" w:cs="仿宋_GB2312"/>
          <w:spacing w:val="4"/>
          <w:sz w:val="32"/>
          <w:szCs w:val="32"/>
        </w:rPr>
        <w:t>化多种能源协同供给方案。</w:t>
      </w:r>
    </w:p>
    <w:p w14:paraId="6C18B89B">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14:paraId="733DDEB1">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配合单位：区发展改革委、区政务</w:t>
      </w:r>
      <w:r>
        <w:rPr>
          <w:rFonts w:ascii="仿宋_GB2312" w:hAnsi="仿宋_GB2312" w:eastAsia="仿宋_GB2312" w:cs="仿宋_GB2312"/>
          <w:sz w:val="32"/>
          <w:szCs w:val="32"/>
        </w:rPr>
        <w:t>和数据局</w:t>
      </w:r>
    </w:p>
    <w:p w14:paraId="41A2B877">
      <w:pPr>
        <w:pStyle w:val="2"/>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27.</w:t>
      </w:r>
      <w:r>
        <w:rPr>
          <w:rFonts w:hint="eastAsia" w:ascii="仿宋_GB2312" w:hAnsi="仿宋_GB2312" w:eastAsia="仿宋_GB2312" w:cs="仿宋_GB2312"/>
          <w:b/>
          <w:kern w:val="0"/>
          <w:sz w:val="32"/>
          <w:szCs w:val="32"/>
          <w:lang w:val="en"/>
        </w:rPr>
        <w:t>完善城市运行安全监测体系。</w:t>
      </w:r>
      <w:r>
        <w:rPr>
          <w:rFonts w:hint="eastAsia" w:ascii="仿宋_GB2312" w:hAnsi="仿宋_GB2312" w:eastAsia="仿宋_GB2312" w:cs="仿宋_GB2312"/>
          <w:sz w:val="32"/>
          <w:szCs w:val="32"/>
        </w:rPr>
        <w:t>建立副中心城市安全运行监测预警网络。围绕数字孪生城市建设，进一步完善城市副中心现有地下管线可视化和数字化建设成果。强化电、气、热、地下管线（廊）等城市基础设施保护与运行监测，推进生命线系统预警控制自动化，最大限度保障“城市生命线”的安全运行。提升安全生产监管智能化水平。</w:t>
      </w:r>
    </w:p>
    <w:p w14:paraId="452F58DF">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牵头单位：区城市管理委</w:t>
      </w:r>
    </w:p>
    <w:p w14:paraId="20CEAF1D">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配合单位：区发展改革委、区政务</w:t>
      </w:r>
      <w:r>
        <w:rPr>
          <w:rFonts w:ascii="仿宋_GB2312" w:hAnsi="仿宋_GB2312" w:eastAsia="仿宋_GB2312" w:cs="仿宋_GB2312"/>
          <w:sz w:val="32"/>
          <w:szCs w:val="32"/>
        </w:rPr>
        <w:t>和数据局</w:t>
      </w:r>
    </w:p>
    <w:p w14:paraId="4B0798B3">
      <w:pPr>
        <w:pStyle w:val="5"/>
        <w:spacing w:before="0" w:after="0" w:line="560" w:lineRule="exact"/>
        <w:ind w:firstLine="640" w:firstLineChars="200"/>
        <w:rPr>
          <w:rFonts w:ascii="楷体_GB2312" w:hAnsi="楷体_GB2312" w:eastAsia="楷体_GB2312" w:cs="楷体_GB2312"/>
          <w:b w:val="0"/>
          <w:bCs/>
        </w:rPr>
      </w:pPr>
      <w:bookmarkStart w:id="4" w:name="_Toc157784233"/>
      <w:r>
        <w:rPr>
          <w:rFonts w:hint="eastAsia" w:ascii="楷体_GB2312" w:hAnsi="楷体_GB2312" w:eastAsia="楷体_GB2312" w:cs="楷体_GB2312"/>
          <w:b w:val="0"/>
          <w:bCs/>
        </w:rPr>
        <w:t>（七）提升城市水安全保障水平</w:t>
      </w:r>
      <w:bookmarkEnd w:id="4"/>
    </w:p>
    <w:p w14:paraId="203BBF52">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28.加快防洪体系建设。</w:t>
      </w:r>
      <w:r>
        <w:rPr>
          <w:rFonts w:hint="eastAsia" w:ascii="仿宋_GB2312" w:hAnsi="仿宋_GB2312" w:eastAsia="仿宋_GB2312" w:cs="仿宋_GB2312"/>
          <w:sz w:val="32"/>
          <w:szCs w:val="32"/>
        </w:rPr>
        <w:t>构建通州区“一堰、十河、三网、多点、六体系”的防洪排涝格局。</w:t>
      </w:r>
      <w:r>
        <w:rPr>
          <w:rFonts w:hint="eastAsia" w:ascii="仿宋_GB2312" w:hAnsi="仿宋_GB2312" w:eastAsia="仿宋_GB2312" w:cs="仿宋_GB2312"/>
          <w:sz w:val="32"/>
          <w:szCs w:val="32"/>
          <w:lang w:val="en"/>
        </w:rPr>
        <w:t>加快上游规划水库及重要蓄滞洪区建设，</w:t>
      </w:r>
      <w:r>
        <w:rPr>
          <w:rFonts w:hint="eastAsia" w:ascii="仿宋_GB2312" w:hAnsi="仿宋_GB2312" w:eastAsia="仿宋_GB2312" w:cs="仿宋_GB2312"/>
          <w:spacing w:val="8"/>
          <w:sz w:val="32"/>
          <w:szCs w:val="32"/>
        </w:rPr>
        <w:t>基本建成</w:t>
      </w:r>
      <w:r>
        <w:rPr>
          <w:rFonts w:hint="eastAsia" w:ascii="仿宋_GB2312" w:hAnsi="仿宋_GB2312" w:eastAsia="仿宋_GB2312" w:cs="仿宋_GB2312"/>
          <w:spacing w:val="1"/>
          <w:sz w:val="32"/>
          <w:szCs w:val="32"/>
        </w:rPr>
        <w:t>通</w:t>
      </w:r>
      <w:r>
        <w:rPr>
          <w:rFonts w:hint="eastAsia" w:ascii="仿宋_GB2312" w:hAnsi="仿宋_GB2312" w:eastAsia="仿宋_GB2312" w:cs="仿宋_GB2312"/>
          <w:spacing w:val="8"/>
          <w:sz w:val="32"/>
          <w:szCs w:val="32"/>
        </w:rPr>
        <w:t>州堰系列分洪体系，加快实施温潮减河工程，以流域为单元，系统提高潮白河、北运河等河道防洪能力，结</w:t>
      </w:r>
      <w:r>
        <w:rPr>
          <w:rFonts w:hint="eastAsia" w:ascii="仿宋_GB2312" w:hAnsi="仿宋_GB2312" w:eastAsia="仿宋_GB2312" w:cs="仿宋_GB2312"/>
          <w:spacing w:val="5"/>
          <w:sz w:val="32"/>
          <w:szCs w:val="32"/>
        </w:rPr>
        <w:t>合</w:t>
      </w:r>
      <w:r>
        <w:rPr>
          <w:rFonts w:hint="eastAsia" w:ascii="仿宋_GB2312" w:hAnsi="仿宋_GB2312" w:eastAsia="仿宋_GB2312" w:cs="仿宋_GB2312"/>
          <w:spacing w:val="18"/>
          <w:sz w:val="32"/>
          <w:szCs w:val="32"/>
        </w:rPr>
        <w:t>大</w:t>
      </w:r>
      <w:r>
        <w:rPr>
          <w:rFonts w:hint="eastAsia" w:ascii="仿宋_GB2312" w:hAnsi="仿宋_GB2312" w:eastAsia="仿宋_GB2312" w:cs="仿宋_GB2312"/>
          <w:spacing w:val="13"/>
          <w:sz w:val="32"/>
          <w:szCs w:val="32"/>
        </w:rPr>
        <w:t>型</w:t>
      </w:r>
      <w:r>
        <w:rPr>
          <w:rFonts w:hint="eastAsia" w:ascii="仿宋_GB2312" w:hAnsi="仿宋_GB2312" w:eastAsia="仿宋_GB2312" w:cs="仿宋_GB2312"/>
          <w:spacing w:val="9"/>
          <w:sz w:val="32"/>
          <w:szCs w:val="32"/>
        </w:rPr>
        <w:t>湿地与森林公园建设，合理设置、扎实建设蓄滞洪区，完善整体防洪安全格局，</w:t>
      </w:r>
      <w:r>
        <w:rPr>
          <w:rFonts w:hint="eastAsia" w:ascii="仿宋_GB2312" w:hAnsi="仿宋_GB2312" w:eastAsia="仿宋_GB2312" w:cs="仿宋_GB2312"/>
          <w:sz w:val="32"/>
          <w:szCs w:val="32"/>
        </w:rPr>
        <w:t>达到二百年一遇防洪标准。</w:t>
      </w:r>
    </w:p>
    <w:p w14:paraId="5965BF29">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牵头单位：区水务局</w:t>
      </w:r>
    </w:p>
    <w:p w14:paraId="16F09DC5">
      <w:pPr>
        <w:pStyle w:val="2"/>
        <w:spacing w:after="0" w:line="560" w:lineRule="exact"/>
        <w:ind w:firstLine="640" w:firstLineChars="200"/>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r>
        <w:rPr>
          <w:rFonts w:hint="eastAsia" w:ascii="仿宋_GB2312" w:hAnsi="仿宋_GB2312" w:eastAsia="仿宋_GB2312" w:cs="仿宋_GB2312"/>
          <w:sz w:val="32"/>
          <w:szCs w:val="32"/>
        </w:rPr>
        <w:t>区发展改革委、区园林绿化局、区财政局</w:t>
      </w:r>
    </w:p>
    <w:p w14:paraId="6F8C4F75">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29.提高城市排涝能力。</w:t>
      </w:r>
      <w:r>
        <w:rPr>
          <w:rFonts w:hint="eastAsia" w:ascii="仿宋_GB2312" w:hAnsi="仿宋_GB2312" w:eastAsia="仿宋_GB2312" w:cs="仿宋_GB2312"/>
          <w:sz w:val="32"/>
          <w:szCs w:val="32"/>
        </w:rPr>
        <w:t>加快实施主要排涝河道综合治理、规划蓄涝区及排涝泵站建设，提高城市排涝能力。推进通州区雨污分流改造和雨水管道提标。优化再生水供用结构，提升降雨就地消纳和利用比例。</w:t>
      </w:r>
    </w:p>
    <w:p w14:paraId="0740BB0A">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牵头单位：区水务局</w:t>
      </w:r>
    </w:p>
    <w:p w14:paraId="5655E3B8">
      <w:pPr>
        <w:pStyle w:val="2"/>
        <w:spacing w:after="0" w:line="560" w:lineRule="exact"/>
        <w:ind w:firstLine="640" w:firstLineChars="200"/>
        <w:rPr>
          <w:rFonts w:eastAsia="仿宋_GB2312"/>
        </w:rPr>
      </w:pPr>
      <w:r>
        <w:rPr>
          <w:rFonts w:hint="eastAsia" w:ascii="仿宋_GB2312" w:hAnsi="仿宋_GB2312" w:eastAsia="仿宋_GB2312" w:cs="仿宋_GB2312"/>
          <w:sz w:val="32"/>
          <w:szCs w:val="32"/>
        </w:rPr>
        <w:t>配合单位：区城市管理委、区交通委、</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p>
    <w:p w14:paraId="0FE78B5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30.</w:t>
      </w:r>
      <w:r>
        <w:rPr>
          <w:rFonts w:hint="eastAsia" w:ascii="仿宋_GB2312" w:hAnsi="仿宋_GB2312" w:eastAsia="仿宋_GB2312" w:cs="仿宋_GB2312"/>
          <w:b/>
          <w:kern w:val="0"/>
          <w:sz w:val="32"/>
          <w:szCs w:val="32"/>
          <w:lang w:val="en"/>
        </w:rPr>
        <w:t>持续提升水生态环境。</w:t>
      </w:r>
      <w:r>
        <w:rPr>
          <w:rFonts w:hint="eastAsia" w:ascii="仿宋_GB2312" w:hAnsi="仿宋_GB2312" w:eastAsia="仿宋_GB2312" w:cs="仿宋_GB2312"/>
          <w:sz w:val="32"/>
          <w:szCs w:val="32"/>
        </w:rPr>
        <w:t>持续完善“三网、四带、多水面、多湿地”水系格局，开展连续贯通的水生态带及生态滨水岸线建设，系统提升水面生态功能。划定河道、蓄滞洪区水生态管控空间。严控各类与水生态空间主体功能不符的新增建设项目。统筹推进河湖水生态保护修复和地下水超采综合治理，持续实施流域生态补水，保障北运河、潮白河等生态水量，精准回补地下水储备区，推动实现地表地下协同修复。</w:t>
      </w:r>
    </w:p>
    <w:p w14:paraId="71406431">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牵头单位：区水务局</w:t>
      </w:r>
    </w:p>
    <w:p w14:paraId="74918C3A">
      <w:pPr>
        <w:pStyle w:val="2"/>
        <w:spacing w:after="0" w:line="560" w:lineRule="exact"/>
        <w:ind w:firstLine="640" w:firstLineChars="200"/>
      </w:pPr>
      <w:r>
        <w:rPr>
          <w:rFonts w:hint="eastAsia" w:ascii="仿宋_GB2312" w:hAnsi="仿宋_GB2312" w:eastAsia="仿宋_GB2312" w:cs="仿宋_GB2312"/>
          <w:sz w:val="32"/>
          <w:szCs w:val="32"/>
        </w:rPr>
        <w:t>配合单位：区生态环境局、</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r>
        <w:rPr>
          <w:rFonts w:hint="eastAsia" w:ascii="仿宋_GB2312" w:hAnsi="仿宋_GB2312" w:eastAsia="仿宋_GB2312" w:cs="仿宋_GB2312"/>
          <w:sz w:val="32"/>
          <w:szCs w:val="32"/>
        </w:rPr>
        <w:t>区园林绿化局</w:t>
      </w:r>
    </w:p>
    <w:p w14:paraId="33ED04FC">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31.深化海绵城市建设。</w:t>
      </w:r>
      <w:r>
        <w:rPr>
          <w:rFonts w:hint="eastAsia" w:ascii="仿宋_GB2312" w:hAnsi="仿宋_GB2312" w:eastAsia="仿宋_GB2312" w:cs="仿宋_GB2312"/>
          <w:sz w:val="32"/>
          <w:szCs w:val="32"/>
        </w:rPr>
        <w:t>全面落实海绵城市建设要求，结合未来气候变化影响，推进城市副中心雨污分流改造和雨水管道提标。充分发挥海绵城市试点区带动作用，在文化旅游区、运河商务区、城市绿心等重点区域推广海绵城市建设试点经验。</w:t>
      </w:r>
    </w:p>
    <w:p w14:paraId="7D9F7613">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牵头单位：区水务局</w:t>
      </w:r>
    </w:p>
    <w:p w14:paraId="1F7F2809">
      <w:pPr>
        <w:pStyle w:val="18"/>
        <w:widowControl w:val="0"/>
        <w:spacing w:line="560" w:lineRule="exact"/>
        <w:ind w:firstLine="640"/>
        <w:rPr>
          <w:rFonts w:ascii="仿宋_GB2312" w:hAnsi="仿宋_GB2312" w:eastAsia="仿宋_GB2312" w:cs="仿宋_GB2312"/>
          <w:spacing w:val="14"/>
          <w:kern w:val="0"/>
          <w:szCs w:val="24"/>
          <w:lang w:val="zh-CN"/>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14"/>
          <w:kern w:val="0"/>
          <w:sz w:val="32"/>
          <w:szCs w:val="32"/>
          <w:lang w:val="zh-CN"/>
        </w:rPr>
        <w:t>区园林绿化局、区城市管理委、</w:t>
      </w:r>
      <w:r>
        <w:rPr>
          <w:rFonts w:hint="eastAsia" w:ascii="仿宋_GB2312" w:hAnsi="仿宋_GB2312" w:eastAsia="仿宋_GB2312" w:cs="仿宋_GB2312"/>
          <w:sz w:val="32"/>
          <w:szCs w:val="32"/>
        </w:rPr>
        <w:t>区住房城乡建设委</w:t>
      </w:r>
    </w:p>
    <w:p w14:paraId="49D9CF2B">
      <w:pPr>
        <w:adjustRightInd w:val="0"/>
        <w:snapToGrid w:val="0"/>
        <w:spacing w:line="560" w:lineRule="exact"/>
        <w:ind w:firstLine="643" w:firstLineChars="200"/>
        <w:rPr>
          <w:rFonts w:ascii="仿宋_GB2312" w:hAnsi="仿宋_GB2312" w:eastAsia="仿宋_GB2312" w:cs="仿宋_GB2312"/>
          <w:sz w:val="32"/>
          <w:szCs w:val="32"/>
          <w:lang w:val="en"/>
        </w:rPr>
      </w:pPr>
      <w:r>
        <w:rPr>
          <w:rFonts w:hint="eastAsia" w:ascii="仿宋_GB2312" w:hAnsi="仿宋_GB2312" w:eastAsia="仿宋_GB2312" w:cs="仿宋_GB2312"/>
          <w:b/>
          <w:bCs/>
          <w:sz w:val="32"/>
          <w:szCs w:val="32"/>
        </w:rPr>
        <w:t>32.</w:t>
      </w:r>
      <w:r>
        <w:rPr>
          <w:rFonts w:hint="eastAsia" w:ascii="仿宋_GB2312" w:hAnsi="仿宋_GB2312" w:eastAsia="仿宋_GB2312" w:cs="仿宋_GB2312"/>
          <w:b/>
          <w:bCs/>
          <w:sz w:val="32"/>
          <w:szCs w:val="32"/>
          <w:lang w:val="en"/>
        </w:rPr>
        <w:t>提升水资源安全保障能力。</w:t>
      </w:r>
      <w:r>
        <w:rPr>
          <w:rFonts w:hint="eastAsia" w:ascii="仿宋_GB2312" w:hAnsi="仿宋_GB2312" w:eastAsia="仿宋_GB2312" w:cs="仿宋_GB2312"/>
          <w:sz w:val="32"/>
          <w:szCs w:val="32"/>
          <w:lang w:val="en"/>
        </w:rPr>
        <w:t>动态更新全区饮用水水源地取水井、取水量等数据并实现共享，定期开展全区饮用水水源地环境状况年度调查评估。完善通州区“多水源、多水路”水源保障格局，提高城市供水安全保障。</w:t>
      </w:r>
    </w:p>
    <w:p w14:paraId="2854C746">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牵头单位：区水务局</w:t>
      </w:r>
    </w:p>
    <w:p w14:paraId="6D5071AA">
      <w:pPr>
        <w:spacing w:line="560" w:lineRule="exact"/>
        <w:ind w:firstLine="640" w:firstLineChars="200"/>
        <w:rPr>
          <w:rFonts w:ascii="仿宋_GB2312" w:hAnsi="仿宋_GB2312" w:eastAsia="仿宋_GB2312" w:cs="仿宋_GB2312"/>
          <w:spacing w:val="14"/>
          <w:kern w:val="0"/>
          <w:sz w:val="24"/>
          <w:szCs w:val="24"/>
          <w:lang w:val="zh-CN"/>
        </w:rPr>
      </w:pPr>
      <w:r>
        <w:rPr>
          <w:rFonts w:hint="eastAsia" w:ascii="仿宋_GB2312" w:hAnsi="仿宋_GB2312" w:eastAsia="仿宋_GB2312" w:cs="仿宋_GB2312"/>
          <w:sz w:val="32"/>
          <w:szCs w:val="32"/>
        </w:rPr>
        <w:t>配合单位：区生态环境局、各街道乡镇</w:t>
      </w:r>
    </w:p>
    <w:p w14:paraId="2DD8B336">
      <w:pPr>
        <w:pStyle w:val="5"/>
        <w:numPr>
          <w:ilvl w:val="255"/>
          <w:numId w:val="0"/>
        </w:numPr>
        <w:spacing w:before="0" w:after="0" w:line="560" w:lineRule="exact"/>
        <w:ind w:firstLine="640" w:firstLineChars="200"/>
        <w:rPr>
          <w:rFonts w:ascii="楷体_GB2312" w:hAnsi="楷体_GB2312" w:eastAsia="楷体_GB2312" w:cs="楷体_GB2312"/>
          <w:b w:val="0"/>
          <w:bCs/>
        </w:rPr>
      </w:pPr>
      <w:bookmarkStart w:id="5" w:name="_Toc157784234"/>
      <w:r>
        <w:rPr>
          <w:rFonts w:hint="eastAsia" w:ascii="楷体_GB2312" w:hAnsi="楷体_GB2312" w:eastAsia="楷体_GB2312" w:cs="楷体_GB2312"/>
          <w:b w:val="0"/>
          <w:bCs/>
        </w:rPr>
        <w:t>（八）保障城市交通安全运行</w:t>
      </w:r>
      <w:bookmarkEnd w:id="5"/>
      <w:bookmarkStart w:id="6" w:name="_Toc157784236"/>
    </w:p>
    <w:p w14:paraId="044BA0E8">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33.完善通达顺畅的道路交通。</w:t>
      </w:r>
      <w:r>
        <w:rPr>
          <w:rFonts w:hint="eastAsia" w:ascii="仿宋_GB2312" w:hAnsi="仿宋_GB2312" w:eastAsia="仿宋_GB2312" w:cs="仿宋_GB2312"/>
          <w:sz w:val="32"/>
          <w:szCs w:val="32"/>
        </w:rPr>
        <w:t>建成“十一横九纵”骨干路网体系，加强北京城市副中心核心区与各城乡组团之间的通道建设。建设智慧交通系统，利用大数据动态优化信号灯配时方案，提升通行效率，提升绿色出行比例。</w:t>
      </w:r>
    </w:p>
    <w:p w14:paraId="0B32074F">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牵头单位：区交通委</w:t>
      </w:r>
    </w:p>
    <w:p w14:paraId="671DA577">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配合单位：区交通支队、区政务</w:t>
      </w:r>
      <w:r>
        <w:rPr>
          <w:rFonts w:ascii="仿宋_GB2312" w:hAnsi="仿宋_GB2312" w:eastAsia="仿宋_GB2312" w:cs="仿宋_GB2312"/>
          <w:sz w:val="32"/>
          <w:szCs w:val="32"/>
        </w:rPr>
        <w:t>和数据局</w:t>
      </w:r>
    </w:p>
    <w:p w14:paraId="74549F1E">
      <w:pPr>
        <w:pStyle w:val="2"/>
        <w:spacing w:after="0" w:line="560" w:lineRule="exact"/>
        <w:ind w:firstLine="643" w:firstLineChars="200"/>
        <w:rPr>
          <w:rFonts w:ascii="仿宋_GB2312" w:hAnsi="仿宋_GB2312" w:eastAsia="仿宋_GB2312" w:cs="仿宋_GB2312"/>
          <w:kern w:val="0"/>
          <w:sz w:val="32"/>
          <w:szCs w:val="32"/>
          <w:lang w:val="en"/>
        </w:rPr>
      </w:pPr>
      <w:r>
        <w:rPr>
          <w:rFonts w:hint="eastAsia" w:ascii="仿宋_GB2312" w:hAnsi="仿宋_GB2312" w:eastAsia="仿宋_GB2312" w:cs="仿宋_GB2312"/>
          <w:b/>
          <w:bCs/>
          <w:sz w:val="32"/>
          <w:szCs w:val="32"/>
        </w:rPr>
        <w:t>34.打造韧性交通道路体系</w:t>
      </w:r>
      <w:r>
        <w:rPr>
          <w:rFonts w:hint="eastAsia" w:ascii="仿宋_GB2312" w:hAnsi="仿宋_GB2312" w:eastAsia="仿宋_GB2312" w:cs="仿宋_GB2312"/>
          <w:sz w:val="32"/>
          <w:szCs w:val="32"/>
        </w:rPr>
        <w:t>。完善气候变化对交通道路、轨道、候车点位以及地下通道等配套设施的影响和风险评估。</w:t>
      </w:r>
      <w:r>
        <w:rPr>
          <w:rFonts w:hint="eastAsia" w:ascii="仿宋_GB2312" w:hAnsi="仿宋_GB2312" w:eastAsia="仿宋_GB2312" w:cs="仿宋_GB2312"/>
          <w:kern w:val="0"/>
          <w:sz w:val="32"/>
          <w:szCs w:val="32"/>
          <w:lang w:val="en"/>
        </w:rPr>
        <w:t>提升关键交通基础设施平安防护能力，强化设施养护和运行监测检测，提高城市交通设施耐久性和可靠性。</w:t>
      </w:r>
    </w:p>
    <w:p w14:paraId="65DE71C7">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牵头单位：区公路分局</w:t>
      </w:r>
    </w:p>
    <w:p w14:paraId="5E908511">
      <w:pPr>
        <w:pStyle w:val="18"/>
        <w:widowControl w:val="0"/>
        <w:spacing w:line="56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配合单位：区交通委、区城市管理委</w:t>
      </w:r>
    </w:p>
    <w:p w14:paraId="27973D8F">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35.提升交通领域防灾抗灾能力。</w:t>
      </w:r>
      <w:r>
        <w:rPr>
          <w:rFonts w:hint="eastAsia" w:ascii="仿宋_GB2312" w:hAnsi="仿宋_GB2312" w:eastAsia="仿宋_GB2312" w:cs="仿宋_GB2312"/>
          <w:sz w:val="32"/>
          <w:szCs w:val="32"/>
        </w:rPr>
        <w:t>完善交通运输安全风险防控机制，提升应对极端天气气候事件的应急救援和搜救打捞能力。完善城市应急通道网络，构建四级应急通道网络和“主+副”两类出入口组成的城市疏散救援道路体系。</w:t>
      </w:r>
    </w:p>
    <w:p w14:paraId="27873516">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牵头单位：区交通委</w:t>
      </w:r>
    </w:p>
    <w:p w14:paraId="0ED39978">
      <w:pPr>
        <w:spacing w:line="560" w:lineRule="exact"/>
        <w:ind w:firstLine="640" w:firstLineChars="200"/>
      </w:pPr>
      <w:r>
        <w:rPr>
          <w:rFonts w:hint="eastAsia" w:ascii="仿宋_GB2312" w:hAnsi="仿宋_GB2312" w:eastAsia="仿宋_GB2312" w:cs="仿宋_GB2312"/>
          <w:sz w:val="32"/>
          <w:szCs w:val="32"/>
        </w:rPr>
        <w:t>配合单位：区应急管理局、区气象局、区</w:t>
      </w:r>
      <w:r>
        <w:rPr>
          <w:rFonts w:ascii="仿宋_GB2312" w:hAnsi="仿宋_GB2312" w:eastAsia="仿宋_GB2312" w:cs="仿宋_GB2312"/>
          <w:sz w:val="32"/>
          <w:szCs w:val="32"/>
        </w:rPr>
        <w:t>财政局</w:t>
      </w:r>
    </w:p>
    <w:p w14:paraId="6D708A3A">
      <w:pPr>
        <w:pStyle w:val="5"/>
        <w:spacing w:before="0" w:after="0" w:line="560" w:lineRule="exact"/>
        <w:ind w:firstLine="640" w:firstLineChars="200"/>
        <w:rPr>
          <w:rFonts w:ascii="楷体_GB2312" w:hAnsi="楷体_GB2312" w:eastAsia="楷体_GB2312" w:cs="楷体_GB2312"/>
          <w:b w:val="0"/>
          <w:bCs/>
        </w:rPr>
      </w:pPr>
      <w:bookmarkStart w:id="7" w:name="_Toc157784235"/>
      <w:r>
        <w:rPr>
          <w:rFonts w:hint="eastAsia" w:ascii="楷体_GB2312" w:hAnsi="楷体_GB2312" w:eastAsia="楷体_GB2312" w:cs="楷体_GB2312"/>
          <w:b w:val="0"/>
          <w:bCs/>
        </w:rPr>
        <w:t>（九）提升城市生态系统服务功能</w:t>
      </w:r>
      <w:bookmarkEnd w:id="7"/>
    </w:p>
    <w:p w14:paraId="439786FA">
      <w:pPr>
        <w:pStyle w:val="15"/>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36.建设蓝绿交织的生态屏障。</w:t>
      </w:r>
      <w:r>
        <w:rPr>
          <w:rFonts w:hint="eastAsia" w:ascii="仿宋_GB2312" w:hAnsi="仿宋_GB2312" w:eastAsia="仿宋_GB2312" w:cs="仿宋_GB2312"/>
          <w:sz w:val="32"/>
          <w:szCs w:val="32"/>
        </w:rPr>
        <w:t>加快建设“一心、一环、两带、两区”的城市绿色空间格局，推进东西部生态绿带和南北生态廊道控制区建设，全面增加通州区绿色空间总量。构建林田水湿河融合发展的区域生态系统。</w:t>
      </w:r>
    </w:p>
    <w:p w14:paraId="1760E1E2">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牵头单位：区园林绿化局</w:t>
      </w:r>
    </w:p>
    <w:p w14:paraId="16A78944">
      <w:pPr>
        <w:spacing w:line="560" w:lineRule="exact"/>
        <w:ind w:firstLine="640" w:firstLineChars="200"/>
        <w:rPr>
          <w:rFonts w:eastAsia="仿宋_GB231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p>
    <w:p w14:paraId="2C73CAB7">
      <w:pPr>
        <w:pStyle w:val="15"/>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37.强化生态系统功能。</w:t>
      </w:r>
      <w:r>
        <w:rPr>
          <w:rFonts w:ascii="仿宋_GB2312" w:hAnsi="仿宋_GB2312" w:eastAsia="仿宋_GB2312" w:cs="仿宋_GB2312"/>
          <w:sz w:val="32"/>
          <w:szCs w:val="32"/>
        </w:rPr>
        <w:t>通过全域公园体系、生态景观带、环城游憩带等项目实施，提升森林生态服务功能价值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培育近自然、复层、异龄、混交的多功能森林生态系统。加强平原生态林的分级分类经营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提高林地生产力和森林质量及服务功能</w:t>
      </w:r>
      <w:r>
        <w:rPr>
          <w:rFonts w:hint="eastAsia" w:ascii="仿宋_GB2312" w:hAnsi="仿宋_GB2312" w:eastAsia="仿宋_GB2312" w:cs="仿宋_GB2312"/>
          <w:sz w:val="32"/>
          <w:szCs w:val="32"/>
        </w:rPr>
        <w:t>。</w:t>
      </w:r>
    </w:p>
    <w:p w14:paraId="36FFF09F">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牵头单位：区园林绿化局</w:t>
      </w:r>
    </w:p>
    <w:p w14:paraId="67ED96D0">
      <w:pPr>
        <w:spacing w:line="560" w:lineRule="exact"/>
        <w:ind w:firstLine="640" w:firstLineChars="200"/>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通州分局、区生态环境局</w:t>
      </w:r>
    </w:p>
    <w:p w14:paraId="3E5EC94A">
      <w:pPr>
        <w:pStyle w:val="15"/>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38.加强生物多样性保护。</w:t>
      </w:r>
      <w:r>
        <w:rPr>
          <w:rFonts w:hint="eastAsia" w:ascii="仿宋_GB2312" w:hAnsi="仿宋_GB2312" w:eastAsia="仿宋_GB2312" w:cs="仿宋_GB2312"/>
          <w:spacing w:val="13"/>
          <w:sz w:val="32"/>
          <w:szCs w:val="32"/>
        </w:rPr>
        <w:t>统</w:t>
      </w:r>
      <w:r>
        <w:rPr>
          <w:rFonts w:hint="eastAsia" w:ascii="仿宋_GB2312" w:hAnsi="仿宋_GB2312" w:eastAsia="仿宋_GB2312" w:cs="仿宋_GB2312"/>
          <w:spacing w:val="10"/>
          <w:sz w:val="32"/>
          <w:szCs w:val="32"/>
        </w:rPr>
        <w:t>筹考虑通州区气候条件及增加生态碳汇客观要求，优化植物选种配置，完善绿色空间格局，营造多</w:t>
      </w:r>
      <w:r>
        <w:rPr>
          <w:rFonts w:hint="eastAsia" w:ascii="仿宋_GB2312" w:hAnsi="仿宋_GB2312" w:eastAsia="仿宋_GB2312" w:cs="仿宋_GB2312"/>
          <w:spacing w:val="9"/>
          <w:sz w:val="32"/>
          <w:szCs w:val="32"/>
        </w:rPr>
        <w:t>样</w:t>
      </w:r>
      <w:r>
        <w:rPr>
          <w:rFonts w:hint="eastAsia" w:ascii="仿宋_GB2312" w:hAnsi="仿宋_GB2312" w:eastAsia="仿宋_GB2312" w:cs="仿宋_GB2312"/>
          <w:spacing w:val="8"/>
          <w:sz w:val="32"/>
          <w:szCs w:val="32"/>
        </w:rPr>
        <w:t>化植被环境。</w:t>
      </w:r>
      <w:r>
        <w:rPr>
          <w:rFonts w:hint="eastAsia" w:ascii="仿宋_GB2312" w:hAnsi="仿宋_GB2312" w:eastAsia="仿宋_GB2312" w:cs="仿宋_GB2312"/>
          <w:sz w:val="32"/>
          <w:szCs w:val="32"/>
        </w:rPr>
        <w:t>围绕潮白河、温榆河等河流水系，修复滨水湿地生态，建设亲水风景长廊，增加鸟类栖息生境空间。强化生物多样性保护，优化自然保护地体系，构建多层级生态廊道，推动建设生物多样性城市。</w:t>
      </w:r>
    </w:p>
    <w:p w14:paraId="6740E174">
      <w:pPr>
        <w:spacing w:line="560" w:lineRule="exact"/>
        <w:ind w:firstLine="640" w:firstLineChars="200"/>
        <w:rPr>
          <w:rFonts w:eastAsia="仿宋_GB2312"/>
        </w:rPr>
      </w:pPr>
      <w:r>
        <w:rPr>
          <w:rFonts w:hint="eastAsia" w:ascii="仿宋_GB2312" w:hAnsi="仿宋_GB2312" w:eastAsia="仿宋_GB2312" w:cs="仿宋_GB2312"/>
          <w:sz w:val="32"/>
          <w:szCs w:val="32"/>
        </w:rPr>
        <w:t>牵头单位：区园林绿化局</w:t>
      </w:r>
    </w:p>
    <w:p w14:paraId="2B948BF0">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区生态环境局、</w:t>
      </w:r>
      <w:r>
        <w:rPr>
          <w:rFonts w:hint="eastAsia" w:ascii="仿宋_GB2312" w:hAnsi="仿宋_GB2312" w:eastAsia="仿宋_GB2312" w:cs="仿宋_GB2312"/>
          <w:sz w:val="32"/>
          <w:szCs w:val="32"/>
        </w:rPr>
        <w:t>区水务局、</w:t>
      </w:r>
      <w:r>
        <w:rPr>
          <w:rFonts w:ascii="仿宋_GB2312" w:hAnsi="仿宋_GB2312" w:eastAsia="仿宋_GB2312" w:cs="仿宋_GB2312"/>
          <w:sz w:val="32"/>
          <w:szCs w:val="32"/>
        </w:rPr>
        <w:t>区农业农村局、</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规划自然资源委</w:t>
      </w:r>
      <w:r>
        <w:rPr>
          <w:rFonts w:hint="eastAsia" w:ascii="仿宋_GB2312" w:hAnsi="仿宋_GB2312" w:eastAsia="仿宋_GB2312" w:cs="仿宋_GB2312"/>
          <w:spacing w:val="2"/>
          <w:sz w:val="32"/>
          <w:szCs w:val="32"/>
        </w:rPr>
        <w:t>通州分局</w:t>
      </w:r>
    </w:p>
    <w:p w14:paraId="4A0D37C9">
      <w:pPr>
        <w:pStyle w:val="15"/>
        <w:spacing w:line="560"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39.推动碳汇减排技术创新</w:t>
      </w:r>
      <w:r>
        <w:rPr>
          <w:rFonts w:hint="eastAsia" w:ascii="仿宋_GB2312" w:hAnsi="仿宋_GB2312" w:eastAsia="仿宋_GB2312" w:cs="仿宋_GB2312"/>
          <w:sz w:val="32"/>
          <w:szCs w:val="32"/>
        </w:rPr>
        <w:t>。研究摸清区域林地、绿地、湿地等生态资源碳储量和碳汇底数。</w:t>
      </w:r>
      <w:r>
        <w:rPr>
          <w:rFonts w:ascii="仿宋_GB2312" w:hAnsi="仿宋_GB2312" w:eastAsia="仿宋_GB2312" w:cs="仿宋_GB2312"/>
          <w:sz w:val="32"/>
          <w:szCs w:val="32"/>
        </w:rPr>
        <w:t>围绕林草碳汇科技创新，推进不同生态系统增汇减排技术研究</w:t>
      </w:r>
      <w:r>
        <w:rPr>
          <w:rFonts w:hint="eastAsia" w:ascii="仿宋_GB2312" w:hAnsi="仿宋_GB2312" w:eastAsia="仿宋_GB2312" w:cs="仿宋_GB2312"/>
          <w:sz w:val="32"/>
          <w:szCs w:val="32"/>
        </w:rPr>
        <w:t>。采用生态措施治理林地、绿地、湿地，助力区域高质量碳中和示范区建设，打造固碳增汇助力碳中和行动特色模式。</w:t>
      </w:r>
    </w:p>
    <w:p w14:paraId="7A9A29E8">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牵头单位：区园林绿化局</w:t>
      </w:r>
    </w:p>
    <w:p w14:paraId="27216483">
      <w:pPr>
        <w:spacing w:line="560" w:lineRule="exact"/>
        <w:ind w:firstLine="640" w:firstLineChars="200"/>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区生态环境局</w:t>
      </w:r>
    </w:p>
    <w:p w14:paraId="6DBCC327">
      <w:pPr>
        <w:pStyle w:val="5"/>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（十）推进城市气候变化健康适应行动</w:t>
      </w:r>
    </w:p>
    <w:p w14:paraId="2C93E7A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40.持续开展空气污染对人群健康影响监测与防护项目。</w:t>
      </w:r>
      <w:r>
        <w:rPr>
          <w:rFonts w:hint="eastAsia" w:ascii="仿宋_GB2312" w:hAnsi="仿宋_GB2312" w:eastAsia="仿宋_GB2312" w:cs="仿宋_GB2312"/>
          <w:sz w:val="32"/>
          <w:szCs w:val="32"/>
        </w:rPr>
        <w:t>通过长期、连续的空气监测，建立通州区空气污染对人群健康影响监测网络，通过对空气质量、气象条件等监测数据，构建单污染物或多污染</w:t>
      </w:r>
      <w:r>
        <w:rPr>
          <w:rFonts w:hint="eastAsia" w:ascii="仿宋_GB2312" w:hAnsi="仿宋_GB2312" w:eastAsia="仿宋_GB2312" w:cs="仿宋_GB2312"/>
          <w:sz w:val="32"/>
          <w:szCs w:val="32"/>
          <w:lang w:val="en-US" w:eastAsia="zh-CN"/>
        </w:rPr>
        <w:t>物</w:t>
      </w:r>
      <w:r>
        <w:rPr>
          <w:rFonts w:hint="eastAsia" w:ascii="仿宋_GB2312" w:hAnsi="仿宋_GB2312" w:eastAsia="仿宋_GB2312" w:cs="仿宋_GB2312"/>
          <w:sz w:val="32"/>
          <w:szCs w:val="32"/>
        </w:rPr>
        <w:t>模型，逐步开展人群呼吸系统疾病和循环系统疾病与环境气象条件的相关性分析评估，为采取有效干预措施提供科学依据。</w:t>
      </w:r>
    </w:p>
    <w:p w14:paraId="73999389">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牵头单位：区卫生健康委</w:t>
      </w:r>
    </w:p>
    <w:p w14:paraId="3B6F81A1">
      <w:pPr>
        <w:pStyle w:val="18"/>
        <w:widowControl w:val="0"/>
        <w:spacing w:line="560" w:lineRule="exact"/>
        <w:ind w:firstLine="640"/>
      </w:pPr>
      <w:r>
        <w:rPr>
          <w:rFonts w:hint="eastAsia" w:ascii="仿宋_GB2312" w:hAnsi="仿宋_GB2312" w:eastAsia="仿宋_GB2312" w:cs="仿宋_GB2312"/>
          <w:sz w:val="32"/>
          <w:szCs w:val="32"/>
        </w:rPr>
        <w:t>配合单位：</w:t>
      </w:r>
      <w:r>
        <w:rPr>
          <w:rFonts w:hint="eastAsia" w:ascii="仿宋_GB2312" w:hAnsi="仿宋_GB2312" w:eastAsia="仿宋_GB2312" w:cs="仿宋_GB2312"/>
          <w:spacing w:val="2"/>
          <w:sz w:val="32"/>
          <w:szCs w:val="32"/>
        </w:rPr>
        <w:t>区生态环境局</w:t>
      </w:r>
    </w:p>
    <w:p w14:paraId="726FE5C0">
      <w:pPr>
        <w:pStyle w:val="8"/>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41.提升气候变化健康风险意识。</w:t>
      </w:r>
      <w:r>
        <w:rPr>
          <w:rFonts w:hint="eastAsia" w:ascii="仿宋_GB2312" w:hAnsi="仿宋_GB2312" w:eastAsia="仿宋_GB2312" w:cs="仿宋_GB2312"/>
          <w:sz w:val="32"/>
          <w:szCs w:val="32"/>
        </w:rPr>
        <w:t>加强对气候变化健康风险的普及应对措施讲解。聚焦脆弱人群，每年对小学生进行季节性健康数据征集，开展冬季雾霾及大气污染物对小学生健康影响的研究。</w:t>
      </w:r>
    </w:p>
    <w:p w14:paraId="5A18B553">
      <w:pPr>
        <w:pStyle w:val="18"/>
        <w:widowControl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牵头单位：区卫生健康委</w:t>
      </w:r>
    </w:p>
    <w:p w14:paraId="70C4DF4B">
      <w:pPr>
        <w:spacing w:line="56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配合单位：区气象局、</w:t>
      </w:r>
      <w:r>
        <w:rPr>
          <w:rFonts w:hint="eastAsia" w:ascii="仿宋_GB2312" w:hAnsi="仿宋_GB2312" w:eastAsia="仿宋_GB2312" w:cs="仿宋_GB2312"/>
          <w:spacing w:val="2"/>
          <w:sz w:val="32"/>
          <w:szCs w:val="32"/>
        </w:rPr>
        <w:t>区生态环境局</w:t>
      </w:r>
      <w:bookmarkEnd w:id="6"/>
    </w:p>
    <w:p w14:paraId="5CE8405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14:paraId="100EE146">
      <w:pPr>
        <w:pStyle w:val="5"/>
        <w:adjustRightInd w:val="0"/>
        <w:snapToGrid w:val="0"/>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（一）加强组织领导</w:t>
      </w:r>
    </w:p>
    <w:p w14:paraId="494B6607">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区生态环境局负责深化气候适应型城市试点建设整体工作统筹协调，各部门按照职责分工和任务要求，认真抓好贯彻执行。根据试点建设实际需要，及时组织召开联席会议，针对试点建设过程</w:t>
      </w:r>
      <w:r>
        <w:rPr>
          <w:rFonts w:hint="eastAsia" w:ascii="仿宋_GB2312" w:hAnsi="仿宋_GB2312" w:eastAsia="仿宋_GB2312" w:cs="仿宋_GB2312"/>
          <w:bCs/>
          <w:sz w:val="32"/>
          <w:szCs w:val="32"/>
        </w:rPr>
        <w:t>中</w:t>
      </w:r>
      <w:r>
        <w:rPr>
          <w:rFonts w:ascii="仿宋_GB2312" w:hAnsi="仿宋_GB2312" w:eastAsia="仿宋_GB2312" w:cs="仿宋_GB2312"/>
          <w:bCs/>
          <w:sz w:val="32"/>
          <w:szCs w:val="32"/>
        </w:rPr>
        <w:t>的重点难点</w:t>
      </w:r>
      <w:r>
        <w:rPr>
          <w:rFonts w:hint="eastAsia" w:ascii="仿宋_GB2312" w:hAnsi="仿宋_GB2312" w:eastAsia="仿宋_GB2312" w:cs="仿宋_GB2312"/>
          <w:bCs/>
          <w:sz w:val="32"/>
          <w:szCs w:val="32"/>
        </w:rPr>
        <w:t>问题</w:t>
      </w:r>
      <w:r>
        <w:rPr>
          <w:rFonts w:ascii="仿宋_GB2312" w:hAnsi="仿宋_GB2312" w:eastAsia="仿宋_GB2312" w:cs="仿宋_GB2312"/>
          <w:bCs/>
          <w:sz w:val="32"/>
          <w:szCs w:val="32"/>
        </w:rPr>
        <w:t>进行深入研究，制定切实可行的解决方案和工作措施，形</w:t>
      </w:r>
      <w:r>
        <w:rPr>
          <w:rFonts w:hint="eastAsia" w:ascii="仿宋_GB2312" w:hAnsi="仿宋_GB2312" w:eastAsia="仿宋_GB2312" w:cs="仿宋_GB2312"/>
          <w:bCs/>
          <w:sz w:val="32"/>
          <w:szCs w:val="32"/>
        </w:rPr>
        <w:t>成</w:t>
      </w:r>
      <w:r>
        <w:rPr>
          <w:rFonts w:ascii="仿宋_GB2312" w:hAnsi="仿宋_GB2312" w:eastAsia="仿宋_GB2312" w:cs="仿宋_GB2312"/>
          <w:bCs/>
          <w:sz w:val="32"/>
          <w:szCs w:val="32"/>
        </w:rPr>
        <w:t>工作合力。动态开展试点建设评估，确保试点建设成效。</w:t>
      </w:r>
    </w:p>
    <w:p w14:paraId="0540F913">
      <w:pPr>
        <w:pStyle w:val="5"/>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（二）加强政策支持</w:t>
      </w:r>
    </w:p>
    <w:p w14:paraId="50ED8144">
      <w:pPr>
        <w:spacing w:line="560" w:lineRule="exact"/>
        <w:ind w:firstLine="640" w:firstLineChars="200"/>
        <w:rPr>
          <w:rFonts w:ascii="仿宋_GB2312" w:hAnsi="仿宋_GB2312" w:eastAsia="仿宋_GB2312" w:cs="仿宋_GB2312"/>
          <w:b/>
          <w:bCs/>
          <w:sz w:val="32"/>
          <w:szCs w:val="32"/>
          <w:lang w:bidi="ar"/>
        </w:rPr>
      </w:pPr>
      <w:r>
        <w:rPr>
          <w:rFonts w:hint="eastAsia" w:ascii="仿宋_GB2312" w:hAnsi="仿宋_GB2312" w:eastAsia="仿宋_GB2312" w:cs="仿宋_GB2312"/>
          <w:bCs/>
          <w:sz w:val="32"/>
          <w:szCs w:val="32"/>
        </w:rPr>
        <w:t>加大财政及金融政策支持力度</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通过补助、贴息、担保等手段支持适应气候变化项目。推动金融体系对适应气候变化目标做出系统性响应</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分步分类建立覆盖各类金融机构和融资主体的气候环境信息强制披露制度。</w:t>
      </w:r>
      <w:r>
        <w:rPr>
          <w:rFonts w:hint="eastAsia" w:eastAsia="仿宋_GB2312"/>
          <w:sz w:val="32"/>
          <w:szCs w:val="32"/>
        </w:rPr>
        <w:t>依托通州区气候投融资试点的资源优势，完善气候投融资对深化气候适应型城市建设试点的支撑作用，引导更多资金投入到气象观测、基础设施、灾后重建等气候适应领域。</w:t>
      </w:r>
    </w:p>
    <w:p w14:paraId="3C5B4C8C">
      <w:pPr>
        <w:pStyle w:val="5"/>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（三）强化科技支撑</w:t>
      </w:r>
    </w:p>
    <w:p w14:paraId="4DEE0C0D">
      <w:pPr>
        <w:pStyle w:val="18"/>
        <w:widowControl w:val="0"/>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加强中短期和延伸期气候变化预估及影响评估研究。重点开</w:t>
      </w:r>
    </w:p>
    <w:p w14:paraId="5F68E3A9">
      <w:pPr>
        <w:pStyle w:val="18"/>
        <w:widowControl w:val="0"/>
        <w:spacing w:line="560" w:lineRule="exact"/>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展自然灾害大数据综合监测预警技术研发、极端天气应急预警平台开发、城市生命线应急技术保障等技术研究。开展基于未来气</w:t>
      </w:r>
    </w:p>
    <w:p w14:paraId="2FDF00AD">
      <w:pPr>
        <w:pStyle w:val="18"/>
        <w:widowControl w:val="0"/>
        <w:spacing w:line="560" w:lineRule="exact"/>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候变化情景的适应技术预研究和技术储备</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逐步构建分领域分产</w:t>
      </w:r>
    </w:p>
    <w:p w14:paraId="01AE8795">
      <w:pPr>
        <w:pStyle w:val="18"/>
        <w:widowControl w:val="0"/>
        <w:spacing w:line="560" w:lineRule="exact"/>
        <w:ind w:firstLine="0" w:firstLineChars="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业分区域的适应气候变化技术体系。</w:t>
      </w:r>
    </w:p>
    <w:p w14:paraId="5ACADE81">
      <w:pPr>
        <w:pStyle w:val="5"/>
        <w:spacing w:before="0" w:after="0" w:line="560" w:lineRule="exact"/>
        <w:ind w:firstLine="640" w:firstLineChars="200"/>
        <w:rPr>
          <w:rFonts w:ascii="楷体_GB2312" w:hAnsi="楷体_GB2312" w:eastAsia="楷体_GB2312" w:cs="楷体_GB2312"/>
          <w:b w:val="0"/>
          <w:bCs/>
        </w:rPr>
      </w:pPr>
      <w:r>
        <w:rPr>
          <w:rFonts w:hint="eastAsia" w:ascii="楷体_GB2312" w:hAnsi="楷体_GB2312" w:eastAsia="楷体_GB2312" w:cs="楷体_GB2312"/>
          <w:b w:val="0"/>
          <w:bCs/>
        </w:rPr>
        <w:t>（四）加大公众参与</w:t>
      </w:r>
    </w:p>
    <w:p w14:paraId="509047AD">
      <w:pPr>
        <w:pStyle w:val="18"/>
        <w:widowControl w:val="0"/>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积极开展适应气候变化理念、防灾避险知识的宣传教育和公众宣贯工作。结合世界气象日、世界环境日、全国低碳日、全国防灾减灾日等加强宣传教育引导，广泛动员公众与社会力量积极参与。</w:t>
      </w:r>
    </w:p>
    <w:p w14:paraId="6A0C7915">
      <w:pPr>
        <w:rPr>
          <w:rFonts w:hint="eastAsia" w:ascii="仿宋_GB2312" w:hAnsi="仿宋_GB2312" w:eastAsia="仿宋_GB2312" w:cs="仿宋_GB2312"/>
          <w:sz w:val="32"/>
          <w:szCs w:val="32"/>
        </w:rPr>
      </w:pPr>
    </w:p>
    <w:p w14:paraId="3EA0E445">
      <w:pPr>
        <w:pStyle w:val="2"/>
        <w:ind w:left="1598" w:leftChars="304" w:hanging="960" w:hangingChars="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附件：北京市通州区深化气候适应型城市建设试点2025年重点工作任务清单</w:t>
      </w:r>
    </w:p>
    <w:p w14:paraId="4314E90B">
      <w:pPr>
        <w:pStyle w:val="3"/>
        <w:rPr>
          <w:rFonts w:hint="eastAsia" w:ascii="仿宋_GB2312" w:hAnsi="仿宋_GB2312" w:eastAsia="仿宋_GB2312" w:cs="仿宋_GB2312"/>
          <w:kern w:val="2"/>
          <w:sz w:val="32"/>
          <w:szCs w:val="32"/>
          <w:lang w:val="en-US" w:eastAsia="zh-CN" w:bidi="ar-SA"/>
        </w:rPr>
      </w:pPr>
    </w:p>
    <w:p w14:paraId="1A4CD0AB">
      <w:pPr>
        <w:pStyle w:val="3"/>
        <w:rPr>
          <w:rFonts w:hint="eastAsia" w:ascii="仿宋_GB2312" w:hAnsi="仿宋_GB2312" w:eastAsia="仿宋_GB2312" w:cs="仿宋_GB2312"/>
          <w:kern w:val="2"/>
          <w:sz w:val="32"/>
          <w:szCs w:val="32"/>
          <w:lang w:val="en-US" w:eastAsia="zh-CN" w:bidi="ar-SA"/>
        </w:rPr>
      </w:pPr>
    </w:p>
    <w:p w14:paraId="5BFC3122">
      <w:pPr>
        <w:pStyle w:val="3"/>
        <w:rPr>
          <w:rFonts w:hint="eastAsia" w:ascii="仿宋_GB2312" w:hAnsi="仿宋_GB2312" w:eastAsia="仿宋_GB2312" w:cs="仿宋_GB2312"/>
          <w:kern w:val="2"/>
          <w:sz w:val="32"/>
          <w:szCs w:val="32"/>
          <w:lang w:val="en-US" w:eastAsia="zh-CN" w:bidi="ar-SA"/>
        </w:rPr>
      </w:pPr>
    </w:p>
    <w:p w14:paraId="4160D6C1">
      <w:pPr>
        <w:pStyle w:val="3"/>
        <w:rPr>
          <w:rFonts w:hint="eastAsia" w:ascii="仿宋_GB2312" w:hAnsi="仿宋_GB2312" w:eastAsia="仿宋_GB2312" w:cs="仿宋_GB2312"/>
          <w:kern w:val="2"/>
          <w:sz w:val="32"/>
          <w:szCs w:val="32"/>
          <w:lang w:val="en-US" w:eastAsia="zh-CN" w:bidi="ar-SA"/>
        </w:rPr>
      </w:pPr>
    </w:p>
    <w:p w14:paraId="18EB01F3">
      <w:pPr>
        <w:pStyle w:val="3"/>
        <w:rPr>
          <w:rFonts w:hint="eastAsia" w:ascii="仿宋_GB2312" w:hAnsi="仿宋_GB2312" w:eastAsia="仿宋_GB2312" w:cs="仿宋_GB2312"/>
          <w:kern w:val="2"/>
          <w:sz w:val="32"/>
          <w:szCs w:val="32"/>
          <w:lang w:val="en-US" w:eastAsia="zh-CN" w:bidi="ar-SA"/>
        </w:rPr>
      </w:pPr>
    </w:p>
    <w:p w14:paraId="5ED51D84">
      <w:pPr>
        <w:pStyle w:val="3"/>
        <w:rPr>
          <w:rFonts w:hint="eastAsia" w:ascii="仿宋_GB2312" w:hAnsi="仿宋_GB2312" w:eastAsia="仿宋_GB2312" w:cs="仿宋_GB2312"/>
          <w:kern w:val="2"/>
          <w:sz w:val="32"/>
          <w:szCs w:val="32"/>
          <w:lang w:val="en-US" w:eastAsia="zh-CN" w:bidi="ar-SA"/>
        </w:rPr>
      </w:pPr>
    </w:p>
    <w:p w14:paraId="72DF8324">
      <w:pPr>
        <w:pStyle w:val="3"/>
        <w:rPr>
          <w:rFonts w:hint="eastAsia" w:ascii="仿宋_GB2312" w:hAnsi="仿宋_GB2312" w:eastAsia="仿宋_GB2312" w:cs="仿宋_GB2312"/>
          <w:kern w:val="2"/>
          <w:sz w:val="32"/>
          <w:szCs w:val="32"/>
          <w:lang w:val="en-US" w:eastAsia="zh-CN" w:bidi="ar-SA"/>
        </w:rPr>
      </w:pPr>
    </w:p>
    <w:p w14:paraId="775D0426">
      <w:pPr>
        <w:pStyle w:val="3"/>
        <w:rPr>
          <w:rFonts w:hint="eastAsia" w:ascii="仿宋_GB2312" w:hAnsi="仿宋_GB2312" w:eastAsia="仿宋_GB2312" w:cs="仿宋_GB2312"/>
          <w:kern w:val="2"/>
          <w:sz w:val="32"/>
          <w:szCs w:val="32"/>
          <w:lang w:val="en-US" w:eastAsia="zh-CN" w:bidi="ar-SA"/>
        </w:rPr>
      </w:pPr>
    </w:p>
    <w:p w14:paraId="66B0AEC4">
      <w:pPr>
        <w:pStyle w:val="3"/>
        <w:rPr>
          <w:rFonts w:hint="eastAsia" w:ascii="仿宋_GB2312" w:hAnsi="仿宋_GB2312" w:eastAsia="仿宋_GB2312" w:cs="仿宋_GB2312"/>
          <w:kern w:val="2"/>
          <w:sz w:val="32"/>
          <w:szCs w:val="32"/>
          <w:lang w:val="en-US" w:eastAsia="zh-CN" w:bidi="ar-SA"/>
        </w:rPr>
      </w:pPr>
    </w:p>
    <w:p w14:paraId="2E88B1FD">
      <w:pPr>
        <w:pStyle w:val="3"/>
        <w:rPr>
          <w:rFonts w:hint="eastAsia" w:ascii="仿宋_GB2312" w:hAnsi="仿宋_GB2312" w:eastAsia="仿宋_GB2312" w:cs="仿宋_GB2312"/>
          <w:kern w:val="2"/>
          <w:sz w:val="32"/>
          <w:szCs w:val="32"/>
          <w:lang w:val="en-US" w:eastAsia="zh-CN" w:bidi="ar-SA"/>
        </w:rPr>
      </w:pPr>
    </w:p>
    <w:p w14:paraId="2E789D46">
      <w:pPr>
        <w:pStyle w:val="3"/>
        <w:rPr>
          <w:rFonts w:hint="eastAsia" w:ascii="仿宋_GB2312" w:hAnsi="仿宋_GB2312" w:eastAsia="仿宋_GB2312" w:cs="仿宋_GB2312"/>
          <w:kern w:val="2"/>
          <w:sz w:val="32"/>
          <w:szCs w:val="32"/>
          <w:lang w:val="en-US" w:eastAsia="zh-CN" w:bidi="ar-SA"/>
        </w:rPr>
      </w:pPr>
    </w:p>
    <w:p w14:paraId="746E5CD7">
      <w:pPr>
        <w:pStyle w:val="3"/>
        <w:rPr>
          <w:rFonts w:hint="eastAsia" w:ascii="仿宋_GB2312" w:hAnsi="仿宋_GB2312" w:eastAsia="仿宋_GB2312" w:cs="仿宋_GB2312"/>
          <w:kern w:val="2"/>
          <w:sz w:val="32"/>
          <w:szCs w:val="32"/>
          <w:lang w:val="en-US" w:eastAsia="zh-CN" w:bidi="ar-SA"/>
        </w:rPr>
      </w:pPr>
    </w:p>
    <w:p w14:paraId="38601CFE">
      <w:pPr>
        <w:pStyle w:val="3"/>
        <w:rPr>
          <w:rFonts w:hint="eastAsia" w:ascii="仿宋_GB2312" w:hAnsi="仿宋_GB2312" w:eastAsia="仿宋_GB2312" w:cs="仿宋_GB2312"/>
          <w:kern w:val="2"/>
          <w:sz w:val="32"/>
          <w:szCs w:val="32"/>
          <w:lang w:val="en-US" w:eastAsia="zh-CN" w:bidi="ar-SA"/>
        </w:rPr>
      </w:pPr>
    </w:p>
    <w:p w14:paraId="2502901E">
      <w:pPr>
        <w:spacing w:line="480" w:lineRule="exact"/>
        <w:rPr>
          <w:rFonts w:ascii="Calibri" w:hAnsi="Calibri"/>
          <w:szCs w:val="22"/>
        </w:rPr>
      </w:pPr>
    </w:p>
    <w:p w14:paraId="69073EB2">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北京市通州区深化气候适应型城市建设试点</w:t>
      </w:r>
    </w:p>
    <w:p w14:paraId="2D682005">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2025年重点工作任务清单</w:t>
      </w:r>
    </w:p>
    <w:p w14:paraId="56C0F584">
      <w:pPr>
        <w:widowControl/>
        <w:spacing w:line="360" w:lineRule="auto"/>
        <w:ind w:firstLine="480" w:firstLineChars="200"/>
        <w:jc w:val="both"/>
        <w:rPr>
          <w:rFonts w:ascii="Times New Roman" w:hAnsi="Times New Roman" w:eastAsia="宋体" w:cs="Times New Roman"/>
          <w:kern w:val="2"/>
          <w:sz w:val="24"/>
          <w:szCs w:val="22"/>
          <w:lang w:val="en-US" w:eastAsia="zh-CN" w:bidi="ar-SA"/>
        </w:rPr>
      </w:pP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186"/>
        <w:gridCol w:w="3074"/>
        <w:gridCol w:w="956"/>
        <w:gridCol w:w="1346"/>
        <w:gridCol w:w="1818"/>
      </w:tblGrid>
      <w:tr w14:paraId="721C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373" w:type="pct"/>
            <w:shd w:val="clear" w:color="auto" w:fill="D7D7D7"/>
            <w:vAlign w:val="center"/>
          </w:tcPr>
          <w:p w14:paraId="5A4DF7F5">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序号</w:t>
            </w:r>
          </w:p>
        </w:tc>
        <w:tc>
          <w:tcPr>
            <w:tcW w:w="655" w:type="pct"/>
            <w:shd w:val="clear" w:color="auto" w:fill="D7D7D7"/>
            <w:vAlign w:val="center"/>
          </w:tcPr>
          <w:p w14:paraId="6288F8EE">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重点任务</w:t>
            </w:r>
          </w:p>
        </w:tc>
        <w:tc>
          <w:tcPr>
            <w:tcW w:w="1697" w:type="pct"/>
            <w:shd w:val="clear" w:color="auto" w:fill="D7D7D7"/>
            <w:vAlign w:val="center"/>
          </w:tcPr>
          <w:p w14:paraId="19D8825F">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工作措施</w:t>
            </w:r>
          </w:p>
        </w:tc>
        <w:tc>
          <w:tcPr>
            <w:tcW w:w="528" w:type="pct"/>
            <w:shd w:val="clear" w:color="auto" w:fill="D7D7D7"/>
            <w:vAlign w:val="center"/>
          </w:tcPr>
          <w:p w14:paraId="4CE99F6F">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完成时限</w:t>
            </w:r>
          </w:p>
        </w:tc>
        <w:tc>
          <w:tcPr>
            <w:tcW w:w="743" w:type="pct"/>
            <w:shd w:val="clear" w:color="auto" w:fill="D7D7D7"/>
            <w:vAlign w:val="center"/>
          </w:tcPr>
          <w:p w14:paraId="1A6137A3">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牵头单位</w:t>
            </w:r>
          </w:p>
        </w:tc>
        <w:tc>
          <w:tcPr>
            <w:tcW w:w="1002" w:type="pct"/>
            <w:shd w:val="clear" w:color="auto" w:fill="D7D7D7"/>
            <w:vAlign w:val="center"/>
          </w:tcPr>
          <w:p w14:paraId="04D80CA3">
            <w:pPr>
              <w:widowControl w:val="0"/>
              <w:spacing w:line="300" w:lineRule="exact"/>
              <w:ind w:firstLine="0" w:firstLineChars="0"/>
              <w:jc w:val="center"/>
              <w:rPr>
                <w:rFonts w:ascii="黑体" w:hAnsi="黑体" w:eastAsia="黑体" w:cs="黑体"/>
                <w:kern w:val="0"/>
                <w:sz w:val="24"/>
                <w:szCs w:val="24"/>
                <w:lang w:val="zh-CN" w:eastAsia="zh-CN" w:bidi="ar-SA"/>
              </w:rPr>
            </w:pPr>
            <w:r>
              <w:rPr>
                <w:rFonts w:hint="eastAsia" w:ascii="黑体" w:hAnsi="黑体" w:eastAsia="黑体" w:cs="黑体"/>
                <w:kern w:val="0"/>
                <w:sz w:val="24"/>
                <w:szCs w:val="24"/>
                <w:lang w:val="zh-CN" w:eastAsia="zh-CN" w:bidi="ar-SA"/>
              </w:rPr>
              <w:t>配合单位</w:t>
            </w:r>
          </w:p>
        </w:tc>
      </w:tr>
      <w:tr w14:paraId="3A0B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00" w:type="pct"/>
            <w:gridSpan w:val="6"/>
            <w:vAlign w:val="center"/>
          </w:tcPr>
          <w:p w14:paraId="763F6E90">
            <w:pPr>
              <w:keepNext/>
              <w:keepLines/>
              <w:widowControl w:val="0"/>
              <w:spacing w:before="0" w:after="0" w:line="300" w:lineRule="exact"/>
              <w:ind w:firstLine="0" w:firstLineChars="0"/>
              <w:jc w:val="center"/>
              <w:outlineLvl w:val="1"/>
              <w:rPr>
                <w:rFonts w:ascii="仿宋_GB2312" w:hAnsi="仿宋_GB2312" w:eastAsia="仿宋_GB2312" w:cs="仿宋_GB2312"/>
                <w:b/>
                <w:bCs/>
                <w:kern w:val="2"/>
                <w:sz w:val="24"/>
                <w:szCs w:val="24"/>
                <w:lang w:val="en-US" w:eastAsia="zh-CN" w:bidi="ar-SA"/>
              </w:rPr>
            </w:pPr>
            <w:r>
              <w:rPr>
                <w:rFonts w:hint="eastAsia" w:ascii="黑体" w:hAnsi="黑体" w:eastAsia="黑体" w:cs="黑体"/>
                <w:b w:val="0"/>
                <w:bCs/>
                <w:kern w:val="2"/>
                <w:sz w:val="28"/>
                <w:szCs w:val="28"/>
                <w:lang w:val="en-US" w:eastAsia="zh-CN" w:bidi="ar-SA"/>
              </w:rPr>
              <w:t>一、完善城市适应气候变化治理体系</w:t>
            </w:r>
          </w:p>
        </w:tc>
      </w:tr>
      <w:tr w14:paraId="58B2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73" w:type="pct"/>
            <w:vAlign w:val="center"/>
          </w:tcPr>
          <w:p w14:paraId="062BF64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c>
          <w:tcPr>
            <w:tcW w:w="655" w:type="pct"/>
            <w:vAlign w:val="center"/>
          </w:tcPr>
          <w:p w14:paraId="46FD3A94">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建立工作领导协调机制</w:t>
            </w:r>
          </w:p>
        </w:tc>
        <w:tc>
          <w:tcPr>
            <w:tcW w:w="1697" w:type="pct"/>
            <w:vAlign w:val="center"/>
          </w:tcPr>
          <w:p w14:paraId="321E4DE4">
            <w:pPr>
              <w:spacing w:line="300" w:lineRule="exact"/>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建立以生态环境部门牵头，多部门工作协同共进的工作机制。建立跨部门高效畅通的沟通渠道，明确责任分工，推进各部门在气候变化领域的深度合作。</w:t>
            </w:r>
          </w:p>
        </w:tc>
        <w:tc>
          <w:tcPr>
            <w:tcW w:w="528" w:type="pct"/>
            <w:vAlign w:val="center"/>
          </w:tcPr>
          <w:p w14:paraId="1065990C">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1783CB05">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区生态环境局</w:t>
            </w:r>
          </w:p>
        </w:tc>
        <w:tc>
          <w:tcPr>
            <w:tcW w:w="1002" w:type="pct"/>
            <w:vAlign w:val="center"/>
          </w:tcPr>
          <w:p w14:paraId="5637E1F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0387D2C7">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区应急管理局</w:t>
            </w:r>
          </w:p>
          <w:p w14:paraId="7AE86C9A">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区气象局</w:t>
            </w:r>
          </w:p>
          <w:p w14:paraId="05F02019">
            <w:pPr>
              <w:spacing w:line="300" w:lineRule="exact"/>
              <w:jc w:val="center"/>
              <w:rPr>
                <w:rFonts w:ascii="Calibri" w:hAnsi="Calibri"/>
                <w:szCs w:val="22"/>
              </w:rPr>
            </w:pPr>
            <w:r>
              <w:rPr>
                <w:rFonts w:hint="eastAsia" w:ascii="仿宋_GB2312" w:hAnsi="仿宋_GB2312" w:eastAsia="仿宋_GB2312" w:cs="仿宋_GB2312"/>
                <w:sz w:val="24"/>
                <w:szCs w:val="24"/>
              </w:rPr>
              <w:t>等各相关部门</w:t>
            </w:r>
          </w:p>
        </w:tc>
      </w:tr>
      <w:tr w14:paraId="4858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73" w:type="pct"/>
            <w:vAlign w:val="center"/>
          </w:tcPr>
          <w:p w14:paraId="2928CA4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w:t>
            </w:r>
          </w:p>
        </w:tc>
        <w:tc>
          <w:tcPr>
            <w:tcW w:w="655" w:type="pct"/>
            <w:vAlign w:val="center"/>
          </w:tcPr>
          <w:p w14:paraId="2A92E75D">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建立气候变化信息共享机制</w:t>
            </w:r>
          </w:p>
        </w:tc>
        <w:tc>
          <w:tcPr>
            <w:tcW w:w="1697" w:type="pct"/>
            <w:vAlign w:val="center"/>
          </w:tcPr>
          <w:p w14:paraId="0F787A3F">
            <w:pPr>
              <w:widowControl w:val="0"/>
              <w:shd w:val="clear" w:color="auto" w:fill="FFFFFF"/>
              <w:spacing w:before="100" w:beforeAutospacing="1" w:after="100" w:afterAutospacing="1" w:line="300" w:lineRule="exact"/>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建立完善数据共享机制，提升各部门适应气候变化的建设能力。</w:t>
            </w:r>
          </w:p>
        </w:tc>
        <w:tc>
          <w:tcPr>
            <w:tcW w:w="528" w:type="pct"/>
            <w:vAlign w:val="center"/>
          </w:tcPr>
          <w:p w14:paraId="2BC2B791">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440E8FC4">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区生态环境局</w:t>
            </w:r>
          </w:p>
        </w:tc>
        <w:tc>
          <w:tcPr>
            <w:tcW w:w="1002" w:type="pct"/>
            <w:vAlign w:val="center"/>
          </w:tcPr>
          <w:p w14:paraId="3039ABD0">
            <w:pPr>
              <w:widowControl w:val="0"/>
              <w:spacing w:line="300" w:lineRule="exact"/>
              <w:ind w:firstLine="0" w:firstLineChars="0"/>
              <w:jc w:val="center"/>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p w14:paraId="5E0A35B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区应急管理局</w:t>
            </w:r>
          </w:p>
          <w:p w14:paraId="2A7432C6">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区气象局</w:t>
            </w:r>
          </w:p>
        </w:tc>
      </w:tr>
      <w:tr w14:paraId="4FAA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73" w:type="pct"/>
            <w:vAlign w:val="center"/>
          </w:tcPr>
          <w:p w14:paraId="13163E0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w:t>
            </w:r>
          </w:p>
        </w:tc>
        <w:tc>
          <w:tcPr>
            <w:tcW w:w="655" w:type="pct"/>
            <w:vAlign w:val="center"/>
          </w:tcPr>
          <w:p w14:paraId="6E73AB1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完善应对气候变化审核机制</w:t>
            </w:r>
          </w:p>
        </w:tc>
        <w:tc>
          <w:tcPr>
            <w:tcW w:w="1697" w:type="pct"/>
            <w:vAlign w:val="center"/>
          </w:tcPr>
          <w:p w14:paraId="7E701768">
            <w:pPr>
              <w:spacing w:line="300" w:lineRule="exact"/>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协同气候投融资试点建设，进一步完善应对气候变化审核机制，推动建设项目高标准实施，主动适应气候变化。</w:t>
            </w:r>
          </w:p>
        </w:tc>
        <w:tc>
          <w:tcPr>
            <w:tcW w:w="528" w:type="pct"/>
            <w:vAlign w:val="center"/>
          </w:tcPr>
          <w:p w14:paraId="3C60DEDB">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6B72959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区生态环境局</w:t>
            </w:r>
          </w:p>
        </w:tc>
        <w:tc>
          <w:tcPr>
            <w:tcW w:w="1002" w:type="pct"/>
            <w:vAlign w:val="center"/>
          </w:tcPr>
          <w:p w14:paraId="069E9ED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区发展改革委</w:t>
            </w:r>
          </w:p>
          <w:p w14:paraId="3E87057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区住房城乡建设委</w:t>
            </w:r>
          </w:p>
          <w:p w14:paraId="3C7FDFE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区水务局</w:t>
            </w:r>
          </w:p>
          <w:p w14:paraId="15706692">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等各相关部门</w:t>
            </w:r>
          </w:p>
        </w:tc>
      </w:tr>
      <w:tr w14:paraId="3E8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FF43B7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w:t>
            </w:r>
          </w:p>
        </w:tc>
        <w:tc>
          <w:tcPr>
            <w:tcW w:w="655" w:type="pct"/>
            <w:vAlign w:val="center"/>
          </w:tcPr>
          <w:p w14:paraId="486C9306">
            <w:pPr>
              <w:spacing w:line="300" w:lineRule="exact"/>
              <w:jc w:val="center"/>
              <w:rPr>
                <w:rFonts w:ascii="仿宋_GB2312" w:hAnsi="仿宋_GB2312" w:eastAsia="仿宋_GB2312" w:cs="仿宋_GB2312"/>
                <w:sz w:val="24"/>
                <w:szCs w:val="24"/>
              </w:rPr>
            </w:pPr>
            <w:bookmarkStart w:id="8" w:name="_GoBack"/>
            <w:r>
              <w:rPr>
                <w:rFonts w:hint="eastAsia" w:ascii="仿宋_GB2312" w:hAnsi="仿宋_GB2312" w:eastAsia="仿宋_GB2312" w:cs="仿宋_GB2312"/>
                <w:spacing w:val="2"/>
                <w:sz w:val="24"/>
                <w:szCs w:val="24"/>
              </w:rPr>
              <w:t>健全</w:t>
            </w:r>
            <w:r>
              <w:rPr>
                <w:rFonts w:hint="eastAsia" w:ascii="仿宋_GB2312" w:hAnsi="仿宋_GB2312" w:eastAsia="仿宋_GB2312" w:cs="仿宋_GB2312"/>
                <w:sz w:val="24"/>
                <w:szCs w:val="24"/>
                <w:lang w:bidi="ar"/>
              </w:rPr>
              <w:t>气候预警与应急联动机制</w:t>
            </w:r>
            <w:bookmarkEnd w:id="8"/>
          </w:p>
        </w:tc>
        <w:tc>
          <w:tcPr>
            <w:tcW w:w="1697" w:type="pct"/>
            <w:vAlign w:val="center"/>
          </w:tcPr>
          <w:p w14:paraId="1CA32269">
            <w:pPr>
              <w:widowControl/>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推动气象预警与应急响应信息横向互通。进一步完善气象预警与应急响应启动的有效快速衔接。强化气象预警和应急响应信息社会发布渠道。</w:t>
            </w:r>
          </w:p>
        </w:tc>
        <w:tc>
          <w:tcPr>
            <w:tcW w:w="528" w:type="pct"/>
            <w:vAlign w:val="center"/>
          </w:tcPr>
          <w:p w14:paraId="688209C3">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2F84D562">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区应急管理局</w:t>
            </w:r>
          </w:p>
          <w:p w14:paraId="0B3999CB">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区气象局</w:t>
            </w:r>
          </w:p>
        </w:tc>
        <w:tc>
          <w:tcPr>
            <w:tcW w:w="1002" w:type="pct"/>
            <w:vAlign w:val="center"/>
          </w:tcPr>
          <w:p w14:paraId="08C4FBD5">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区生态环境局</w:t>
            </w:r>
          </w:p>
        </w:tc>
      </w:tr>
      <w:tr w14:paraId="0257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373" w:type="pct"/>
            <w:vAlign w:val="center"/>
          </w:tcPr>
          <w:p w14:paraId="405A898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w:t>
            </w:r>
          </w:p>
        </w:tc>
        <w:tc>
          <w:tcPr>
            <w:tcW w:w="655" w:type="pct"/>
            <w:vAlign w:val="center"/>
          </w:tcPr>
          <w:p w14:paraId="3C87497C">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z w:val="24"/>
                <w:szCs w:val="24"/>
                <w:lang w:bidi="ar"/>
              </w:rPr>
              <w:t>建立长效评估机制</w:t>
            </w:r>
          </w:p>
        </w:tc>
        <w:tc>
          <w:tcPr>
            <w:tcW w:w="1697" w:type="pct"/>
            <w:vAlign w:val="center"/>
          </w:tcPr>
          <w:p w14:paraId="47A691DC">
            <w:pPr>
              <w:widowControl w:val="0"/>
              <w:shd w:val="clear" w:color="auto" w:fill="FFFFFF"/>
              <w:spacing w:before="100" w:beforeAutospacing="0" w:after="100" w:afterAutospacing="0" w:line="300" w:lineRule="exact"/>
              <w:jc w:val="left"/>
              <w:rPr>
                <w:rFonts w:ascii="仿宋_GB2312" w:hAnsi="仿宋_GB2312" w:eastAsia="仿宋_GB2312" w:cs="仿宋_GB2312"/>
                <w:spacing w:val="2"/>
                <w:kern w:val="0"/>
                <w:sz w:val="24"/>
                <w:szCs w:val="24"/>
                <w:lang w:val="en-US" w:eastAsia="zh-CN" w:bidi="ar-SA"/>
              </w:rPr>
            </w:pPr>
            <w:r>
              <w:rPr>
                <w:rFonts w:hint="eastAsia" w:ascii="仿宋_GB2312" w:hAnsi="仿宋_GB2312" w:eastAsia="仿宋_GB2312" w:cs="仿宋_GB2312"/>
                <w:kern w:val="2"/>
                <w:sz w:val="24"/>
                <w:szCs w:val="24"/>
                <w:lang w:val="en-US" w:eastAsia="zh-CN" w:bidi="ar-SA"/>
              </w:rPr>
              <w:t>建立</w:t>
            </w:r>
            <w:r>
              <w:rPr>
                <w:rFonts w:hint="eastAsia" w:ascii="仿宋_GB2312" w:hAnsi="仿宋_GB2312" w:eastAsia="仿宋_GB2312" w:cs="仿宋_GB2312"/>
                <w:spacing w:val="2"/>
                <w:kern w:val="0"/>
                <w:sz w:val="24"/>
                <w:szCs w:val="24"/>
                <w:lang w:val="en-US" w:eastAsia="zh-CN" w:bidi="ar-SA"/>
              </w:rPr>
              <w:t>深化气候适应型城市建设试点</w:t>
            </w:r>
            <w:r>
              <w:rPr>
                <w:rFonts w:hint="eastAsia" w:ascii="仿宋_GB2312" w:hAnsi="仿宋_GB2312" w:eastAsia="仿宋_GB2312" w:cs="仿宋_GB2312"/>
                <w:kern w:val="2"/>
                <w:sz w:val="24"/>
                <w:szCs w:val="24"/>
                <w:lang w:val="en-US" w:eastAsia="zh-CN" w:bidi="ar-SA"/>
              </w:rPr>
              <w:t>工作评估机制，研究构建气候适应型长效评估体系。定期开展评估工作，并逐步纳入生态环境美丽城市评估体系。</w:t>
            </w:r>
          </w:p>
        </w:tc>
        <w:tc>
          <w:tcPr>
            <w:tcW w:w="528" w:type="pct"/>
            <w:vAlign w:val="center"/>
          </w:tcPr>
          <w:p w14:paraId="3534525E">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0F3D3F1C">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区生态环境局</w:t>
            </w:r>
          </w:p>
        </w:tc>
        <w:tc>
          <w:tcPr>
            <w:tcW w:w="1002" w:type="pct"/>
            <w:vAlign w:val="center"/>
          </w:tcPr>
          <w:p w14:paraId="25AC5C0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2365AA16">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区应急管理局</w:t>
            </w:r>
          </w:p>
          <w:p w14:paraId="3EF1BEB3">
            <w:pPr>
              <w:spacing w:line="300" w:lineRule="exact"/>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区气象局</w:t>
            </w:r>
          </w:p>
          <w:p w14:paraId="5A63841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p w14:paraId="5BDE32D6">
            <w:pPr>
              <w:spacing w:line="300" w:lineRule="exact"/>
              <w:jc w:val="center"/>
              <w:rPr>
                <w:rFonts w:ascii="仿宋_GB2312" w:hAnsi="仿宋_GB2312" w:eastAsia="仿宋_GB2312" w:cs="仿宋_GB2312"/>
                <w:color w:val="000000"/>
                <w:spacing w:val="2"/>
                <w:sz w:val="24"/>
                <w:szCs w:val="24"/>
              </w:rPr>
            </w:pPr>
            <w:r>
              <w:rPr>
                <w:rFonts w:hint="eastAsia" w:ascii="仿宋_GB2312" w:hAnsi="仿宋_GB2312" w:eastAsia="仿宋_GB2312" w:cs="仿宋_GB2312"/>
                <w:sz w:val="24"/>
                <w:szCs w:val="24"/>
              </w:rPr>
              <w:t>等各相关部门</w:t>
            </w:r>
          </w:p>
        </w:tc>
      </w:tr>
      <w:tr w14:paraId="1868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73" w:type="pct"/>
            <w:vAlign w:val="center"/>
          </w:tcPr>
          <w:p w14:paraId="43EF0BA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w:t>
            </w:r>
          </w:p>
        </w:tc>
        <w:tc>
          <w:tcPr>
            <w:tcW w:w="655" w:type="pct"/>
            <w:vAlign w:val="center"/>
          </w:tcPr>
          <w:p w14:paraId="610CD914">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健全全社会参与机制</w:t>
            </w:r>
          </w:p>
        </w:tc>
        <w:tc>
          <w:tcPr>
            <w:tcW w:w="1697" w:type="pct"/>
            <w:vAlign w:val="center"/>
          </w:tcPr>
          <w:p w14:paraId="4F84FA33">
            <w:pPr>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广泛动员公众与社会力量积极参与，将适应气候变化纳入学校教育和相关培训。加强宣传教育引导，组织开展适应气候变化宣传活动。加强领导干部的能力培训。</w:t>
            </w:r>
          </w:p>
        </w:tc>
        <w:tc>
          <w:tcPr>
            <w:tcW w:w="528" w:type="pct"/>
            <w:vAlign w:val="center"/>
          </w:tcPr>
          <w:p w14:paraId="15FB12FA">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长期实施</w:t>
            </w:r>
          </w:p>
        </w:tc>
        <w:tc>
          <w:tcPr>
            <w:tcW w:w="743" w:type="pct"/>
            <w:vAlign w:val="center"/>
          </w:tcPr>
          <w:p w14:paraId="4223782C">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区委宣传部</w:t>
            </w:r>
          </w:p>
          <w:p w14:paraId="3E77B054">
            <w:pPr>
              <w:spacing w:line="300" w:lineRule="exact"/>
              <w:jc w:val="center"/>
              <w:rPr>
                <w:rFonts w:ascii="Calibri" w:hAnsi="Calibri"/>
                <w:szCs w:val="22"/>
              </w:rPr>
            </w:pPr>
            <w:r>
              <w:rPr>
                <w:rFonts w:hint="eastAsia" w:ascii="仿宋_GB2312" w:hAnsi="仿宋_GB2312" w:eastAsia="仿宋_GB2312" w:cs="仿宋_GB2312"/>
                <w:color w:val="000000"/>
                <w:sz w:val="24"/>
                <w:szCs w:val="24"/>
              </w:rPr>
              <w:t>区生态环境局</w:t>
            </w:r>
          </w:p>
        </w:tc>
        <w:tc>
          <w:tcPr>
            <w:tcW w:w="1002" w:type="pct"/>
            <w:vAlign w:val="center"/>
          </w:tcPr>
          <w:p w14:paraId="5971E532">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区委组织部</w:t>
            </w:r>
          </w:p>
          <w:p w14:paraId="498D26D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4AB8DCB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区园林绿化局</w:t>
            </w:r>
          </w:p>
          <w:p w14:paraId="31A32957">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等各相关部门</w:t>
            </w:r>
          </w:p>
          <w:p w14:paraId="42318D74">
            <w:pPr>
              <w:widowControl w:val="0"/>
              <w:spacing w:after="0" w:line="300" w:lineRule="exact"/>
              <w:jc w:val="center"/>
              <w:rPr>
                <w:rFonts w:ascii="Calibri" w:hAnsi="Calibri" w:eastAsia="宋体" w:cs="Times New Roman"/>
                <w:kern w:val="2"/>
                <w:sz w:val="21"/>
                <w:szCs w:val="22"/>
                <w:lang w:val="en-US" w:eastAsia="zh-CN" w:bidi="ar-SA"/>
              </w:rPr>
            </w:pPr>
            <w:r>
              <w:rPr>
                <w:rFonts w:hint="eastAsia" w:ascii="仿宋_GB2312" w:hAnsi="仿宋_GB2312" w:eastAsia="仿宋_GB2312" w:cs="仿宋_GB2312"/>
                <w:kern w:val="0"/>
                <w:sz w:val="24"/>
                <w:szCs w:val="24"/>
                <w:lang w:val="en-US" w:eastAsia="zh-CN" w:bidi="ar-SA"/>
              </w:rPr>
              <w:t>各街道乡镇</w:t>
            </w:r>
          </w:p>
        </w:tc>
      </w:tr>
      <w:tr w14:paraId="6E07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00" w:type="pct"/>
            <w:gridSpan w:val="6"/>
            <w:vAlign w:val="center"/>
          </w:tcPr>
          <w:p w14:paraId="5B20763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黑体" w:hAnsi="黑体" w:eastAsia="黑体" w:cs="黑体"/>
                <w:bCs/>
                <w:kern w:val="2"/>
                <w:sz w:val="28"/>
                <w:szCs w:val="28"/>
                <w:lang w:val="en-US" w:eastAsia="zh-CN" w:bidi="ar-SA"/>
              </w:rPr>
              <w:t>二、强化城市气候变化影响和风险评估</w:t>
            </w:r>
          </w:p>
        </w:tc>
      </w:tr>
      <w:tr w14:paraId="3891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73" w:type="pct"/>
            <w:vAlign w:val="center"/>
          </w:tcPr>
          <w:p w14:paraId="1A4ECAF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7</w:t>
            </w:r>
          </w:p>
        </w:tc>
        <w:tc>
          <w:tcPr>
            <w:tcW w:w="655" w:type="pct"/>
            <w:vAlign w:val="center"/>
          </w:tcPr>
          <w:p w14:paraId="213EC43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2"/>
                <w:sz w:val="24"/>
                <w:szCs w:val="24"/>
                <w:lang w:val="en-US" w:eastAsia="zh-CN" w:bidi="ar-SA"/>
              </w:rPr>
              <w:t>推进气象信息化建设</w:t>
            </w:r>
          </w:p>
        </w:tc>
        <w:tc>
          <w:tcPr>
            <w:tcW w:w="1697" w:type="pct"/>
            <w:vAlign w:val="center"/>
          </w:tcPr>
          <w:p w14:paraId="052A8FEE">
            <w:pPr>
              <w:widowControl w:val="0"/>
              <w:spacing w:line="300" w:lineRule="exact"/>
              <w:ind w:firstLine="0" w:firstLineChars="0"/>
              <w:jc w:val="both"/>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2"/>
                <w:kern w:val="2"/>
                <w:sz w:val="24"/>
                <w:szCs w:val="24"/>
                <w:lang w:val="en-US" w:eastAsia="zh-CN" w:bidi="ar-SA"/>
              </w:rPr>
              <w:t>夯实气候变化数据体系建设，利用通州国家级气象观测站长时间序列气候观测数据，持续推进全区气候变化信息化建设。</w:t>
            </w:r>
          </w:p>
        </w:tc>
        <w:tc>
          <w:tcPr>
            <w:tcW w:w="528" w:type="pct"/>
            <w:vAlign w:val="center"/>
          </w:tcPr>
          <w:p w14:paraId="48D06520">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068515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tc>
        <w:tc>
          <w:tcPr>
            <w:tcW w:w="1002" w:type="pct"/>
            <w:vAlign w:val="center"/>
          </w:tcPr>
          <w:p w14:paraId="2D03A8C5">
            <w:pPr>
              <w:widowControl w:val="0"/>
              <w:spacing w:line="300" w:lineRule="exact"/>
              <w:ind w:firstLine="0" w:firstLineChars="0"/>
              <w:jc w:val="center"/>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p w14:paraId="78E9838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区财政局</w:t>
            </w:r>
          </w:p>
        </w:tc>
      </w:tr>
      <w:tr w14:paraId="380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317184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8</w:t>
            </w:r>
          </w:p>
        </w:tc>
        <w:tc>
          <w:tcPr>
            <w:tcW w:w="655" w:type="pct"/>
            <w:vAlign w:val="center"/>
          </w:tcPr>
          <w:p w14:paraId="02E9AC54">
            <w:pPr>
              <w:widowControl w:val="0"/>
              <w:spacing w:line="300" w:lineRule="exact"/>
              <w:ind w:firstLine="0" w:firstLineChars="0"/>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提高气候风险评估能力</w:t>
            </w:r>
          </w:p>
        </w:tc>
        <w:tc>
          <w:tcPr>
            <w:tcW w:w="1697" w:type="pct"/>
            <w:vAlign w:val="center"/>
          </w:tcPr>
          <w:p w14:paraId="0616819B">
            <w:pPr>
              <w:widowControl w:val="0"/>
              <w:spacing w:line="300" w:lineRule="exact"/>
              <w:ind w:firstLine="0" w:firstLineChars="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开展气候变化风险和极端气候归因分析,绘制环境气候地图，提升灾害风险早期识别、综合风险评估能力。</w:t>
            </w:r>
          </w:p>
        </w:tc>
        <w:tc>
          <w:tcPr>
            <w:tcW w:w="528" w:type="pct"/>
            <w:vAlign w:val="center"/>
          </w:tcPr>
          <w:p w14:paraId="16410C48">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2B3764D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c>
          <w:tcPr>
            <w:tcW w:w="1002" w:type="pct"/>
            <w:vAlign w:val="center"/>
          </w:tcPr>
          <w:p w14:paraId="3B24BC1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p w14:paraId="4D2FF86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65C6FB9D">
            <w:pPr>
              <w:widowControl w:val="0"/>
              <w:spacing w:line="300" w:lineRule="exact"/>
              <w:ind w:firstLine="0" w:firstLineChars="0"/>
              <w:jc w:val="center"/>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p w14:paraId="4954803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区财政局</w:t>
            </w:r>
          </w:p>
        </w:tc>
      </w:tr>
      <w:tr w14:paraId="1DC0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F017BE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w:t>
            </w:r>
          </w:p>
        </w:tc>
        <w:tc>
          <w:tcPr>
            <w:tcW w:w="655" w:type="pct"/>
            <w:vAlign w:val="center"/>
          </w:tcPr>
          <w:p w14:paraId="20D0891D">
            <w:pPr>
              <w:widowControl w:val="0"/>
              <w:spacing w:line="300" w:lineRule="exact"/>
              <w:ind w:firstLine="0" w:firstLineChars="0"/>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开展重点区域和敏感领域风险影响评估</w:t>
            </w:r>
          </w:p>
        </w:tc>
        <w:tc>
          <w:tcPr>
            <w:tcW w:w="1697" w:type="pct"/>
            <w:vAlign w:val="center"/>
          </w:tcPr>
          <w:p w14:paraId="07E25DCC">
            <w:pPr>
              <w:widowControl/>
              <w:spacing w:line="300" w:lineRule="exact"/>
              <w:ind w:firstLine="0" w:firstLineChars="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kern w:val="2"/>
                <w:sz w:val="24"/>
                <w:szCs w:val="24"/>
                <w:lang w:val="en-US" w:eastAsia="zh-CN" w:bidi="ar-SA"/>
              </w:rPr>
              <w:t>结合全区规划建设，动态化开展面向通州区水资源、生态系统、能源、农业和公共健康等敏感领域的气候变化影响和风险评估。</w:t>
            </w:r>
          </w:p>
        </w:tc>
        <w:tc>
          <w:tcPr>
            <w:tcW w:w="528" w:type="pct"/>
            <w:vAlign w:val="center"/>
          </w:tcPr>
          <w:p w14:paraId="5F9CA04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084C668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c>
          <w:tcPr>
            <w:tcW w:w="1002" w:type="pct"/>
            <w:vAlign w:val="center"/>
          </w:tcPr>
          <w:p w14:paraId="4BC0D1D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p w14:paraId="39A7740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6B35238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p w14:paraId="29C6E9B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p w14:paraId="4332CC3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区农业农村局</w:t>
            </w:r>
          </w:p>
          <w:p w14:paraId="31B9FBC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区卫生健康委</w:t>
            </w:r>
          </w:p>
        </w:tc>
      </w:tr>
      <w:tr w14:paraId="5D2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00" w:type="pct"/>
            <w:gridSpan w:val="6"/>
            <w:vAlign w:val="center"/>
          </w:tcPr>
          <w:p w14:paraId="73A84974">
            <w:pPr>
              <w:keepNext/>
              <w:keepLines/>
              <w:widowControl w:val="0"/>
              <w:spacing w:before="0" w:after="0" w:line="300" w:lineRule="exact"/>
              <w:ind w:firstLine="0" w:firstLineChars="0"/>
              <w:jc w:val="center"/>
              <w:outlineLvl w:val="1"/>
              <w:rPr>
                <w:rFonts w:ascii="仿宋_GB2312" w:hAnsi="仿宋_GB2312" w:eastAsia="仿宋_GB2312" w:cs="仿宋_GB2312"/>
                <w:b/>
                <w:bCs/>
                <w:kern w:val="2"/>
                <w:sz w:val="24"/>
                <w:szCs w:val="24"/>
                <w:lang w:val="en-US" w:eastAsia="zh-CN" w:bidi="ar-SA"/>
              </w:rPr>
            </w:pPr>
            <w:r>
              <w:rPr>
                <w:rFonts w:hint="eastAsia" w:ascii="黑体" w:hAnsi="黑体" w:eastAsia="黑体" w:cs="黑体"/>
                <w:b w:val="0"/>
                <w:bCs/>
                <w:kern w:val="2"/>
                <w:sz w:val="28"/>
                <w:szCs w:val="28"/>
                <w:lang w:val="en-US" w:eastAsia="zh-CN" w:bidi="ar-SA"/>
              </w:rPr>
              <w:t>三、加强城市适应气候变化能力建设</w:t>
            </w:r>
          </w:p>
        </w:tc>
      </w:tr>
      <w:tr w14:paraId="5E9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20E949C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w:t>
            </w:r>
          </w:p>
        </w:tc>
        <w:tc>
          <w:tcPr>
            <w:tcW w:w="655" w:type="pct"/>
            <w:vAlign w:val="center"/>
          </w:tcPr>
          <w:p w14:paraId="3C1C0AB0">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开展适应气候变化宣教工作</w:t>
            </w:r>
          </w:p>
        </w:tc>
        <w:tc>
          <w:tcPr>
            <w:tcW w:w="1697" w:type="pct"/>
            <w:vAlign w:val="center"/>
          </w:tcPr>
          <w:p w14:paraId="5A5F8109">
            <w:pPr>
              <w:spacing w:line="300" w:lineRule="exact"/>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以学校、社区为依托，联合区科委、区教委等各相关部门开展科普宣传，加强全社会各领域适应气候变化理念，提高全民气候风险防范意识。</w:t>
            </w:r>
          </w:p>
        </w:tc>
        <w:tc>
          <w:tcPr>
            <w:tcW w:w="528" w:type="pct"/>
            <w:vAlign w:val="center"/>
          </w:tcPr>
          <w:p w14:paraId="68EAA11E">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6EF1C21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区委宣传部</w:t>
            </w:r>
          </w:p>
          <w:p w14:paraId="6782641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区生态环境局</w:t>
            </w:r>
          </w:p>
        </w:tc>
        <w:tc>
          <w:tcPr>
            <w:tcW w:w="1002" w:type="pct"/>
            <w:vAlign w:val="center"/>
          </w:tcPr>
          <w:p w14:paraId="276ED97C">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区科委</w:t>
            </w:r>
          </w:p>
          <w:p w14:paraId="0B059F7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区教委</w:t>
            </w:r>
          </w:p>
          <w:p w14:paraId="4E41875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等各相关部门</w:t>
            </w:r>
          </w:p>
        </w:tc>
      </w:tr>
      <w:tr w14:paraId="077E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020C045">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11</w:t>
            </w:r>
          </w:p>
        </w:tc>
        <w:tc>
          <w:tcPr>
            <w:tcW w:w="655" w:type="pct"/>
            <w:vAlign w:val="center"/>
          </w:tcPr>
          <w:p w14:paraId="218752BB">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推动社会救援能力建设</w:t>
            </w:r>
          </w:p>
        </w:tc>
        <w:tc>
          <w:tcPr>
            <w:tcW w:w="1697" w:type="pct"/>
            <w:vAlign w:val="center"/>
          </w:tcPr>
          <w:p w14:paraId="5B1875BB">
            <w:pPr>
              <w:widowControl w:val="0"/>
              <w:spacing w:line="300" w:lineRule="exact"/>
              <w:ind w:firstLine="0" w:firstLineChars="0"/>
              <w:jc w:val="both"/>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加强专业应急救援力量建设，完善社会组织与志愿者队伍建设与管理，不断提高救援志愿者队伍的能力和水平。</w:t>
            </w:r>
          </w:p>
        </w:tc>
        <w:tc>
          <w:tcPr>
            <w:tcW w:w="528" w:type="pct"/>
            <w:vAlign w:val="center"/>
          </w:tcPr>
          <w:p w14:paraId="625F246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7FBCDE6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tc>
        <w:tc>
          <w:tcPr>
            <w:tcW w:w="1002" w:type="pct"/>
            <w:vAlign w:val="center"/>
          </w:tcPr>
          <w:p w14:paraId="741CB46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各街道乡镇</w:t>
            </w:r>
          </w:p>
        </w:tc>
      </w:tr>
      <w:tr w14:paraId="5215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34D194E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w:t>
            </w:r>
          </w:p>
        </w:tc>
        <w:tc>
          <w:tcPr>
            <w:tcW w:w="655" w:type="pct"/>
            <w:vAlign w:val="center"/>
          </w:tcPr>
          <w:p w14:paraId="57EE826A">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完善气候投融资项目库建设</w:t>
            </w:r>
          </w:p>
        </w:tc>
        <w:tc>
          <w:tcPr>
            <w:tcW w:w="1697" w:type="pct"/>
            <w:vAlign w:val="center"/>
          </w:tcPr>
          <w:p w14:paraId="003D3071">
            <w:pPr>
              <w:widowControl/>
              <w:spacing w:line="300" w:lineRule="exact"/>
              <w:ind w:firstLine="0" w:firstLineChars="0"/>
              <w:jc w:val="both"/>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依托通州区气候投融资试点的资源优势，完善气候投融资对</w:t>
            </w:r>
            <w:r>
              <w:rPr>
                <w:rFonts w:hint="eastAsia" w:ascii="仿宋_GB2312" w:hAnsi="仿宋_GB2312" w:eastAsia="仿宋_GB2312" w:cs="仿宋_GB2312"/>
                <w:spacing w:val="2"/>
                <w:kern w:val="2"/>
                <w:sz w:val="24"/>
                <w:szCs w:val="24"/>
                <w:lang w:val="en-US" w:eastAsia="zh-CN" w:bidi="ar-SA"/>
              </w:rPr>
              <w:t>深化气候适应型城市建设试点</w:t>
            </w:r>
            <w:r>
              <w:rPr>
                <w:rFonts w:hint="eastAsia" w:ascii="仿宋_GB2312" w:hAnsi="仿宋_GB2312" w:eastAsia="仿宋_GB2312" w:cs="仿宋_GB2312"/>
                <w:kern w:val="0"/>
                <w:sz w:val="24"/>
                <w:szCs w:val="24"/>
                <w:lang w:val="en-US" w:eastAsia="zh-CN" w:bidi="ar-SA"/>
              </w:rPr>
              <w:t>的支撑作用。根据适应气候变化项目建设实际提供资金支持，切实发挥气候投融资项目库的金融调配功能。</w:t>
            </w:r>
          </w:p>
        </w:tc>
        <w:tc>
          <w:tcPr>
            <w:tcW w:w="528" w:type="pct"/>
            <w:vAlign w:val="center"/>
          </w:tcPr>
          <w:p w14:paraId="18FDAAB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w:t>
            </w:r>
            <w:r>
              <w:rPr>
                <w:rFonts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年</w:t>
            </w:r>
          </w:p>
        </w:tc>
        <w:tc>
          <w:tcPr>
            <w:tcW w:w="743" w:type="pct"/>
            <w:vAlign w:val="center"/>
          </w:tcPr>
          <w:p w14:paraId="347A1AC2">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c>
          <w:tcPr>
            <w:tcW w:w="1002" w:type="pct"/>
            <w:vAlign w:val="center"/>
          </w:tcPr>
          <w:p w14:paraId="6E1C1FF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区发展改革委</w:t>
            </w:r>
          </w:p>
          <w:p w14:paraId="4ACEB992">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区经济和信息化</w:t>
            </w:r>
            <w:r>
              <w:rPr>
                <w:rFonts w:hint="eastAsia" w:ascii="仿宋_GB2312" w:hAnsi="仿宋_GB2312" w:eastAsia="仿宋_GB2312" w:cs="仿宋_GB2312"/>
                <w:kern w:val="0"/>
                <w:sz w:val="24"/>
                <w:szCs w:val="24"/>
                <w:lang w:val="en-US" w:eastAsia="zh-CN" w:bidi="ar-SA"/>
              </w:rPr>
              <w:t>局</w:t>
            </w:r>
          </w:p>
          <w:p w14:paraId="17A4A16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区财政局</w:t>
            </w:r>
          </w:p>
        </w:tc>
      </w:tr>
      <w:tr w14:paraId="4B6D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6"/>
            <w:vAlign w:val="center"/>
          </w:tcPr>
          <w:p w14:paraId="03926566">
            <w:pPr>
              <w:keepNext/>
              <w:keepLines/>
              <w:widowControl w:val="0"/>
              <w:spacing w:before="0" w:after="0" w:line="300" w:lineRule="exact"/>
              <w:ind w:firstLine="0" w:firstLineChars="0"/>
              <w:jc w:val="center"/>
              <w:outlineLvl w:val="1"/>
              <w:rPr>
                <w:rFonts w:ascii="仿宋_GB2312" w:hAnsi="仿宋_GB2312" w:eastAsia="仿宋_GB2312" w:cs="仿宋_GB2312"/>
                <w:b/>
                <w:bCs/>
                <w:kern w:val="2"/>
                <w:sz w:val="24"/>
                <w:szCs w:val="24"/>
                <w:lang w:val="en-US" w:eastAsia="zh-CN" w:bidi="ar-SA"/>
              </w:rPr>
            </w:pPr>
            <w:r>
              <w:rPr>
                <w:rFonts w:hint="eastAsia" w:ascii="黑体" w:hAnsi="黑体" w:eastAsia="黑体" w:cs="黑体"/>
                <w:b w:val="0"/>
                <w:bCs/>
                <w:kern w:val="2"/>
                <w:sz w:val="28"/>
                <w:szCs w:val="28"/>
                <w:lang w:val="en-US" w:eastAsia="zh-CN" w:bidi="ar-SA"/>
              </w:rPr>
              <w:t>四、加强极端天气气候事件风险监测预警和应急管理</w:t>
            </w:r>
          </w:p>
        </w:tc>
      </w:tr>
      <w:tr w14:paraId="714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73" w:type="pct"/>
            <w:vAlign w:val="center"/>
          </w:tcPr>
          <w:p w14:paraId="7D0F63E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c>
          <w:tcPr>
            <w:tcW w:w="655" w:type="pct"/>
            <w:vAlign w:val="center"/>
          </w:tcPr>
          <w:p w14:paraId="529E7D1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加强气象台站建设密度</w:t>
            </w:r>
          </w:p>
        </w:tc>
        <w:tc>
          <w:tcPr>
            <w:tcW w:w="1697" w:type="pct"/>
            <w:vAlign w:val="center"/>
          </w:tcPr>
          <w:p w14:paraId="34531654">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通州核心区自动气象站密度达到每百平方公里20套；核心区外密度提高到每百平方公里10套。</w:t>
            </w:r>
          </w:p>
        </w:tc>
        <w:tc>
          <w:tcPr>
            <w:tcW w:w="528" w:type="pct"/>
            <w:vAlign w:val="center"/>
          </w:tcPr>
          <w:p w14:paraId="57B8DE9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1825C28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tc>
        <w:tc>
          <w:tcPr>
            <w:tcW w:w="1002" w:type="pct"/>
            <w:vAlign w:val="center"/>
          </w:tcPr>
          <w:p w14:paraId="36B97852">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区发展改革委</w:t>
            </w:r>
          </w:p>
          <w:p w14:paraId="79527572">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区财政局</w:t>
            </w:r>
          </w:p>
        </w:tc>
      </w:tr>
      <w:tr w14:paraId="78F0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73" w:type="pct"/>
            <w:vAlign w:val="center"/>
          </w:tcPr>
          <w:p w14:paraId="3471532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14</w:t>
            </w:r>
          </w:p>
        </w:tc>
        <w:tc>
          <w:tcPr>
            <w:tcW w:w="655" w:type="pct"/>
            <w:vAlign w:val="center"/>
          </w:tcPr>
          <w:p w14:paraId="48314BC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提升监测能力</w:t>
            </w:r>
          </w:p>
        </w:tc>
        <w:tc>
          <w:tcPr>
            <w:tcW w:w="1697" w:type="pct"/>
            <w:vAlign w:val="center"/>
          </w:tcPr>
          <w:p w14:paraId="2EF1D4EF">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地面气温、风、降水气象监测网格化实况产品分辨率为</w:t>
            </w:r>
            <w:r>
              <w:rPr>
                <w:rFonts w:hint="eastAsia" w:ascii="仿宋_GB2312" w:hAnsi="仿宋_GB2312" w:eastAsia="仿宋_GB2312" w:cs="仿宋_GB2312"/>
                <w:kern w:val="0"/>
                <w:sz w:val="24"/>
                <w:szCs w:val="24"/>
                <w:lang w:val="en-US" w:eastAsia="zh-CN" w:bidi="ar-SA"/>
              </w:rPr>
              <w:t>800米，关</w:t>
            </w:r>
            <w:r>
              <w:rPr>
                <w:rFonts w:hint="eastAsia" w:ascii="仿宋_GB2312" w:hAnsi="仿宋_GB2312" w:eastAsia="仿宋_GB2312" w:cs="仿宋_GB2312"/>
                <w:kern w:val="0"/>
                <w:sz w:val="24"/>
                <w:szCs w:val="24"/>
                <w:lang w:val="zh-CN" w:eastAsia="zh-CN" w:bidi="ar-SA"/>
              </w:rPr>
              <w:t>键区域分辨率达</w:t>
            </w:r>
            <w:r>
              <w:rPr>
                <w:rFonts w:hint="eastAsia" w:ascii="仿宋_GB2312" w:hAnsi="仿宋_GB2312" w:eastAsia="仿宋_GB2312" w:cs="仿宋_GB2312"/>
                <w:kern w:val="0"/>
                <w:sz w:val="24"/>
                <w:szCs w:val="24"/>
                <w:lang w:val="en-US" w:eastAsia="zh-CN" w:bidi="ar-SA"/>
              </w:rPr>
              <w:t>200米。</w:t>
            </w:r>
          </w:p>
        </w:tc>
        <w:tc>
          <w:tcPr>
            <w:tcW w:w="528" w:type="pct"/>
            <w:vAlign w:val="center"/>
          </w:tcPr>
          <w:p w14:paraId="043000E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70262D6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tc>
        <w:tc>
          <w:tcPr>
            <w:tcW w:w="1002" w:type="pct"/>
            <w:vAlign w:val="center"/>
          </w:tcPr>
          <w:p w14:paraId="1B9FFDB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区发展改革委</w:t>
            </w:r>
          </w:p>
        </w:tc>
      </w:tr>
      <w:tr w14:paraId="63EA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ACD848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15</w:t>
            </w:r>
          </w:p>
        </w:tc>
        <w:tc>
          <w:tcPr>
            <w:tcW w:w="655" w:type="pct"/>
            <w:vAlign w:val="center"/>
          </w:tcPr>
          <w:p w14:paraId="6BEB26F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提高气象精准预报预测水平</w:t>
            </w:r>
          </w:p>
        </w:tc>
        <w:tc>
          <w:tcPr>
            <w:tcW w:w="1697" w:type="pct"/>
            <w:vAlign w:val="center"/>
          </w:tcPr>
          <w:p w14:paraId="0BF6ED0D">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城镇天气预报0-24小时最高、最低气温平均预报准确率达81%，全市暴雨、雷电等突发气象灾害预警提前量达到85分钟。</w:t>
            </w:r>
          </w:p>
        </w:tc>
        <w:tc>
          <w:tcPr>
            <w:tcW w:w="528" w:type="pct"/>
            <w:vAlign w:val="center"/>
          </w:tcPr>
          <w:p w14:paraId="3C1F98F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2025年底</w:t>
            </w:r>
          </w:p>
        </w:tc>
        <w:tc>
          <w:tcPr>
            <w:tcW w:w="743" w:type="pct"/>
            <w:vAlign w:val="center"/>
          </w:tcPr>
          <w:p w14:paraId="598FA3A2">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tc>
        <w:tc>
          <w:tcPr>
            <w:tcW w:w="1002" w:type="pct"/>
            <w:vAlign w:val="center"/>
          </w:tcPr>
          <w:p w14:paraId="13143F5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tc>
      </w:tr>
      <w:tr w14:paraId="61ED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21CA8EC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16</w:t>
            </w:r>
          </w:p>
        </w:tc>
        <w:tc>
          <w:tcPr>
            <w:tcW w:w="655" w:type="pct"/>
            <w:vAlign w:val="center"/>
          </w:tcPr>
          <w:p w14:paraId="6EA6A83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健全气候风险应急管理机制</w:t>
            </w:r>
          </w:p>
        </w:tc>
        <w:tc>
          <w:tcPr>
            <w:tcW w:w="1697" w:type="pct"/>
            <w:vAlign w:val="center"/>
          </w:tcPr>
          <w:p w14:paraId="73E22392">
            <w:pPr>
              <w:widowControl/>
              <w:spacing w:line="300" w:lineRule="exact"/>
              <w:ind w:firstLine="0" w:firstLineChars="0"/>
              <w:jc w:val="lef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树立自然灾害风险管理理念,完善气候风险管理政策，强化全周期风险防控和全链条安全管理。加强自然灾害及其诱发灾害的应急预案统一规划。</w:t>
            </w:r>
          </w:p>
        </w:tc>
        <w:tc>
          <w:tcPr>
            <w:tcW w:w="528" w:type="pct"/>
            <w:vAlign w:val="center"/>
          </w:tcPr>
          <w:p w14:paraId="1845792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30E46EF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tc>
        <w:tc>
          <w:tcPr>
            <w:tcW w:w="1002" w:type="pct"/>
            <w:vAlign w:val="center"/>
          </w:tcPr>
          <w:p w14:paraId="3FC9A49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tc>
      </w:tr>
      <w:tr w14:paraId="26A9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373" w:type="pct"/>
            <w:vAlign w:val="center"/>
          </w:tcPr>
          <w:p w14:paraId="763BACD5">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17</w:t>
            </w:r>
          </w:p>
        </w:tc>
        <w:tc>
          <w:tcPr>
            <w:tcW w:w="655" w:type="pct"/>
            <w:vAlign w:val="center"/>
          </w:tcPr>
          <w:p w14:paraId="01CDA062">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提高气候灾害综合救援能力</w:t>
            </w:r>
          </w:p>
        </w:tc>
        <w:tc>
          <w:tcPr>
            <w:tcW w:w="1697" w:type="pct"/>
            <w:vAlign w:val="center"/>
          </w:tcPr>
          <w:p w14:paraId="332DF2AB">
            <w:pPr>
              <w:widowControl/>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建设完善城市综合应急指挥体系，加快“智慧应急”能力建设。推进避难场所分级建设。全面提升救援队伍专业化水平,加大先进适用装备配备力度。提升极端暴雨干旱天气气候事件风险防范预警和防洪排涝抗旱减灾处置能力。</w:t>
            </w:r>
          </w:p>
        </w:tc>
        <w:tc>
          <w:tcPr>
            <w:tcW w:w="528" w:type="pct"/>
            <w:vAlign w:val="center"/>
          </w:tcPr>
          <w:p w14:paraId="025D6697">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2025年</w:t>
            </w:r>
          </w:p>
        </w:tc>
        <w:tc>
          <w:tcPr>
            <w:tcW w:w="743" w:type="pct"/>
            <w:vAlign w:val="center"/>
          </w:tcPr>
          <w:p w14:paraId="5EEF8A6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tc>
        <w:tc>
          <w:tcPr>
            <w:tcW w:w="1002" w:type="pct"/>
            <w:vAlign w:val="center"/>
          </w:tcPr>
          <w:p w14:paraId="71F7524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区城市管理委</w:t>
            </w:r>
          </w:p>
          <w:p w14:paraId="6BB14C3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p w14:paraId="48EC25E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区财政局</w:t>
            </w:r>
          </w:p>
          <w:p w14:paraId="05E65E4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各街道乡镇</w:t>
            </w:r>
          </w:p>
        </w:tc>
      </w:tr>
      <w:tr w14:paraId="41D4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00" w:type="pct"/>
            <w:gridSpan w:val="6"/>
            <w:vAlign w:val="center"/>
          </w:tcPr>
          <w:p w14:paraId="429DDB08">
            <w:pPr>
              <w:keepNext/>
              <w:keepLines/>
              <w:widowControl w:val="0"/>
              <w:spacing w:before="0" w:after="0" w:line="300" w:lineRule="exact"/>
              <w:ind w:firstLine="0" w:firstLineChars="0"/>
              <w:jc w:val="center"/>
              <w:outlineLvl w:val="1"/>
              <w:rPr>
                <w:rFonts w:ascii="仿宋_GB2312" w:hAnsi="仿宋_GB2312" w:eastAsia="仿宋_GB2312" w:cs="仿宋_GB2312"/>
                <w:b/>
                <w:bCs/>
                <w:kern w:val="2"/>
                <w:sz w:val="24"/>
                <w:szCs w:val="24"/>
                <w:lang w:val="en-US" w:eastAsia="zh-CN" w:bidi="ar-SA"/>
              </w:rPr>
            </w:pPr>
            <w:r>
              <w:rPr>
                <w:rFonts w:hint="eastAsia" w:ascii="黑体" w:hAnsi="黑体" w:eastAsia="黑体" w:cs="黑体"/>
                <w:b w:val="0"/>
                <w:bCs/>
                <w:kern w:val="2"/>
                <w:sz w:val="28"/>
                <w:szCs w:val="28"/>
                <w:lang w:val="en-US" w:eastAsia="zh-CN" w:bidi="ar-SA"/>
              </w:rPr>
              <w:t>五、优化城市适应气候变化空间布局</w:t>
            </w:r>
          </w:p>
        </w:tc>
      </w:tr>
      <w:tr w14:paraId="5811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373" w:type="pct"/>
            <w:vAlign w:val="center"/>
          </w:tcPr>
          <w:p w14:paraId="2CA1D97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18</w:t>
            </w:r>
          </w:p>
        </w:tc>
        <w:tc>
          <w:tcPr>
            <w:tcW w:w="655" w:type="pct"/>
            <w:vAlign w:val="center"/>
          </w:tcPr>
          <w:p w14:paraId="2261A33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构建</w:t>
            </w:r>
            <w:r>
              <w:rPr>
                <w:rFonts w:hint="eastAsia" w:ascii="仿宋_GB2312" w:hAnsi="仿宋_GB2312" w:eastAsia="仿宋_GB2312" w:cs="仿宋_GB2312"/>
                <w:kern w:val="0"/>
                <w:sz w:val="24"/>
                <w:szCs w:val="24"/>
                <w:lang w:val="en" w:eastAsia="zh-CN" w:bidi="ar-SA"/>
              </w:rPr>
              <w:t>韧性城市空间结构</w:t>
            </w:r>
          </w:p>
        </w:tc>
        <w:tc>
          <w:tcPr>
            <w:tcW w:w="1697" w:type="pct"/>
            <w:vAlign w:val="center"/>
          </w:tcPr>
          <w:p w14:paraId="3D019585">
            <w:pPr>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lang w:val="en"/>
              </w:rPr>
              <w:t>将适应气候变化理念融入副中心规划建设中,将城市安全和综合防灾系统纳入规划建设管理全过程。打造“一环五廊多支点”的韧性城市空间结构。提升生态系统应对气候变化能力</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
              </w:rPr>
              <w:t>构建生态廊道和城镇建设相互交融的空间格局。</w:t>
            </w:r>
          </w:p>
        </w:tc>
        <w:tc>
          <w:tcPr>
            <w:tcW w:w="528" w:type="pct"/>
            <w:vAlign w:val="center"/>
          </w:tcPr>
          <w:p w14:paraId="441F9EB5">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4B5D734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480ADB2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p>
        </w:tc>
        <w:tc>
          <w:tcPr>
            <w:tcW w:w="1002" w:type="pct"/>
            <w:vAlign w:val="center"/>
          </w:tcPr>
          <w:p w14:paraId="6605A94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p w14:paraId="1B6B3F42">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p w14:paraId="371435D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区农业农村局</w:t>
            </w:r>
          </w:p>
          <w:p w14:paraId="2206668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各街道乡镇</w:t>
            </w:r>
          </w:p>
        </w:tc>
      </w:tr>
      <w:tr w14:paraId="3B2A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73" w:type="pct"/>
            <w:vAlign w:val="center"/>
          </w:tcPr>
          <w:p w14:paraId="3203705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19</w:t>
            </w:r>
          </w:p>
        </w:tc>
        <w:tc>
          <w:tcPr>
            <w:tcW w:w="655" w:type="pct"/>
            <w:vAlign w:val="center"/>
          </w:tcPr>
          <w:p w14:paraId="49284F90">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优化城市功能布局</w:t>
            </w:r>
          </w:p>
        </w:tc>
        <w:tc>
          <w:tcPr>
            <w:tcW w:w="1697" w:type="pct"/>
            <w:vAlign w:val="center"/>
          </w:tcPr>
          <w:p w14:paraId="10B396F2">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2"/>
                <w:sz w:val="24"/>
                <w:szCs w:val="24"/>
                <w:lang w:val="en" w:eastAsia="zh-CN" w:bidi="ar-SA"/>
              </w:rPr>
              <w:t>统筹安排城市建设、产业发展、生态涵养、基础设施和公共服务。在街区控规、乡镇国土空间规划、村庄规划等国土空间规划制定完善中充分考虑气候要素。严格落实碳排放“双控”及“三线三区”要求。</w:t>
            </w:r>
          </w:p>
        </w:tc>
        <w:tc>
          <w:tcPr>
            <w:tcW w:w="528" w:type="pct"/>
            <w:vAlign w:val="center"/>
          </w:tcPr>
          <w:p w14:paraId="0FF01EA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10E75E8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tc>
        <w:tc>
          <w:tcPr>
            <w:tcW w:w="1002" w:type="pct"/>
            <w:vAlign w:val="center"/>
          </w:tcPr>
          <w:p w14:paraId="6AFD7C4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p w14:paraId="443460D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p w14:paraId="7ADEFA1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区城市管理委</w:t>
            </w:r>
          </w:p>
          <w:p w14:paraId="7FEEDA2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各街道乡镇</w:t>
            </w:r>
          </w:p>
        </w:tc>
      </w:tr>
      <w:tr w14:paraId="1692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373" w:type="pct"/>
            <w:vAlign w:val="center"/>
          </w:tcPr>
          <w:p w14:paraId="68357B25">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w:t>
            </w:r>
          </w:p>
        </w:tc>
        <w:tc>
          <w:tcPr>
            <w:tcW w:w="655" w:type="pct"/>
            <w:vAlign w:val="center"/>
          </w:tcPr>
          <w:p w14:paraId="5DEBBD8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推动非建设空间规划落地实施</w:t>
            </w:r>
          </w:p>
        </w:tc>
        <w:tc>
          <w:tcPr>
            <w:tcW w:w="1697" w:type="pct"/>
            <w:vAlign w:val="center"/>
          </w:tcPr>
          <w:p w14:paraId="67B03B1E">
            <w:pPr>
              <w:spacing w:line="300" w:lineRule="exact"/>
              <w:jc w:val="left"/>
              <w:rPr>
                <w:rFonts w:ascii="仿宋_GB2312" w:hAnsi="仿宋_GB2312" w:eastAsia="仿宋_GB2312" w:cs="仿宋_GB2312"/>
                <w:sz w:val="24"/>
                <w:szCs w:val="24"/>
                <w:lang w:val="en"/>
              </w:rPr>
            </w:pPr>
            <w:r>
              <w:rPr>
                <w:rFonts w:hint="eastAsia" w:ascii="仿宋_GB2312" w:hAnsi="仿宋_GB2312" w:eastAsia="仿宋_GB2312" w:cs="仿宋_GB2312"/>
                <w:sz w:val="24"/>
                <w:szCs w:val="24"/>
                <w:lang w:val="en"/>
              </w:rPr>
              <w:t>编制城市建设实施导则体系，持续推进</w:t>
            </w:r>
            <w:r>
              <w:rPr>
                <w:rFonts w:hint="eastAsia" w:ascii="仿宋_GB2312" w:hAnsi="仿宋_GB2312" w:eastAsia="仿宋_GB2312" w:cs="仿宋_GB2312"/>
                <w:sz w:val="24"/>
                <w:szCs w:val="24"/>
                <w:lang w:val="zh-CN"/>
              </w:rPr>
              <w:t>《北京城市副中心（通州区）非建设空间规划及镇村实施指引（2021年-2035年）》落地实施。</w:t>
            </w:r>
          </w:p>
        </w:tc>
        <w:tc>
          <w:tcPr>
            <w:tcW w:w="528" w:type="pct"/>
            <w:vAlign w:val="center"/>
          </w:tcPr>
          <w:p w14:paraId="486D5E88">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w:t>
            </w:r>
            <w:r>
              <w:rPr>
                <w:rFonts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年</w:t>
            </w:r>
          </w:p>
        </w:tc>
        <w:tc>
          <w:tcPr>
            <w:tcW w:w="743" w:type="pct"/>
            <w:vAlign w:val="center"/>
          </w:tcPr>
          <w:p w14:paraId="7DBA885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tc>
        <w:tc>
          <w:tcPr>
            <w:tcW w:w="1002" w:type="pct"/>
            <w:vAlign w:val="center"/>
          </w:tcPr>
          <w:p w14:paraId="55D11C4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p w14:paraId="65BCD4E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w:t>
            </w:r>
            <w:r>
              <w:rPr>
                <w:rFonts w:hint="eastAsia" w:ascii="仿宋_GB2312" w:hAnsi="仿宋_GB2312" w:eastAsia="仿宋_GB2312" w:cs="仿宋_GB2312"/>
                <w:kern w:val="0"/>
                <w:sz w:val="24"/>
                <w:szCs w:val="24"/>
                <w:lang w:val="en-US" w:eastAsia="zh-CN" w:bidi="ar-SA"/>
              </w:rPr>
              <w:t>水务</w:t>
            </w:r>
            <w:r>
              <w:rPr>
                <w:rFonts w:hint="eastAsia" w:ascii="仿宋_GB2312" w:hAnsi="仿宋_GB2312" w:eastAsia="仿宋_GB2312" w:cs="仿宋_GB2312"/>
                <w:kern w:val="0"/>
                <w:sz w:val="24"/>
                <w:szCs w:val="24"/>
                <w:lang w:val="zh-CN" w:eastAsia="zh-CN" w:bidi="ar-SA"/>
              </w:rPr>
              <w:t>局</w:t>
            </w:r>
          </w:p>
          <w:p w14:paraId="61ABD6B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区农业农村局</w:t>
            </w:r>
          </w:p>
        </w:tc>
      </w:tr>
      <w:tr w14:paraId="080D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373" w:type="pct"/>
            <w:vAlign w:val="center"/>
          </w:tcPr>
          <w:p w14:paraId="13BC30A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w:t>
            </w:r>
          </w:p>
        </w:tc>
        <w:tc>
          <w:tcPr>
            <w:tcW w:w="655" w:type="pct"/>
            <w:vAlign w:val="center"/>
          </w:tcPr>
          <w:p w14:paraId="2BC9604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 w:eastAsia="zh-CN" w:bidi="ar-SA"/>
              </w:rPr>
              <w:t>加快镇域级控制性详细规划编制</w:t>
            </w:r>
          </w:p>
        </w:tc>
        <w:tc>
          <w:tcPr>
            <w:tcW w:w="1697" w:type="pct"/>
            <w:vAlign w:val="center"/>
          </w:tcPr>
          <w:p w14:paraId="533C0314">
            <w:pPr>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val="en"/>
              </w:rPr>
              <w:t>确定重要基础设施用地控制范围并预留发展空间，完善城镇安全韧性空间和基础设施。以社区为基本单元构筑城市安全防御体系，优化公共卫生等应急空间网络。</w:t>
            </w:r>
          </w:p>
        </w:tc>
        <w:tc>
          <w:tcPr>
            <w:tcW w:w="528" w:type="pct"/>
            <w:vAlign w:val="center"/>
          </w:tcPr>
          <w:p w14:paraId="1DB888A0">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w:t>
            </w:r>
            <w:r>
              <w:rPr>
                <w:rFonts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年</w:t>
            </w:r>
          </w:p>
        </w:tc>
        <w:tc>
          <w:tcPr>
            <w:tcW w:w="743" w:type="pct"/>
            <w:vAlign w:val="center"/>
          </w:tcPr>
          <w:p w14:paraId="0CBFD1E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tc>
        <w:tc>
          <w:tcPr>
            <w:tcW w:w="1002" w:type="pct"/>
            <w:vAlign w:val="center"/>
          </w:tcPr>
          <w:p w14:paraId="4C65744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zh-CN" w:eastAsia="zh-CN" w:bidi="ar-SA"/>
              </w:rPr>
              <w:t>各</w:t>
            </w:r>
            <w:r>
              <w:rPr>
                <w:rFonts w:hint="eastAsia" w:ascii="仿宋_GB2312" w:hAnsi="仿宋_GB2312" w:eastAsia="仿宋_GB2312" w:cs="仿宋_GB2312"/>
                <w:kern w:val="0"/>
                <w:sz w:val="24"/>
                <w:szCs w:val="24"/>
                <w:lang w:val="en-US" w:eastAsia="zh-CN" w:bidi="ar-SA"/>
              </w:rPr>
              <w:t>街道乡镇</w:t>
            </w:r>
          </w:p>
        </w:tc>
      </w:tr>
      <w:tr w14:paraId="0C24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373" w:type="pct"/>
            <w:vAlign w:val="center"/>
          </w:tcPr>
          <w:p w14:paraId="61743C8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22</w:t>
            </w:r>
          </w:p>
        </w:tc>
        <w:tc>
          <w:tcPr>
            <w:tcW w:w="655" w:type="pct"/>
            <w:vAlign w:val="center"/>
          </w:tcPr>
          <w:p w14:paraId="055B9A34">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增强农业生态系统</w:t>
            </w:r>
            <w:r>
              <w:rPr>
                <w:rFonts w:hint="eastAsia" w:ascii="仿宋_GB2312" w:hAnsi="仿宋_GB2312" w:eastAsia="仿宋_GB2312" w:cs="仿宋_GB2312"/>
                <w:kern w:val="0"/>
                <w:sz w:val="24"/>
                <w:szCs w:val="24"/>
                <w:lang w:val="en-US" w:eastAsia="zh-CN" w:bidi="ar-SA"/>
              </w:rPr>
              <w:t>气候</w:t>
            </w:r>
            <w:r>
              <w:rPr>
                <w:rFonts w:hint="eastAsia" w:ascii="仿宋_GB2312" w:hAnsi="仿宋_GB2312" w:eastAsia="仿宋_GB2312" w:cs="仿宋_GB2312"/>
                <w:kern w:val="0"/>
                <w:sz w:val="24"/>
                <w:szCs w:val="24"/>
                <w:lang w:val="en" w:eastAsia="zh-CN" w:bidi="ar-SA"/>
              </w:rPr>
              <w:t>韧性</w:t>
            </w:r>
          </w:p>
        </w:tc>
        <w:tc>
          <w:tcPr>
            <w:tcW w:w="1697" w:type="pct"/>
            <w:vAlign w:val="center"/>
          </w:tcPr>
          <w:p w14:paraId="28652FB3">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加快建设高标准农田,开展农业资源动态评估和精细化管理,针对气候变化与极端天气气候事件新特点,调整种植产业布局和种植结构配置,改造优化农业水利基础设施。</w:t>
            </w:r>
          </w:p>
        </w:tc>
        <w:tc>
          <w:tcPr>
            <w:tcW w:w="528" w:type="pct"/>
            <w:vAlign w:val="center"/>
          </w:tcPr>
          <w:p w14:paraId="664E643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647F9D7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区农业农村局</w:t>
            </w:r>
          </w:p>
        </w:tc>
        <w:tc>
          <w:tcPr>
            <w:tcW w:w="1002" w:type="pct"/>
            <w:vAlign w:val="center"/>
          </w:tcPr>
          <w:p w14:paraId="53F3965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市规划自然资源委通州分局区气象局</w:t>
            </w:r>
          </w:p>
        </w:tc>
      </w:tr>
      <w:tr w14:paraId="78C7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6"/>
            <w:vAlign w:val="center"/>
          </w:tcPr>
          <w:p w14:paraId="57057CE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黑体" w:hAnsi="黑体" w:eastAsia="黑体" w:cs="黑体"/>
                <w:bCs/>
                <w:kern w:val="2"/>
                <w:sz w:val="28"/>
                <w:szCs w:val="28"/>
                <w:lang w:val="en-US" w:eastAsia="zh-CN" w:bidi="ar-SA"/>
              </w:rPr>
              <w:t>六、提升城市基础设施气候韧性</w:t>
            </w:r>
          </w:p>
        </w:tc>
      </w:tr>
      <w:tr w14:paraId="6A1C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373" w:type="pct"/>
            <w:vAlign w:val="center"/>
          </w:tcPr>
          <w:p w14:paraId="2BE8ED75">
            <w:pPr>
              <w:widowControl w:val="0"/>
              <w:spacing w:line="300" w:lineRule="exact"/>
              <w:ind w:firstLine="480" w:firstLineChars="200"/>
              <w:jc w:val="center"/>
              <w:rPr>
                <w:rFonts w:ascii="仿宋_GB2312" w:hAnsi="仿宋_GB2312" w:eastAsia="仿宋_GB2312" w:cs="仿宋_GB2312"/>
                <w:kern w:val="0"/>
                <w:sz w:val="24"/>
                <w:szCs w:val="24"/>
                <w:lang w:val="zh-CN" w:eastAsia="zh-CN" w:bidi="ar-SA"/>
              </w:rPr>
            </w:pPr>
          </w:p>
          <w:p w14:paraId="21842F4F">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655" w:type="pct"/>
            <w:vAlign w:val="center"/>
          </w:tcPr>
          <w:p w14:paraId="18047EC2">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全面</w:t>
            </w:r>
            <w:r>
              <w:rPr>
                <w:rFonts w:hint="eastAsia" w:ascii="仿宋_GB2312" w:hAnsi="仿宋_GB2312" w:eastAsia="仿宋_GB2312" w:cs="仿宋_GB2312"/>
                <w:kern w:val="0"/>
                <w:sz w:val="24"/>
                <w:szCs w:val="24"/>
                <w:lang w:val="en" w:eastAsia="zh-CN" w:bidi="ar-SA"/>
              </w:rPr>
              <w:t>提升通州区韧性建设</w:t>
            </w:r>
          </w:p>
        </w:tc>
        <w:tc>
          <w:tcPr>
            <w:tcW w:w="1697" w:type="pct"/>
            <w:vAlign w:val="center"/>
          </w:tcPr>
          <w:p w14:paraId="67D0BD32">
            <w:pPr>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val="en"/>
              </w:rPr>
              <w:t>努力打造通州区</w:t>
            </w:r>
            <w:r>
              <w:rPr>
                <w:rFonts w:hint="eastAsia" w:ascii="仿宋_GB2312" w:hAnsi="仿宋_GB2312" w:eastAsia="仿宋_GB2312" w:cs="仿宋_GB2312"/>
                <w:kern w:val="0"/>
                <w:sz w:val="24"/>
                <w:szCs w:val="24"/>
              </w:rPr>
              <w:t>气候</w:t>
            </w:r>
            <w:r>
              <w:rPr>
                <w:rFonts w:hint="eastAsia" w:ascii="仿宋_GB2312" w:hAnsi="仿宋_GB2312" w:eastAsia="仿宋_GB2312" w:cs="仿宋_GB2312"/>
                <w:kern w:val="0"/>
                <w:sz w:val="24"/>
                <w:szCs w:val="24"/>
                <w:lang w:val="en"/>
              </w:rPr>
              <w:t>适应型城市</w:t>
            </w:r>
            <w:r>
              <w:rPr>
                <w:rFonts w:hint="eastAsia" w:ascii="仿宋_GB2312" w:hAnsi="仿宋_GB2312" w:eastAsia="仿宋_GB2312" w:cs="仿宋_GB2312"/>
                <w:kern w:val="0"/>
                <w:sz w:val="24"/>
                <w:szCs w:val="24"/>
              </w:rPr>
              <w:t>建设</w:t>
            </w:r>
            <w:r>
              <w:rPr>
                <w:rFonts w:hint="eastAsia" w:ascii="仿宋_GB2312" w:hAnsi="仿宋_GB2312" w:eastAsia="仿宋_GB2312" w:cs="仿宋_GB2312"/>
                <w:kern w:val="0"/>
                <w:sz w:val="24"/>
                <w:szCs w:val="24"/>
                <w:lang w:val="en"/>
              </w:rPr>
              <w:t>试点新样板,提高工程防御能力和社会应对能力。不断完善防洪、排涝、消防、急救等防灾基础设施。均衡布局消防设施，建设分级分类疏散通道和避灾场所，建立安全、可靠、高效疏散救援通道系统。</w:t>
            </w:r>
          </w:p>
        </w:tc>
        <w:tc>
          <w:tcPr>
            <w:tcW w:w="528" w:type="pct"/>
            <w:vAlign w:val="center"/>
          </w:tcPr>
          <w:p w14:paraId="2128B1D0">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7FDB63A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tc>
        <w:tc>
          <w:tcPr>
            <w:tcW w:w="1002" w:type="pct"/>
            <w:vAlign w:val="center"/>
          </w:tcPr>
          <w:p w14:paraId="2C80148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区住房城乡建设委</w:t>
            </w:r>
          </w:p>
          <w:p w14:paraId="4548738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区交通委</w:t>
            </w:r>
          </w:p>
          <w:p w14:paraId="31BE130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区城市管理委</w:t>
            </w:r>
          </w:p>
          <w:p w14:paraId="7D3D385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p w14:paraId="67D82E7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区财政局</w:t>
            </w:r>
          </w:p>
        </w:tc>
      </w:tr>
      <w:tr w14:paraId="61A3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4DCCE76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24</w:t>
            </w:r>
          </w:p>
        </w:tc>
        <w:tc>
          <w:tcPr>
            <w:tcW w:w="655" w:type="pct"/>
            <w:vAlign w:val="center"/>
          </w:tcPr>
          <w:p w14:paraId="73409575">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持续增强基础建设平安韧性能力</w:t>
            </w:r>
          </w:p>
        </w:tc>
        <w:tc>
          <w:tcPr>
            <w:tcW w:w="1697" w:type="pct"/>
            <w:vAlign w:val="center"/>
          </w:tcPr>
          <w:p w14:paraId="6D271FBF">
            <w:pPr>
              <w:spacing w:line="300" w:lineRule="exact"/>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val="en"/>
              </w:rPr>
              <w:t>有序开展既有建筑绿色化改造，分区分类制定既有建筑改造目标，推动具备条件的既有建筑及老旧小区改造执行二星级及以上标准。发展绿色农房，推进农村住宅节能改造，对符合条件的农宅和农村配套公建，按照超低能耗建筑标准建设。</w:t>
            </w:r>
          </w:p>
        </w:tc>
        <w:tc>
          <w:tcPr>
            <w:tcW w:w="528" w:type="pct"/>
            <w:vAlign w:val="center"/>
          </w:tcPr>
          <w:p w14:paraId="6324BA4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6CDA4D1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区住房城乡建设委</w:t>
            </w:r>
          </w:p>
          <w:p w14:paraId="5BE3B08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p>
        </w:tc>
        <w:tc>
          <w:tcPr>
            <w:tcW w:w="1002" w:type="pct"/>
            <w:vAlign w:val="center"/>
          </w:tcPr>
          <w:p w14:paraId="6C7A6AA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区发展改革委</w:t>
            </w:r>
          </w:p>
          <w:p w14:paraId="3593E5A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区城市管理委</w:t>
            </w:r>
          </w:p>
          <w:p w14:paraId="058C3F7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区农业农村局</w:t>
            </w:r>
          </w:p>
          <w:p w14:paraId="29DE1E4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w:t>
            </w:r>
            <w:r>
              <w:rPr>
                <w:rFonts w:ascii="仿宋_GB2312" w:hAnsi="仿宋_GB2312" w:eastAsia="仿宋_GB2312" w:cs="仿宋_GB2312"/>
                <w:kern w:val="0"/>
                <w:sz w:val="24"/>
                <w:szCs w:val="24"/>
                <w:lang w:val="zh-CN" w:eastAsia="zh-CN" w:bidi="ar-SA"/>
              </w:rPr>
              <w:t>财政局</w:t>
            </w:r>
          </w:p>
        </w:tc>
      </w:tr>
      <w:tr w14:paraId="5EA6F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0B8D3A0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25</w:t>
            </w:r>
          </w:p>
        </w:tc>
        <w:tc>
          <w:tcPr>
            <w:tcW w:w="655" w:type="pct"/>
            <w:vAlign w:val="center"/>
          </w:tcPr>
          <w:p w14:paraId="2B7A78A3">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做好地下综合管廊建管协调</w:t>
            </w:r>
          </w:p>
        </w:tc>
        <w:tc>
          <w:tcPr>
            <w:tcW w:w="1697" w:type="pct"/>
            <w:vAlign w:val="center"/>
          </w:tcPr>
          <w:p w14:paraId="2869FBB7">
            <w:pPr>
              <w:spacing w:line="300" w:lineRule="exact"/>
              <w:jc w:val="left"/>
              <w:rPr>
                <w:rFonts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lang w:val="en"/>
              </w:rPr>
              <w:t>科学构建综合管廊体系，协调推进城市副中心、文化旅游区、轨道交通7号线东延、广渠路东延等地下综合管廊建设。</w:t>
            </w:r>
          </w:p>
        </w:tc>
        <w:tc>
          <w:tcPr>
            <w:tcW w:w="528" w:type="pct"/>
            <w:vAlign w:val="center"/>
          </w:tcPr>
          <w:p w14:paraId="2F229A3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6B01F571">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区城市管理委</w:t>
            </w:r>
          </w:p>
        </w:tc>
        <w:tc>
          <w:tcPr>
            <w:tcW w:w="1002" w:type="pct"/>
            <w:vAlign w:val="center"/>
          </w:tcPr>
          <w:p w14:paraId="1604F5B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2DB59ACC">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区发展改革委</w:t>
            </w:r>
          </w:p>
        </w:tc>
      </w:tr>
      <w:tr w14:paraId="5F4A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73" w:type="pct"/>
            <w:vAlign w:val="center"/>
          </w:tcPr>
          <w:p w14:paraId="7A6215F8">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26</w:t>
            </w:r>
          </w:p>
        </w:tc>
        <w:tc>
          <w:tcPr>
            <w:tcW w:w="655" w:type="pct"/>
            <w:vAlign w:val="center"/>
          </w:tcPr>
          <w:p w14:paraId="788C5663">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推进城乡电力电信基础建设</w:t>
            </w:r>
          </w:p>
        </w:tc>
        <w:tc>
          <w:tcPr>
            <w:tcW w:w="1697" w:type="pct"/>
            <w:vAlign w:val="center"/>
          </w:tcPr>
          <w:p w14:paraId="3E18AF43">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推进城乡电力电信基础建设。充分考虑乡镇企业、重点园区的未来发展需求，加快城乡电网升级改造。</w:t>
            </w:r>
            <w:r>
              <w:rPr>
                <w:rFonts w:hint="eastAsia" w:ascii="仿宋_GB2312" w:hAnsi="仿宋_GB2312" w:eastAsia="仿宋_GB2312" w:cs="仿宋_GB2312"/>
                <w:kern w:val="0"/>
                <w:sz w:val="24"/>
                <w:szCs w:val="24"/>
                <w:lang w:val="en" w:eastAsia="zh-CN" w:bidi="ar-SA"/>
              </w:rPr>
              <w:t>供电可靠率</w:t>
            </w:r>
            <w:r>
              <w:rPr>
                <w:rFonts w:hint="eastAsia" w:ascii="仿宋_GB2312" w:hAnsi="仿宋_GB2312" w:eastAsia="仿宋_GB2312" w:cs="仿宋_GB2312"/>
                <w:kern w:val="0"/>
                <w:sz w:val="24"/>
                <w:szCs w:val="24"/>
                <w:lang w:val="en-US" w:eastAsia="zh-CN" w:bidi="ar-SA"/>
              </w:rPr>
              <w:t>155平方公里范围为99.9960%，其余为99.9954%。</w:t>
            </w:r>
          </w:p>
        </w:tc>
        <w:tc>
          <w:tcPr>
            <w:tcW w:w="528" w:type="pct"/>
            <w:vAlign w:val="center"/>
          </w:tcPr>
          <w:p w14:paraId="48DDE96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91CA69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区城市管理委</w:t>
            </w:r>
          </w:p>
        </w:tc>
        <w:tc>
          <w:tcPr>
            <w:tcW w:w="1002" w:type="pct"/>
            <w:vAlign w:val="center"/>
          </w:tcPr>
          <w:p w14:paraId="4117BA69">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区发展改革委</w:t>
            </w:r>
          </w:p>
          <w:p w14:paraId="1AAAA6E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区供电公司</w:t>
            </w:r>
          </w:p>
        </w:tc>
      </w:tr>
      <w:tr w14:paraId="37F8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373" w:type="pct"/>
            <w:vAlign w:val="center"/>
          </w:tcPr>
          <w:p w14:paraId="45A6E1D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27</w:t>
            </w:r>
          </w:p>
        </w:tc>
        <w:tc>
          <w:tcPr>
            <w:tcW w:w="655" w:type="pct"/>
            <w:vAlign w:val="center"/>
          </w:tcPr>
          <w:p w14:paraId="3956E322">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提高乡镇天然气供应能力</w:t>
            </w:r>
          </w:p>
        </w:tc>
        <w:tc>
          <w:tcPr>
            <w:tcW w:w="1697" w:type="pct"/>
            <w:vAlign w:val="center"/>
          </w:tcPr>
          <w:p w14:paraId="221FD768">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提高乡镇天然气供应能力。优化燃气管网布局，完善“四站、五线、三联通”的区域天然气供应格局。</w:t>
            </w:r>
          </w:p>
        </w:tc>
        <w:tc>
          <w:tcPr>
            <w:tcW w:w="528" w:type="pct"/>
            <w:vAlign w:val="center"/>
          </w:tcPr>
          <w:p w14:paraId="0B4CBCDC">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157E8FE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区城市管理委</w:t>
            </w:r>
          </w:p>
        </w:tc>
        <w:tc>
          <w:tcPr>
            <w:tcW w:w="1002" w:type="pct"/>
            <w:vAlign w:val="center"/>
          </w:tcPr>
          <w:p w14:paraId="238B3A9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区发展改革委</w:t>
            </w:r>
          </w:p>
        </w:tc>
      </w:tr>
      <w:tr w14:paraId="34F7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373" w:type="pct"/>
            <w:vAlign w:val="center"/>
          </w:tcPr>
          <w:p w14:paraId="013AB24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28</w:t>
            </w:r>
          </w:p>
        </w:tc>
        <w:tc>
          <w:tcPr>
            <w:tcW w:w="655" w:type="pct"/>
            <w:vAlign w:val="center"/>
          </w:tcPr>
          <w:p w14:paraId="20C4409C">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发展多能互补、绿色低碳的供热体系</w:t>
            </w:r>
          </w:p>
        </w:tc>
        <w:tc>
          <w:tcPr>
            <w:tcW w:w="1697" w:type="pct"/>
            <w:vAlign w:val="center"/>
          </w:tcPr>
          <w:p w14:paraId="011AE78C">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进一步完善以热电联产和燃气供热为主，分布式能源站、蓄能等为补充的绿色供热体系。</w:t>
            </w:r>
          </w:p>
        </w:tc>
        <w:tc>
          <w:tcPr>
            <w:tcW w:w="528" w:type="pct"/>
            <w:vAlign w:val="center"/>
          </w:tcPr>
          <w:p w14:paraId="0F15B322">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708C33A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区城市管理委</w:t>
            </w:r>
          </w:p>
        </w:tc>
        <w:tc>
          <w:tcPr>
            <w:tcW w:w="1002" w:type="pct"/>
            <w:vAlign w:val="center"/>
          </w:tcPr>
          <w:p w14:paraId="231ECED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区发展改革委</w:t>
            </w:r>
          </w:p>
        </w:tc>
      </w:tr>
      <w:tr w14:paraId="6EA9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373" w:type="pct"/>
            <w:vAlign w:val="center"/>
          </w:tcPr>
          <w:p w14:paraId="7404C82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29</w:t>
            </w:r>
          </w:p>
        </w:tc>
        <w:tc>
          <w:tcPr>
            <w:tcW w:w="655" w:type="pct"/>
            <w:vAlign w:val="center"/>
          </w:tcPr>
          <w:p w14:paraId="58BD49D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建立</w:t>
            </w:r>
            <w:r>
              <w:rPr>
                <w:rFonts w:hint="eastAsia" w:ascii="仿宋_GB2312" w:hAnsi="仿宋_GB2312" w:eastAsia="仿宋_GB2312" w:cs="仿宋_GB2312"/>
                <w:kern w:val="0"/>
                <w:sz w:val="24"/>
                <w:szCs w:val="24"/>
                <w:lang w:val="en-US" w:eastAsia="zh-CN" w:bidi="ar-SA"/>
              </w:rPr>
              <w:t>气候</w:t>
            </w:r>
            <w:r>
              <w:rPr>
                <w:rFonts w:hint="eastAsia" w:ascii="仿宋_GB2312" w:hAnsi="仿宋_GB2312" w:eastAsia="仿宋_GB2312" w:cs="仿宋_GB2312"/>
                <w:kern w:val="0"/>
                <w:sz w:val="24"/>
                <w:szCs w:val="24"/>
                <w:lang w:val="en" w:eastAsia="zh-CN" w:bidi="ar-SA"/>
              </w:rPr>
              <w:t>适应型能源管理机制</w:t>
            </w:r>
          </w:p>
        </w:tc>
        <w:tc>
          <w:tcPr>
            <w:tcW w:w="1697" w:type="pct"/>
            <w:vAlign w:val="center"/>
          </w:tcPr>
          <w:p w14:paraId="380DE19F">
            <w:pPr>
              <w:spacing w:line="300" w:lineRule="exact"/>
              <w:jc w:val="left"/>
              <w:rPr>
                <w:rFonts w:ascii="仿宋_GB2312" w:hAnsi="仿宋_GB2312" w:eastAsia="仿宋_GB2312" w:cs="仿宋_GB2312"/>
                <w:sz w:val="24"/>
                <w:szCs w:val="24"/>
                <w:lang w:val="en"/>
              </w:rPr>
            </w:pPr>
            <w:r>
              <w:rPr>
                <w:rFonts w:hint="eastAsia" w:ascii="仿宋_GB2312" w:hAnsi="仿宋_GB2312" w:eastAsia="仿宋_GB2312" w:cs="仿宋_GB2312"/>
                <w:kern w:val="0"/>
                <w:sz w:val="24"/>
                <w:szCs w:val="24"/>
                <w:lang w:val="en"/>
              </w:rPr>
              <w:t>研究建立适应气候变化的能源综合保障方案体系。依托智慧能源管理平台，在整合现有常规电、气、热(冷)资源和服务的基础上，建立区域智慧能源服务体系，优化多种能源协同供给方案。</w:t>
            </w:r>
          </w:p>
        </w:tc>
        <w:tc>
          <w:tcPr>
            <w:tcW w:w="528" w:type="pct"/>
            <w:vAlign w:val="center"/>
          </w:tcPr>
          <w:p w14:paraId="66B9BE5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1EB114A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14"/>
                <w:kern w:val="0"/>
                <w:sz w:val="24"/>
                <w:szCs w:val="24"/>
                <w:lang w:val="zh-CN" w:eastAsia="zh-CN" w:bidi="ar-SA"/>
              </w:rPr>
              <w:t>区城市管理委</w:t>
            </w:r>
          </w:p>
        </w:tc>
        <w:tc>
          <w:tcPr>
            <w:tcW w:w="1002" w:type="pct"/>
            <w:vAlign w:val="center"/>
          </w:tcPr>
          <w:p w14:paraId="26B3342E">
            <w:pPr>
              <w:widowControl w:val="0"/>
              <w:spacing w:line="300" w:lineRule="exact"/>
              <w:ind w:firstLine="0" w:firstLineChars="0"/>
              <w:jc w:val="center"/>
              <w:rPr>
                <w:rFonts w:ascii="仿宋_GB2312" w:hAnsi="仿宋_GB2312" w:eastAsia="仿宋_GB2312" w:cs="仿宋_GB2312"/>
                <w:spacing w:val="9"/>
                <w:kern w:val="0"/>
                <w:sz w:val="24"/>
                <w:szCs w:val="24"/>
                <w:lang w:val="zh-CN" w:eastAsia="zh-CN" w:bidi="ar-SA"/>
              </w:rPr>
            </w:pPr>
            <w:r>
              <w:rPr>
                <w:rFonts w:hint="eastAsia" w:ascii="仿宋_GB2312" w:hAnsi="仿宋_GB2312" w:eastAsia="仿宋_GB2312" w:cs="仿宋_GB2312"/>
                <w:spacing w:val="9"/>
                <w:kern w:val="0"/>
                <w:sz w:val="24"/>
                <w:szCs w:val="24"/>
                <w:lang w:val="zh-CN" w:eastAsia="zh-CN" w:bidi="ar-SA"/>
              </w:rPr>
              <w:t>区发展改革委</w:t>
            </w:r>
          </w:p>
          <w:p w14:paraId="5FED6A73">
            <w:pPr>
              <w:widowControl w:val="0"/>
              <w:spacing w:line="300" w:lineRule="exact"/>
              <w:ind w:firstLine="0" w:firstLineChars="0"/>
              <w:jc w:val="center"/>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tc>
      </w:tr>
      <w:tr w14:paraId="66FF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00" w:type="pct"/>
            <w:gridSpan w:val="6"/>
            <w:vAlign w:val="center"/>
          </w:tcPr>
          <w:p w14:paraId="4E34225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黑体" w:hAnsi="黑体" w:eastAsia="黑体" w:cs="黑体"/>
                <w:bCs/>
                <w:kern w:val="2"/>
                <w:sz w:val="28"/>
                <w:szCs w:val="28"/>
                <w:lang w:val="en-US" w:eastAsia="zh-CN" w:bidi="ar-SA"/>
              </w:rPr>
              <w:t>七、提升城市水安全保障水平</w:t>
            </w:r>
          </w:p>
        </w:tc>
      </w:tr>
      <w:tr w14:paraId="3103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73" w:type="pct"/>
            <w:vAlign w:val="center"/>
          </w:tcPr>
          <w:p w14:paraId="5CBF527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30</w:t>
            </w:r>
          </w:p>
        </w:tc>
        <w:tc>
          <w:tcPr>
            <w:tcW w:w="655" w:type="pct"/>
            <w:vAlign w:val="center"/>
          </w:tcPr>
          <w:p w14:paraId="53130F30">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加快防洪体系建设</w:t>
            </w:r>
          </w:p>
        </w:tc>
        <w:tc>
          <w:tcPr>
            <w:tcW w:w="1697" w:type="pct"/>
            <w:vAlign w:val="center"/>
          </w:tcPr>
          <w:p w14:paraId="28286908">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构建</w:t>
            </w:r>
            <w:r>
              <w:rPr>
                <w:rFonts w:hint="eastAsia" w:ascii="仿宋_GB2312" w:hAnsi="仿宋_GB2312" w:eastAsia="仿宋_GB2312" w:cs="仿宋_GB2312"/>
                <w:kern w:val="0"/>
                <w:sz w:val="24"/>
                <w:szCs w:val="24"/>
                <w:lang w:val="en-US" w:eastAsia="zh-CN" w:bidi="ar-SA"/>
              </w:rPr>
              <w:t>通州区</w:t>
            </w:r>
            <w:r>
              <w:rPr>
                <w:rFonts w:hint="eastAsia" w:ascii="仿宋_GB2312" w:hAnsi="仿宋_GB2312" w:eastAsia="仿宋_GB2312" w:cs="仿宋_GB2312"/>
                <w:kern w:val="0"/>
                <w:sz w:val="24"/>
                <w:szCs w:val="24"/>
                <w:lang w:val="en" w:eastAsia="zh-CN" w:bidi="ar-SA"/>
              </w:rPr>
              <w:t>“一堰、十河、三网、多点、六体系”的防洪排涝格局。基本建成通州堰系列分洪体系，完善整体防洪安全格局。</w:t>
            </w:r>
          </w:p>
        </w:tc>
        <w:tc>
          <w:tcPr>
            <w:tcW w:w="528" w:type="pct"/>
            <w:vAlign w:val="center"/>
          </w:tcPr>
          <w:p w14:paraId="39C4F21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长期实施</w:t>
            </w:r>
          </w:p>
        </w:tc>
        <w:tc>
          <w:tcPr>
            <w:tcW w:w="743" w:type="pct"/>
            <w:vAlign w:val="center"/>
          </w:tcPr>
          <w:p w14:paraId="4BC07148">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区水务局</w:t>
            </w:r>
          </w:p>
        </w:tc>
        <w:tc>
          <w:tcPr>
            <w:tcW w:w="1002" w:type="pct"/>
            <w:vAlign w:val="center"/>
          </w:tcPr>
          <w:p w14:paraId="5A0679FE">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市规划自然资源委通州分局</w:t>
            </w:r>
          </w:p>
          <w:p w14:paraId="5B3CF977">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区发展改革委</w:t>
            </w:r>
          </w:p>
          <w:p w14:paraId="10FEA76B">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区园林绿化局</w:t>
            </w:r>
          </w:p>
          <w:p w14:paraId="41D7B1D6">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区财政局</w:t>
            </w:r>
          </w:p>
        </w:tc>
      </w:tr>
      <w:tr w14:paraId="119F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709571A5">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31</w:t>
            </w:r>
          </w:p>
        </w:tc>
        <w:tc>
          <w:tcPr>
            <w:tcW w:w="655" w:type="pct"/>
            <w:vAlign w:val="center"/>
          </w:tcPr>
          <w:p w14:paraId="15A5243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扎实推进防洪工程</w:t>
            </w:r>
          </w:p>
        </w:tc>
        <w:tc>
          <w:tcPr>
            <w:tcW w:w="1697" w:type="pct"/>
            <w:vAlign w:val="center"/>
          </w:tcPr>
          <w:p w14:paraId="724AD7E8">
            <w:pPr>
              <w:widowControl/>
              <w:spacing w:line="30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
              </w:rPr>
              <w:t>推进宋庄蓄滞洪区一二期连通渠、固堤、围堤建设工作。</w:t>
            </w:r>
            <w:r>
              <w:rPr>
                <w:rFonts w:hint="eastAsia" w:ascii="仿宋_GB2312" w:hAnsi="仿宋_GB2312" w:eastAsia="仿宋_GB2312" w:cs="仿宋_GB2312"/>
                <w:kern w:val="0"/>
                <w:sz w:val="24"/>
                <w:szCs w:val="24"/>
              </w:rPr>
              <w:t>完善宋庄蓄滞洪区调蓄功能、连通调蓄空间、提升调蓄容积。</w:t>
            </w:r>
            <w:r>
              <w:rPr>
                <w:rFonts w:hint="eastAsia" w:ascii="仿宋_GB2312" w:hAnsi="仿宋_GB2312" w:eastAsia="仿宋_GB2312" w:cs="仿宋_GB2312"/>
                <w:kern w:val="0"/>
                <w:sz w:val="24"/>
                <w:szCs w:val="24"/>
                <w:lang w:val="en"/>
              </w:rPr>
              <w:t>到</w:t>
            </w:r>
            <w:r>
              <w:rPr>
                <w:rFonts w:hint="eastAsia" w:ascii="仿宋_GB2312" w:hAnsi="仿宋_GB2312" w:eastAsia="仿宋_GB2312" w:cs="仿宋_GB2312"/>
                <w:kern w:val="0"/>
                <w:sz w:val="24"/>
                <w:szCs w:val="24"/>
              </w:rPr>
              <w:t>2025年底，实现宋庄蓄滞洪区整体900万立方米蓄洪能力。</w:t>
            </w:r>
          </w:p>
        </w:tc>
        <w:tc>
          <w:tcPr>
            <w:tcW w:w="528" w:type="pct"/>
            <w:vAlign w:val="center"/>
          </w:tcPr>
          <w:p w14:paraId="18E8EAFF">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741D3C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tc>
        <w:tc>
          <w:tcPr>
            <w:tcW w:w="1002" w:type="pct"/>
            <w:vAlign w:val="center"/>
          </w:tcPr>
          <w:p w14:paraId="66DD745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tc>
      </w:tr>
      <w:tr w14:paraId="4C52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373" w:type="pct"/>
            <w:vAlign w:val="center"/>
          </w:tcPr>
          <w:p w14:paraId="0384CC5D">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32</w:t>
            </w:r>
          </w:p>
        </w:tc>
        <w:tc>
          <w:tcPr>
            <w:tcW w:w="655" w:type="pct"/>
            <w:vAlign w:val="center"/>
          </w:tcPr>
          <w:p w14:paraId="75913AD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提高城市排涝</w:t>
            </w:r>
          </w:p>
        </w:tc>
        <w:tc>
          <w:tcPr>
            <w:tcW w:w="1697" w:type="pct"/>
            <w:vAlign w:val="center"/>
          </w:tcPr>
          <w:p w14:paraId="359763C9">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实施主要排涝河道综合治理、规划蓄涝区及排涝泵站建设，提高城市排涝能力。加快老城区新华、中仓、北苑、玉桥等街道及永顺、梨园地区主要道路雨水管网、雨水泵站达标治理和升级改造。</w:t>
            </w:r>
          </w:p>
        </w:tc>
        <w:tc>
          <w:tcPr>
            <w:tcW w:w="528" w:type="pct"/>
            <w:vAlign w:val="center"/>
          </w:tcPr>
          <w:p w14:paraId="25DC6B30">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C136C5D">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区水务局</w:t>
            </w:r>
          </w:p>
        </w:tc>
        <w:tc>
          <w:tcPr>
            <w:tcW w:w="1002" w:type="pct"/>
            <w:vAlign w:val="center"/>
          </w:tcPr>
          <w:p w14:paraId="711183F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区城市管理委</w:t>
            </w:r>
          </w:p>
          <w:p w14:paraId="7C154623">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区交通委</w:t>
            </w:r>
          </w:p>
          <w:p w14:paraId="47E3A566">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市规划自然资源委通州分局</w:t>
            </w:r>
          </w:p>
        </w:tc>
      </w:tr>
      <w:tr w14:paraId="50B9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373" w:type="pct"/>
            <w:vAlign w:val="center"/>
          </w:tcPr>
          <w:p w14:paraId="6121D8A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33</w:t>
            </w:r>
          </w:p>
        </w:tc>
        <w:tc>
          <w:tcPr>
            <w:tcW w:w="655" w:type="pct"/>
            <w:vAlign w:val="center"/>
          </w:tcPr>
          <w:p w14:paraId="547FF93C">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持续提升水生态环境</w:t>
            </w:r>
          </w:p>
        </w:tc>
        <w:tc>
          <w:tcPr>
            <w:tcW w:w="1697" w:type="pct"/>
            <w:vAlign w:val="center"/>
          </w:tcPr>
          <w:p w14:paraId="7CEA8114">
            <w:pPr>
              <w:keepNext/>
              <w:keepLines/>
              <w:widowControl w:val="0"/>
              <w:spacing w:before="0" w:after="0" w:line="300" w:lineRule="exact"/>
              <w:ind w:firstLine="0" w:firstLineChars="0"/>
              <w:jc w:val="left"/>
              <w:outlineLvl w:val="2"/>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kern w:val="0"/>
                <w:sz w:val="24"/>
                <w:szCs w:val="24"/>
                <w:lang w:val="en" w:eastAsia="zh-CN" w:bidi="ar-SA"/>
              </w:rPr>
              <w:t>持续完善“三网、四带、多水面、多湿地”水系格局。划定河道、蓄滞洪区水生态管控空间。严控与水生态空间主体功能不符的新增建设项目。统筹推进河湖水生态保护修复和地下水超采综合治理,持续实施流域生态补水,保障北运河、潮白河等生态水量,精准回补地下水储备区,推动实现地表地下协同修复。</w:t>
            </w:r>
          </w:p>
        </w:tc>
        <w:tc>
          <w:tcPr>
            <w:tcW w:w="528" w:type="pct"/>
            <w:vAlign w:val="center"/>
          </w:tcPr>
          <w:p w14:paraId="55B76FEE">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350A3907">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区水务局</w:t>
            </w:r>
          </w:p>
        </w:tc>
        <w:tc>
          <w:tcPr>
            <w:tcW w:w="1002" w:type="pct"/>
            <w:vAlign w:val="center"/>
          </w:tcPr>
          <w:p w14:paraId="28B7A28D">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区生态环境局</w:t>
            </w:r>
          </w:p>
          <w:p w14:paraId="4E530981">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市规划自然资源委通州分局</w:t>
            </w:r>
          </w:p>
          <w:p w14:paraId="49ACCC43">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区园林绿化局</w:t>
            </w:r>
          </w:p>
        </w:tc>
      </w:tr>
      <w:tr w14:paraId="0C2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373" w:type="pct"/>
            <w:vAlign w:val="center"/>
          </w:tcPr>
          <w:p w14:paraId="22F2753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34</w:t>
            </w:r>
          </w:p>
        </w:tc>
        <w:tc>
          <w:tcPr>
            <w:tcW w:w="655" w:type="pct"/>
            <w:vAlign w:val="center"/>
          </w:tcPr>
          <w:p w14:paraId="5A24624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深化海绵城市建设</w:t>
            </w:r>
          </w:p>
        </w:tc>
        <w:tc>
          <w:tcPr>
            <w:tcW w:w="1697" w:type="pct"/>
            <w:vAlign w:val="center"/>
          </w:tcPr>
          <w:p w14:paraId="221C8D93">
            <w:pPr>
              <w:widowControl w:val="0"/>
              <w:spacing w:line="300" w:lineRule="exact"/>
              <w:ind w:firstLine="0" w:firstLineChars="0"/>
              <w:jc w:val="left"/>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全面深化海绵城市建设，持续深入推进试点工程，海绵城市</w:t>
            </w:r>
            <w:r>
              <w:rPr>
                <w:rFonts w:hint="eastAsia" w:ascii="仿宋_GB2312" w:hAnsi="仿宋_GB2312" w:eastAsia="仿宋_GB2312" w:cs="仿宋_GB2312"/>
                <w:kern w:val="0"/>
                <w:sz w:val="24"/>
                <w:szCs w:val="24"/>
                <w:lang w:val="en-US" w:eastAsia="zh-CN" w:bidi="ar-SA"/>
              </w:rPr>
              <w:t>建设达标比例达到50%</w:t>
            </w:r>
            <w:r>
              <w:rPr>
                <w:rFonts w:hint="eastAsia" w:ascii="仿宋_GB2312" w:hAnsi="仿宋_GB2312" w:eastAsia="仿宋_GB2312" w:cs="仿宋_GB2312"/>
                <w:kern w:val="0"/>
                <w:sz w:val="24"/>
                <w:szCs w:val="24"/>
                <w:lang w:val="en" w:eastAsia="zh-CN" w:bidi="ar-SA"/>
              </w:rPr>
              <w:t>。</w:t>
            </w:r>
          </w:p>
        </w:tc>
        <w:tc>
          <w:tcPr>
            <w:tcW w:w="528" w:type="pct"/>
            <w:vAlign w:val="center"/>
          </w:tcPr>
          <w:p w14:paraId="6C8B68D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3CAA6B3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14"/>
                <w:kern w:val="0"/>
                <w:sz w:val="24"/>
                <w:szCs w:val="24"/>
                <w:lang w:val="zh-CN" w:eastAsia="zh-CN" w:bidi="ar-SA"/>
              </w:rPr>
              <w:t>区水务局</w:t>
            </w:r>
          </w:p>
        </w:tc>
        <w:tc>
          <w:tcPr>
            <w:tcW w:w="1002" w:type="pct"/>
            <w:vAlign w:val="center"/>
          </w:tcPr>
          <w:p w14:paraId="284C7C65">
            <w:pPr>
              <w:spacing w:line="300" w:lineRule="exact"/>
              <w:jc w:val="center"/>
              <w:rPr>
                <w:rFonts w:ascii="仿宋_GB2312" w:hAnsi="仿宋_GB2312" w:eastAsia="仿宋_GB2312" w:cs="仿宋_GB2312"/>
                <w:spacing w:val="14"/>
                <w:kern w:val="0"/>
                <w:sz w:val="24"/>
                <w:szCs w:val="24"/>
                <w:lang w:val="zh-CN"/>
              </w:rPr>
            </w:pPr>
            <w:r>
              <w:rPr>
                <w:rFonts w:hint="eastAsia" w:ascii="仿宋_GB2312" w:hAnsi="仿宋_GB2312" w:eastAsia="仿宋_GB2312" w:cs="仿宋_GB2312"/>
                <w:spacing w:val="14"/>
                <w:kern w:val="0"/>
                <w:sz w:val="24"/>
                <w:szCs w:val="24"/>
                <w:lang w:val="zh-CN"/>
              </w:rPr>
              <w:t>区园林绿化局</w:t>
            </w:r>
          </w:p>
          <w:p w14:paraId="1C54FB62">
            <w:pPr>
              <w:spacing w:line="300" w:lineRule="exact"/>
              <w:jc w:val="center"/>
              <w:rPr>
                <w:rFonts w:ascii="仿宋_GB2312" w:hAnsi="仿宋_GB2312" w:eastAsia="仿宋_GB2312" w:cs="仿宋_GB2312"/>
                <w:spacing w:val="14"/>
                <w:kern w:val="0"/>
                <w:sz w:val="24"/>
                <w:szCs w:val="24"/>
                <w:lang w:val="zh-CN"/>
              </w:rPr>
            </w:pPr>
            <w:r>
              <w:rPr>
                <w:rFonts w:hint="eastAsia" w:ascii="仿宋_GB2312" w:hAnsi="仿宋_GB2312" w:eastAsia="仿宋_GB2312" w:cs="仿宋_GB2312"/>
                <w:spacing w:val="14"/>
                <w:kern w:val="0"/>
                <w:sz w:val="24"/>
                <w:szCs w:val="24"/>
                <w:lang w:val="zh-CN"/>
              </w:rPr>
              <w:t>区城市管理委</w:t>
            </w:r>
          </w:p>
          <w:p w14:paraId="0F9E27F7">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14"/>
                <w:kern w:val="0"/>
                <w:sz w:val="24"/>
                <w:szCs w:val="24"/>
                <w:lang w:val="zh-CN"/>
              </w:rPr>
              <w:t>区住房城乡建设委</w:t>
            </w:r>
          </w:p>
        </w:tc>
      </w:tr>
      <w:tr w14:paraId="0DFD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73" w:type="pct"/>
            <w:vAlign w:val="center"/>
          </w:tcPr>
          <w:p w14:paraId="2FC58DE1">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35</w:t>
            </w:r>
          </w:p>
        </w:tc>
        <w:tc>
          <w:tcPr>
            <w:tcW w:w="655" w:type="pct"/>
            <w:vAlign w:val="center"/>
          </w:tcPr>
          <w:p w14:paraId="197CAE27">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提升水资源安全保障能力</w:t>
            </w:r>
          </w:p>
        </w:tc>
        <w:tc>
          <w:tcPr>
            <w:tcW w:w="1697" w:type="pct"/>
            <w:vAlign w:val="center"/>
          </w:tcPr>
          <w:p w14:paraId="1176B9B2">
            <w:pPr>
              <w:keepNext/>
              <w:keepLines/>
              <w:widowControl w:val="0"/>
              <w:spacing w:before="0" w:after="0" w:line="300" w:lineRule="exact"/>
              <w:ind w:firstLine="0" w:firstLineChars="0"/>
              <w:jc w:val="left"/>
              <w:outlineLvl w:val="2"/>
              <w:rPr>
                <w:rFonts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kern w:val="0"/>
                <w:sz w:val="24"/>
                <w:szCs w:val="24"/>
                <w:lang w:val="en" w:eastAsia="zh-CN" w:bidi="ar-SA"/>
              </w:rPr>
              <w:t>制定重要饮用水水源地名录，动态实施辖区集中式饮用水水源保护区划定和优化调整。完善通州区“多水源、多水路”水源保障格局，提高城市供水安全保障。</w:t>
            </w:r>
            <w:r>
              <w:rPr>
                <w:rFonts w:hint="eastAsia" w:ascii="仿宋_GB2312" w:hAnsi="仿宋_GB2312" w:eastAsia="仿宋_GB2312" w:cs="仿宋_GB2312"/>
                <w:b w:val="0"/>
                <w:bCs w:val="0"/>
                <w:kern w:val="0"/>
                <w:sz w:val="24"/>
                <w:szCs w:val="24"/>
                <w:lang w:val="zh-CN" w:eastAsia="zh-CN" w:bidi="ar-SA"/>
              </w:rPr>
              <w:t>集中式饮用水源地水质达标率达</w:t>
            </w:r>
            <w:r>
              <w:rPr>
                <w:rFonts w:hint="eastAsia" w:ascii="仿宋_GB2312" w:hAnsi="仿宋_GB2312" w:eastAsia="仿宋_GB2312" w:cs="仿宋_GB2312"/>
                <w:b w:val="0"/>
                <w:bCs w:val="0"/>
                <w:kern w:val="0"/>
                <w:sz w:val="24"/>
                <w:szCs w:val="24"/>
                <w:lang w:val="en-US" w:eastAsia="zh-CN" w:bidi="ar-SA"/>
              </w:rPr>
              <w:t>100%。</w:t>
            </w:r>
          </w:p>
        </w:tc>
        <w:tc>
          <w:tcPr>
            <w:tcW w:w="528" w:type="pct"/>
            <w:vAlign w:val="center"/>
          </w:tcPr>
          <w:p w14:paraId="40A0E13A">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w:t>
            </w:r>
            <w:r>
              <w:rPr>
                <w:rFonts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年</w:t>
            </w:r>
          </w:p>
        </w:tc>
        <w:tc>
          <w:tcPr>
            <w:tcW w:w="743" w:type="pct"/>
            <w:vAlign w:val="center"/>
          </w:tcPr>
          <w:p w14:paraId="33FCC4E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tc>
        <w:tc>
          <w:tcPr>
            <w:tcW w:w="1002" w:type="pct"/>
            <w:vAlign w:val="center"/>
          </w:tcPr>
          <w:p w14:paraId="2B5D11E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p w14:paraId="25F7253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各</w:t>
            </w:r>
            <w:r>
              <w:rPr>
                <w:rFonts w:hint="eastAsia" w:ascii="仿宋_GB2312" w:hAnsi="仿宋_GB2312" w:eastAsia="仿宋_GB2312" w:cs="仿宋_GB2312"/>
                <w:kern w:val="0"/>
                <w:sz w:val="24"/>
                <w:szCs w:val="24"/>
                <w:lang w:val="en-US" w:eastAsia="zh-CN" w:bidi="ar-SA"/>
              </w:rPr>
              <w:t>街道乡镇</w:t>
            </w:r>
          </w:p>
        </w:tc>
      </w:tr>
      <w:tr w14:paraId="4A8E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6"/>
            <w:vAlign w:val="center"/>
          </w:tcPr>
          <w:p w14:paraId="76BE112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黑体" w:hAnsi="黑体" w:eastAsia="黑体" w:cs="黑体"/>
                <w:bCs/>
                <w:kern w:val="2"/>
                <w:sz w:val="28"/>
                <w:szCs w:val="28"/>
                <w:lang w:val="en-US" w:eastAsia="zh-CN" w:bidi="ar-SA"/>
              </w:rPr>
              <w:t>八、保障城市交通安全运行</w:t>
            </w:r>
          </w:p>
        </w:tc>
      </w:tr>
      <w:tr w14:paraId="2463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373" w:type="pct"/>
            <w:vAlign w:val="center"/>
          </w:tcPr>
          <w:p w14:paraId="6A1966BD">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36</w:t>
            </w:r>
          </w:p>
        </w:tc>
        <w:tc>
          <w:tcPr>
            <w:tcW w:w="655" w:type="pct"/>
            <w:vAlign w:val="center"/>
          </w:tcPr>
          <w:p w14:paraId="5C41DBFA">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完善通达顺畅的道路交通</w:t>
            </w:r>
          </w:p>
        </w:tc>
        <w:tc>
          <w:tcPr>
            <w:tcW w:w="1697" w:type="pct"/>
            <w:vAlign w:val="center"/>
          </w:tcPr>
          <w:p w14:paraId="23D0C706">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基本建成“十一横九纵”骨干路网体系，加强北京城市副中心核心区与各城乡组团之间的通道建设。建设智慧交通系统，利用大数据动态优化信号灯配时方案，提升通行效率，提升绿色出行比例。</w:t>
            </w:r>
            <w:r>
              <w:rPr>
                <w:rFonts w:hint="eastAsia" w:ascii="仿宋_GB2312" w:hAnsi="仿宋_GB2312" w:eastAsia="仿宋_GB2312" w:cs="仿宋_GB2312"/>
                <w:kern w:val="0"/>
                <w:sz w:val="24"/>
                <w:szCs w:val="24"/>
                <w:lang w:val="zh-CN" w:eastAsia="zh-CN" w:bidi="ar-SA"/>
              </w:rPr>
              <w:t>绿色出行比例达到</w:t>
            </w:r>
            <w:r>
              <w:rPr>
                <w:rFonts w:hint="eastAsia" w:ascii="仿宋_GB2312" w:hAnsi="仿宋_GB2312" w:eastAsia="仿宋_GB2312" w:cs="仿宋_GB2312"/>
                <w:kern w:val="0"/>
                <w:sz w:val="24"/>
                <w:szCs w:val="24"/>
                <w:lang w:val="en-US" w:eastAsia="zh-CN" w:bidi="ar-SA"/>
              </w:rPr>
              <w:t>80%左右。</w:t>
            </w:r>
          </w:p>
        </w:tc>
        <w:tc>
          <w:tcPr>
            <w:tcW w:w="528" w:type="pct"/>
            <w:vAlign w:val="center"/>
          </w:tcPr>
          <w:p w14:paraId="780CA80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036FC5F8">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区交通委</w:t>
            </w:r>
          </w:p>
        </w:tc>
        <w:tc>
          <w:tcPr>
            <w:tcW w:w="1002" w:type="pct"/>
            <w:vAlign w:val="center"/>
          </w:tcPr>
          <w:p w14:paraId="35EEF6E8">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区交通支队</w:t>
            </w:r>
          </w:p>
          <w:p w14:paraId="61EC35D5">
            <w:pPr>
              <w:widowControl w:val="0"/>
              <w:spacing w:line="300" w:lineRule="exact"/>
              <w:ind w:firstLine="0" w:firstLineChars="0"/>
              <w:jc w:val="center"/>
              <w:rPr>
                <w:rFonts w:hint="eastAsia"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区政务和</w:t>
            </w:r>
            <w:r>
              <w:rPr>
                <w:rFonts w:ascii="仿宋_GB2312" w:hAnsi="仿宋_GB2312" w:eastAsia="仿宋_GB2312" w:cs="仿宋_GB2312"/>
                <w:kern w:val="0"/>
                <w:sz w:val="24"/>
                <w:szCs w:val="24"/>
                <w:lang w:val="zh-CN" w:eastAsia="zh-CN" w:bidi="ar-SA"/>
              </w:rPr>
              <w:t>数据</w:t>
            </w:r>
            <w:r>
              <w:rPr>
                <w:rFonts w:hint="eastAsia" w:ascii="仿宋_GB2312" w:hAnsi="仿宋_GB2312" w:eastAsia="仿宋_GB2312" w:cs="仿宋_GB2312"/>
                <w:kern w:val="0"/>
                <w:sz w:val="24"/>
                <w:szCs w:val="24"/>
                <w:lang w:val="zh-CN" w:eastAsia="zh-CN" w:bidi="ar-SA"/>
              </w:rPr>
              <w:t>局</w:t>
            </w:r>
          </w:p>
        </w:tc>
      </w:tr>
      <w:tr w14:paraId="041E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373" w:type="pct"/>
            <w:vAlign w:val="center"/>
          </w:tcPr>
          <w:p w14:paraId="4A3D199D">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37</w:t>
            </w:r>
          </w:p>
        </w:tc>
        <w:tc>
          <w:tcPr>
            <w:tcW w:w="655" w:type="pct"/>
            <w:vAlign w:val="center"/>
          </w:tcPr>
          <w:p w14:paraId="36AF50A4">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打造韧性交通道路体系</w:t>
            </w:r>
          </w:p>
        </w:tc>
        <w:tc>
          <w:tcPr>
            <w:tcW w:w="1697" w:type="pct"/>
            <w:vAlign w:val="center"/>
          </w:tcPr>
          <w:p w14:paraId="1A127AE9">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完善气候变化对交通道路、轨道、候车点位以及地下通道等配套设施的影响和风险评估。</w:t>
            </w:r>
            <w:r>
              <w:rPr>
                <w:rFonts w:hint="eastAsia" w:ascii="仿宋_GB2312" w:hAnsi="仿宋_GB2312" w:eastAsia="仿宋_GB2312" w:cs="仿宋_GB2312"/>
                <w:kern w:val="0"/>
                <w:sz w:val="24"/>
                <w:szCs w:val="24"/>
                <w:lang w:val="en" w:eastAsia="zh-CN" w:bidi="ar-SA"/>
              </w:rPr>
              <w:t>提升关键交通基础设施平安防护能力，强化设施养护和运行监测检测，提高城市交通设施耐久性和可靠性。</w:t>
            </w:r>
          </w:p>
        </w:tc>
        <w:tc>
          <w:tcPr>
            <w:tcW w:w="528" w:type="pct"/>
            <w:vAlign w:val="center"/>
          </w:tcPr>
          <w:p w14:paraId="724C133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38885590">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区公路</w:t>
            </w:r>
            <w:r>
              <w:rPr>
                <w:rFonts w:hint="eastAsia" w:ascii="仿宋_GB2312" w:hAnsi="仿宋_GB2312" w:eastAsia="仿宋_GB2312" w:cs="仿宋_GB2312"/>
                <w:kern w:val="0"/>
                <w:sz w:val="24"/>
                <w:szCs w:val="24"/>
                <w:lang w:val="en-US" w:eastAsia="zh-CN" w:bidi="ar-SA"/>
              </w:rPr>
              <w:t>分</w:t>
            </w:r>
            <w:r>
              <w:rPr>
                <w:rFonts w:hint="eastAsia" w:ascii="仿宋_GB2312" w:hAnsi="仿宋_GB2312" w:eastAsia="仿宋_GB2312" w:cs="仿宋_GB2312"/>
                <w:kern w:val="0"/>
                <w:sz w:val="24"/>
                <w:szCs w:val="24"/>
                <w:lang w:val="zh-CN" w:eastAsia="zh-CN" w:bidi="ar-SA"/>
              </w:rPr>
              <w:t>局</w:t>
            </w:r>
          </w:p>
        </w:tc>
        <w:tc>
          <w:tcPr>
            <w:tcW w:w="1002" w:type="pct"/>
            <w:vAlign w:val="center"/>
          </w:tcPr>
          <w:p w14:paraId="521FDF3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区交通委</w:t>
            </w:r>
          </w:p>
          <w:p w14:paraId="16E2947E">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zh-CN" w:eastAsia="zh-CN" w:bidi="ar-SA"/>
              </w:rPr>
              <w:t>区城市管理委</w:t>
            </w:r>
          </w:p>
        </w:tc>
      </w:tr>
      <w:tr w14:paraId="65A6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373" w:type="pct"/>
            <w:vAlign w:val="center"/>
          </w:tcPr>
          <w:p w14:paraId="5A4E858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38</w:t>
            </w:r>
          </w:p>
        </w:tc>
        <w:tc>
          <w:tcPr>
            <w:tcW w:w="655" w:type="pct"/>
            <w:vAlign w:val="center"/>
          </w:tcPr>
          <w:p w14:paraId="08A4A0EE">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提升交通领域防灾抗灾能力</w:t>
            </w:r>
          </w:p>
        </w:tc>
        <w:tc>
          <w:tcPr>
            <w:tcW w:w="1697" w:type="pct"/>
            <w:vAlign w:val="center"/>
          </w:tcPr>
          <w:p w14:paraId="5B63B958">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 w:eastAsia="zh-CN" w:bidi="ar-SA"/>
              </w:rPr>
              <w:t>完善城市应急通道网络，构建四级应急通道网络和“主+副”两类出入口组成的城市疏散救援道路体系。</w:t>
            </w:r>
          </w:p>
        </w:tc>
        <w:tc>
          <w:tcPr>
            <w:tcW w:w="528" w:type="pct"/>
            <w:vAlign w:val="center"/>
          </w:tcPr>
          <w:p w14:paraId="52A9C5A2">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2C4B3CD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区交通委</w:t>
            </w:r>
          </w:p>
        </w:tc>
        <w:tc>
          <w:tcPr>
            <w:tcW w:w="1002" w:type="pct"/>
            <w:vAlign w:val="center"/>
          </w:tcPr>
          <w:p w14:paraId="43D842D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区应急管理局</w:t>
            </w:r>
          </w:p>
          <w:p w14:paraId="17713D9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区气象局</w:t>
            </w:r>
          </w:p>
          <w:p w14:paraId="320FF9F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区财政局</w:t>
            </w:r>
          </w:p>
        </w:tc>
      </w:tr>
      <w:tr w14:paraId="50CD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6"/>
            <w:vAlign w:val="center"/>
          </w:tcPr>
          <w:p w14:paraId="7F842792">
            <w:pPr>
              <w:keepNext/>
              <w:keepLines/>
              <w:widowControl w:val="0"/>
              <w:spacing w:before="0" w:after="0" w:line="300" w:lineRule="exact"/>
              <w:ind w:firstLine="0" w:firstLineChars="0"/>
              <w:jc w:val="center"/>
              <w:outlineLvl w:val="1"/>
              <w:rPr>
                <w:rFonts w:ascii="仿宋_GB2312" w:hAnsi="仿宋_GB2312" w:eastAsia="仿宋_GB2312" w:cs="仿宋_GB2312"/>
                <w:b/>
                <w:bCs/>
                <w:kern w:val="2"/>
                <w:sz w:val="24"/>
                <w:szCs w:val="24"/>
                <w:lang w:val="en-US" w:eastAsia="zh-CN" w:bidi="ar-SA"/>
              </w:rPr>
            </w:pPr>
            <w:r>
              <w:rPr>
                <w:rFonts w:hint="eastAsia" w:ascii="黑体" w:hAnsi="黑体" w:eastAsia="黑体" w:cs="黑体"/>
                <w:b w:val="0"/>
                <w:bCs/>
                <w:kern w:val="2"/>
                <w:sz w:val="28"/>
                <w:szCs w:val="28"/>
                <w:lang w:val="zh-CN" w:eastAsia="zh-CN" w:bidi="ar-SA"/>
              </w:rPr>
              <w:t>九、提升城市生态系统服务功能</w:t>
            </w:r>
          </w:p>
        </w:tc>
      </w:tr>
      <w:tr w14:paraId="313C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14:paraId="4F3E708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39</w:t>
            </w:r>
          </w:p>
        </w:tc>
        <w:tc>
          <w:tcPr>
            <w:tcW w:w="655" w:type="pct"/>
            <w:vAlign w:val="center"/>
          </w:tcPr>
          <w:p w14:paraId="2C5C5949">
            <w:pPr>
              <w:widowControl w:val="0"/>
              <w:spacing w:line="300" w:lineRule="exact"/>
              <w:ind w:firstLine="0" w:firstLineChars="0"/>
              <w:jc w:val="center"/>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建设蓝绿交织的生态屏障</w:t>
            </w:r>
          </w:p>
        </w:tc>
        <w:tc>
          <w:tcPr>
            <w:tcW w:w="1697" w:type="pct"/>
            <w:vAlign w:val="center"/>
          </w:tcPr>
          <w:p w14:paraId="661A1985">
            <w:pPr>
              <w:widowControl w:val="0"/>
              <w:spacing w:line="300" w:lineRule="exact"/>
              <w:ind w:firstLine="0" w:firstLineChars="0"/>
              <w:jc w:val="left"/>
              <w:rPr>
                <w:rFonts w:ascii="仿宋_GB2312" w:hAnsi="仿宋_GB2312" w:eastAsia="仿宋_GB2312" w:cs="仿宋_GB2312"/>
                <w:kern w:val="0"/>
                <w:sz w:val="24"/>
                <w:szCs w:val="24"/>
                <w:lang w:val="en" w:eastAsia="zh-CN" w:bidi="ar-SA"/>
              </w:rPr>
            </w:pPr>
            <w:r>
              <w:rPr>
                <w:rFonts w:hint="eastAsia" w:ascii="仿宋_GB2312" w:hAnsi="仿宋_GB2312" w:eastAsia="仿宋_GB2312" w:cs="仿宋_GB2312"/>
                <w:kern w:val="0"/>
                <w:sz w:val="24"/>
                <w:szCs w:val="24"/>
                <w:lang w:val="en-US" w:eastAsia="zh-CN" w:bidi="ar-SA"/>
              </w:rPr>
              <w:t>加快建设“一心、一环、两带、两区”的城市绿色空间格局，推进东西部生态绿带和南北生态廊道控制区建设，全面增加通州区绿色空间总量。每年实施1000亩精品近自然景观林改造提升示范区，不断提高区域绿色空间品质。全区森林覆盖率达到 34.6%。</w:t>
            </w:r>
          </w:p>
        </w:tc>
        <w:tc>
          <w:tcPr>
            <w:tcW w:w="528" w:type="pct"/>
            <w:vAlign w:val="center"/>
          </w:tcPr>
          <w:p w14:paraId="0CF5F36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4A90EBA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7"/>
                <w:kern w:val="0"/>
                <w:sz w:val="24"/>
                <w:szCs w:val="24"/>
                <w:lang w:val="zh-CN" w:eastAsia="zh-CN" w:bidi="ar-SA"/>
              </w:rPr>
              <w:t>区</w:t>
            </w:r>
            <w:r>
              <w:rPr>
                <w:rFonts w:hint="eastAsia" w:ascii="仿宋_GB2312" w:hAnsi="仿宋_GB2312" w:eastAsia="仿宋_GB2312" w:cs="仿宋_GB2312"/>
                <w:spacing w:val="9"/>
                <w:kern w:val="0"/>
                <w:sz w:val="24"/>
                <w:szCs w:val="24"/>
                <w:lang w:val="zh-CN" w:eastAsia="zh-CN" w:bidi="ar-SA"/>
              </w:rPr>
              <w:t>园林绿化</w:t>
            </w:r>
            <w:r>
              <w:rPr>
                <w:rFonts w:hint="eastAsia" w:ascii="仿宋_GB2312" w:hAnsi="仿宋_GB2312" w:eastAsia="仿宋_GB2312" w:cs="仿宋_GB2312"/>
                <w:spacing w:val="8"/>
                <w:kern w:val="0"/>
                <w:sz w:val="24"/>
                <w:szCs w:val="24"/>
                <w:lang w:val="zh-CN" w:eastAsia="zh-CN" w:bidi="ar-SA"/>
              </w:rPr>
              <w:t>局</w:t>
            </w:r>
          </w:p>
        </w:tc>
        <w:tc>
          <w:tcPr>
            <w:tcW w:w="1002" w:type="pct"/>
            <w:vAlign w:val="center"/>
          </w:tcPr>
          <w:p w14:paraId="36AC022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7"/>
                <w:kern w:val="0"/>
                <w:sz w:val="24"/>
                <w:szCs w:val="24"/>
                <w:lang w:val="zh-CN" w:eastAsia="zh-CN" w:bidi="ar-SA"/>
              </w:rPr>
              <w:t>市规划自然资源委通州分局</w:t>
            </w:r>
          </w:p>
        </w:tc>
      </w:tr>
      <w:tr w14:paraId="6EAA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73" w:type="pct"/>
            <w:vAlign w:val="center"/>
          </w:tcPr>
          <w:p w14:paraId="3ABC81A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40</w:t>
            </w:r>
          </w:p>
        </w:tc>
        <w:tc>
          <w:tcPr>
            <w:tcW w:w="655" w:type="pct"/>
            <w:vAlign w:val="center"/>
          </w:tcPr>
          <w:p w14:paraId="16D129BF">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强化生态系统功能</w:t>
            </w:r>
          </w:p>
        </w:tc>
        <w:tc>
          <w:tcPr>
            <w:tcW w:w="1697" w:type="pct"/>
            <w:vAlign w:val="center"/>
          </w:tcPr>
          <w:p w14:paraId="7716F541">
            <w:pPr>
              <w:widowControl w:val="0"/>
              <w:spacing w:line="300" w:lineRule="exact"/>
              <w:ind w:firstLine="0" w:firstLineChars="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提升森林生态服务功能价值。培育近自然、复层、异龄、混交的多功能森林生态系统。加强平原生态林的分级分类经营,提高林地生产力和森林质量及服务功能。</w:t>
            </w:r>
          </w:p>
        </w:tc>
        <w:tc>
          <w:tcPr>
            <w:tcW w:w="528" w:type="pct"/>
            <w:vAlign w:val="center"/>
          </w:tcPr>
          <w:p w14:paraId="2552C7F3">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296CE8D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tc>
        <w:tc>
          <w:tcPr>
            <w:tcW w:w="1002" w:type="pct"/>
            <w:vAlign w:val="center"/>
          </w:tcPr>
          <w:p w14:paraId="4F2A8109">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市规划自然资源委通州分局</w:t>
            </w:r>
          </w:p>
          <w:p w14:paraId="591A381C">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r>
      <w:tr w14:paraId="3B4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14:paraId="5A883CAB">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41</w:t>
            </w:r>
          </w:p>
        </w:tc>
        <w:tc>
          <w:tcPr>
            <w:tcW w:w="655" w:type="pct"/>
            <w:vAlign w:val="center"/>
          </w:tcPr>
          <w:p w14:paraId="1D14E44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 w:eastAsia="zh-CN" w:bidi="ar-SA"/>
              </w:rPr>
              <w:t>保护生物多样性</w:t>
            </w:r>
          </w:p>
        </w:tc>
        <w:tc>
          <w:tcPr>
            <w:tcW w:w="1697" w:type="pct"/>
            <w:vAlign w:val="center"/>
          </w:tcPr>
          <w:p w14:paraId="0D33AD04">
            <w:pPr>
              <w:widowControl w:val="0"/>
              <w:spacing w:line="300" w:lineRule="exact"/>
              <w:ind w:left="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优化植物选种配置，完善绿色空间格局，营造多样化植被环境。围绕潮白河、温榆河等河流水系，修复滨水湿地生态，建设亲水风景长廊。强化生物多样性保护,优化自然保护地体系,构建多层级生态廊道,推动建设生物多样性城市。</w:t>
            </w:r>
          </w:p>
        </w:tc>
        <w:tc>
          <w:tcPr>
            <w:tcW w:w="528" w:type="pct"/>
            <w:vAlign w:val="center"/>
          </w:tcPr>
          <w:p w14:paraId="77300A0F">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5F19AA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tc>
        <w:tc>
          <w:tcPr>
            <w:tcW w:w="1002" w:type="pct"/>
            <w:vAlign w:val="center"/>
          </w:tcPr>
          <w:p w14:paraId="5199D0AA">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p w14:paraId="4A209CC6">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区水务局</w:t>
            </w:r>
          </w:p>
          <w:p w14:paraId="514ECCE9">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区农业农村局</w:t>
            </w:r>
          </w:p>
          <w:p w14:paraId="6CB84A6F">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市规划自然资源委通州分局</w:t>
            </w:r>
          </w:p>
        </w:tc>
      </w:tr>
      <w:tr w14:paraId="4ADE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84A6E47">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42</w:t>
            </w:r>
          </w:p>
        </w:tc>
        <w:tc>
          <w:tcPr>
            <w:tcW w:w="655" w:type="pct"/>
            <w:vAlign w:val="center"/>
          </w:tcPr>
          <w:p w14:paraId="6414D1E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加强储碳和碳汇能力建设</w:t>
            </w:r>
          </w:p>
        </w:tc>
        <w:tc>
          <w:tcPr>
            <w:tcW w:w="1697" w:type="pct"/>
            <w:vAlign w:val="center"/>
          </w:tcPr>
          <w:p w14:paraId="3E29B784">
            <w:pPr>
              <w:widowControl w:val="0"/>
              <w:spacing w:line="300" w:lineRule="exact"/>
              <w:ind w:left="0"/>
              <w:jc w:val="left"/>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研究摸清区域林地、绿地、湿地等生态资源碳储量和碳汇底数。围绕林草碳汇科技创新，推进不同生态系统增汇减排技术研究。采用生态措施治理林地、绿地、湿地，助力区域高质量碳中和示范区建设，打造固碳增汇助力碳中和行动特色模式。</w:t>
            </w:r>
          </w:p>
        </w:tc>
        <w:tc>
          <w:tcPr>
            <w:tcW w:w="528" w:type="pct"/>
            <w:vAlign w:val="center"/>
          </w:tcPr>
          <w:p w14:paraId="78D26138">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67059635">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区园林绿化局</w:t>
            </w:r>
          </w:p>
        </w:tc>
        <w:tc>
          <w:tcPr>
            <w:tcW w:w="1002" w:type="pct"/>
            <w:vAlign w:val="center"/>
          </w:tcPr>
          <w:p w14:paraId="3D716E10">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r>
      <w:tr w14:paraId="2A71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000" w:type="pct"/>
            <w:gridSpan w:val="6"/>
            <w:vAlign w:val="center"/>
          </w:tcPr>
          <w:p w14:paraId="4B76A9FE">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黑体" w:hAnsi="黑体" w:eastAsia="黑体" w:cs="黑体"/>
                <w:bCs/>
                <w:kern w:val="2"/>
                <w:sz w:val="28"/>
                <w:szCs w:val="28"/>
                <w:lang w:val="zh-CN" w:eastAsia="zh-CN" w:bidi="ar-SA"/>
              </w:rPr>
              <w:t>十、推进城市气候变化健康适应行动</w:t>
            </w:r>
          </w:p>
        </w:tc>
      </w:tr>
      <w:tr w14:paraId="3C6D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4ABA1A4F">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43</w:t>
            </w:r>
          </w:p>
        </w:tc>
        <w:tc>
          <w:tcPr>
            <w:tcW w:w="655" w:type="pct"/>
            <w:vAlign w:val="center"/>
          </w:tcPr>
          <w:p w14:paraId="20A24C5D">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开展空气污染对人群健康影响监测与防护工作</w:t>
            </w:r>
          </w:p>
        </w:tc>
        <w:tc>
          <w:tcPr>
            <w:tcW w:w="1697" w:type="pct"/>
            <w:vAlign w:val="center"/>
          </w:tcPr>
          <w:p w14:paraId="0ED37A08">
            <w:pPr>
              <w:widowControl w:val="0"/>
              <w:spacing w:line="300" w:lineRule="exact"/>
              <w:ind w:firstLine="0" w:firstLineChars="0"/>
              <w:jc w:val="left"/>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持续开展大气PM</w:t>
            </w:r>
            <w:r>
              <w:rPr>
                <w:rFonts w:hint="eastAsia" w:ascii="仿宋_GB2312" w:hAnsi="仿宋_GB2312" w:eastAsia="仿宋_GB2312" w:cs="仿宋_GB2312"/>
                <w:kern w:val="0"/>
                <w:sz w:val="24"/>
                <w:szCs w:val="24"/>
                <w:vertAlign w:val="subscript"/>
                <w:lang w:val="zh-CN" w:eastAsia="zh-CN" w:bidi="ar-SA"/>
              </w:rPr>
              <w:t>2.5</w:t>
            </w:r>
            <w:r>
              <w:rPr>
                <w:rFonts w:hint="eastAsia" w:ascii="仿宋_GB2312" w:hAnsi="仿宋_GB2312" w:eastAsia="仿宋_GB2312" w:cs="仿宋_GB2312"/>
                <w:kern w:val="0"/>
                <w:sz w:val="24"/>
                <w:szCs w:val="24"/>
                <w:lang w:val="zh-CN" w:eastAsia="zh-CN" w:bidi="ar-SA"/>
              </w:rPr>
              <w:t>采样及成分分析，开展气候变化及空气质量对健康风险的研究工作。</w:t>
            </w:r>
          </w:p>
        </w:tc>
        <w:tc>
          <w:tcPr>
            <w:tcW w:w="528" w:type="pct"/>
            <w:vAlign w:val="center"/>
          </w:tcPr>
          <w:p w14:paraId="50F1ADA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2025年</w:t>
            </w:r>
          </w:p>
        </w:tc>
        <w:tc>
          <w:tcPr>
            <w:tcW w:w="743" w:type="pct"/>
            <w:vAlign w:val="center"/>
          </w:tcPr>
          <w:p w14:paraId="5303845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区卫生健康委</w:t>
            </w:r>
          </w:p>
        </w:tc>
        <w:tc>
          <w:tcPr>
            <w:tcW w:w="1002" w:type="pct"/>
            <w:vAlign w:val="center"/>
          </w:tcPr>
          <w:p w14:paraId="2C7499BB">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区生态环境局</w:t>
            </w:r>
          </w:p>
        </w:tc>
      </w:tr>
      <w:tr w14:paraId="229F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542952A8">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44</w:t>
            </w:r>
          </w:p>
        </w:tc>
        <w:tc>
          <w:tcPr>
            <w:tcW w:w="655" w:type="pct"/>
            <w:vAlign w:val="center"/>
          </w:tcPr>
          <w:p w14:paraId="196201CF">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en-US" w:eastAsia="zh-CN" w:bidi="ar-SA"/>
              </w:rPr>
              <w:t>提升气候变化健康风险意识</w:t>
            </w:r>
          </w:p>
        </w:tc>
        <w:tc>
          <w:tcPr>
            <w:tcW w:w="1697" w:type="pct"/>
            <w:vAlign w:val="center"/>
          </w:tcPr>
          <w:p w14:paraId="009B4988">
            <w:pPr>
              <w:spacing w:line="300" w:lineRule="exact"/>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加强对气候变化健康风险的普及应对措施讲解。对小学生进行季节性健康数据征集，并开展冬季雾霾及大气污染物对小学生健康影响的研究。</w:t>
            </w:r>
          </w:p>
        </w:tc>
        <w:tc>
          <w:tcPr>
            <w:tcW w:w="528" w:type="pct"/>
            <w:vAlign w:val="center"/>
          </w:tcPr>
          <w:p w14:paraId="5431DE86">
            <w:pPr>
              <w:widowControl w:val="0"/>
              <w:spacing w:line="300" w:lineRule="exact"/>
              <w:ind w:firstLine="0" w:firstLineChars="0"/>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202</w:t>
            </w:r>
            <w:r>
              <w:rPr>
                <w:rFonts w:ascii="仿宋_GB2312" w:hAnsi="仿宋_GB2312" w:eastAsia="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年</w:t>
            </w:r>
          </w:p>
        </w:tc>
        <w:tc>
          <w:tcPr>
            <w:tcW w:w="743" w:type="pct"/>
            <w:vAlign w:val="center"/>
          </w:tcPr>
          <w:p w14:paraId="0CDC6074">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kern w:val="0"/>
                <w:sz w:val="24"/>
                <w:szCs w:val="24"/>
                <w:lang w:val="zh-CN" w:eastAsia="zh-CN" w:bidi="ar-SA"/>
              </w:rPr>
              <w:t>区卫生健康委</w:t>
            </w:r>
          </w:p>
        </w:tc>
        <w:tc>
          <w:tcPr>
            <w:tcW w:w="1002" w:type="pct"/>
            <w:vAlign w:val="center"/>
          </w:tcPr>
          <w:p w14:paraId="128B90F6">
            <w:pPr>
              <w:widowControl w:val="0"/>
              <w:spacing w:line="300" w:lineRule="exact"/>
              <w:ind w:firstLine="0" w:firstLineChars="0"/>
              <w:jc w:val="center"/>
              <w:rPr>
                <w:rFonts w:ascii="仿宋_GB2312" w:hAnsi="仿宋_GB2312" w:eastAsia="仿宋_GB2312" w:cs="仿宋_GB2312"/>
                <w:spacing w:val="2"/>
                <w:kern w:val="0"/>
                <w:sz w:val="24"/>
                <w:szCs w:val="24"/>
                <w:lang w:val="en-US" w:eastAsia="zh-CN" w:bidi="ar-SA"/>
              </w:rPr>
            </w:pPr>
            <w:r>
              <w:rPr>
                <w:rFonts w:hint="eastAsia" w:ascii="仿宋_GB2312" w:hAnsi="仿宋_GB2312" w:eastAsia="仿宋_GB2312" w:cs="仿宋_GB2312"/>
                <w:spacing w:val="2"/>
                <w:kern w:val="0"/>
                <w:sz w:val="24"/>
                <w:szCs w:val="24"/>
                <w:lang w:val="en-US" w:eastAsia="zh-CN" w:bidi="ar-SA"/>
              </w:rPr>
              <w:t>区气象局</w:t>
            </w:r>
          </w:p>
          <w:p w14:paraId="6E5EA5F1">
            <w:pPr>
              <w:widowControl w:val="0"/>
              <w:spacing w:line="300" w:lineRule="exact"/>
              <w:ind w:firstLine="0" w:firstLineChars="0"/>
              <w:jc w:val="center"/>
              <w:rPr>
                <w:rFonts w:ascii="仿宋_GB2312" w:hAnsi="仿宋_GB2312" w:eastAsia="仿宋_GB2312" w:cs="仿宋_GB2312"/>
                <w:kern w:val="0"/>
                <w:sz w:val="24"/>
                <w:szCs w:val="24"/>
                <w:lang w:val="zh-CN" w:eastAsia="zh-CN" w:bidi="ar-SA"/>
              </w:rPr>
            </w:pPr>
            <w:r>
              <w:rPr>
                <w:rFonts w:hint="eastAsia" w:ascii="仿宋_GB2312" w:hAnsi="仿宋_GB2312" w:eastAsia="仿宋_GB2312" w:cs="仿宋_GB2312"/>
                <w:spacing w:val="2"/>
                <w:kern w:val="0"/>
                <w:sz w:val="24"/>
                <w:szCs w:val="24"/>
                <w:lang w:val="en-US" w:eastAsia="zh-CN" w:bidi="ar-SA"/>
              </w:rPr>
              <w:t>区生态环境局</w:t>
            </w:r>
          </w:p>
        </w:tc>
      </w:tr>
    </w:tbl>
    <w:p w14:paraId="52A159E8">
      <w:pPr>
        <w:rPr>
          <w:rFonts w:ascii="Calibri" w:hAnsi="Calibri"/>
          <w:szCs w:val="22"/>
        </w:rPr>
      </w:pPr>
    </w:p>
    <w:p w14:paraId="28BA0E5A">
      <w:pPr>
        <w:pStyle w:val="3"/>
        <w:rPr>
          <w:rFonts w:hint="eastAsia" w:ascii="仿宋_GB2312" w:hAns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B3BD8">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03BC">
                          <w:pPr>
                            <w:pStyle w:val="1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6F03BC">
                    <w:pPr>
                      <w:pStyle w:val="1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s>
  <w:rsids>
    <w:rsidRoot w:val="1D8664BB"/>
    <w:rsid w:val="00176E03"/>
    <w:rsid w:val="001A1523"/>
    <w:rsid w:val="00244EB0"/>
    <w:rsid w:val="00290D2B"/>
    <w:rsid w:val="002D0B59"/>
    <w:rsid w:val="003A3803"/>
    <w:rsid w:val="00411D88"/>
    <w:rsid w:val="005373F0"/>
    <w:rsid w:val="00676C1C"/>
    <w:rsid w:val="006A2A91"/>
    <w:rsid w:val="006F1958"/>
    <w:rsid w:val="00891531"/>
    <w:rsid w:val="009033B8"/>
    <w:rsid w:val="009B0EC7"/>
    <w:rsid w:val="00A27220"/>
    <w:rsid w:val="00AB75E4"/>
    <w:rsid w:val="00B46D83"/>
    <w:rsid w:val="00B630EE"/>
    <w:rsid w:val="00C66F94"/>
    <w:rsid w:val="00F05A27"/>
    <w:rsid w:val="00F1396C"/>
    <w:rsid w:val="08184E9A"/>
    <w:rsid w:val="087A0AA6"/>
    <w:rsid w:val="08A84B35"/>
    <w:rsid w:val="0B574FA3"/>
    <w:rsid w:val="0EA05353"/>
    <w:rsid w:val="114757E8"/>
    <w:rsid w:val="11946F76"/>
    <w:rsid w:val="13DFEC8A"/>
    <w:rsid w:val="16F37FD9"/>
    <w:rsid w:val="18A40527"/>
    <w:rsid w:val="1A6BFDFC"/>
    <w:rsid w:val="1B36BBCF"/>
    <w:rsid w:val="1D8664BB"/>
    <w:rsid w:val="1DE367CD"/>
    <w:rsid w:val="1F9D9207"/>
    <w:rsid w:val="25D83EF7"/>
    <w:rsid w:val="275A07CB"/>
    <w:rsid w:val="2B0C4843"/>
    <w:rsid w:val="2EB20341"/>
    <w:rsid w:val="2EB64DB6"/>
    <w:rsid w:val="2F3BA052"/>
    <w:rsid w:val="31982867"/>
    <w:rsid w:val="33AF0C52"/>
    <w:rsid w:val="33BC2CEC"/>
    <w:rsid w:val="33DE310F"/>
    <w:rsid w:val="36FF3AEE"/>
    <w:rsid w:val="37D58827"/>
    <w:rsid w:val="37FB818C"/>
    <w:rsid w:val="39091FB6"/>
    <w:rsid w:val="3A1723BF"/>
    <w:rsid w:val="3B694B60"/>
    <w:rsid w:val="3BBFE14A"/>
    <w:rsid w:val="3CFEA72F"/>
    <w:rsid w:val="3D095A25"/>
    <w:rsid w:val="3D8FBA9B"/>
    <w:rsid w:val="3DAF1625"/>
    <w:rsid w:val="3DC227CA"/>
    <w:rsid w:val="3DCC21D8"/>
    <w:rsid w:val="3E7B1EDC"/>
    <w:rsid w:val="3F5641CD"/>
    <w:rsid w:val="3F7E22A2"/>
    <w:rsid w:val="3FDB9255"/>
    <w:rsid w:val="3FFE4C25"/>
    <w:rsid w:val="3FFEAB66"/>
    <w:rsid w:val="41EE7EDC"/>
    <w:rsid w:val="46CD0221"/>
    <w:rsid w:val="48BB691B"/>
    <w:rsid w:val="4D4F5368"/>
    <w:rsid w:val="4DEF11FC"/>
    <w:rsid w:val="4F1F8C97"/>
    <w:rsid w:val="51E952C3"/>
    <w:rsid w:val="529F7ACB"/>
    <w:rsid w:val="536FBC30"/>
    <w:rsid w:val="55383922"/>
    <w:rsid w:val="57DD2B37"/>
    <w:rsid w:val="57FBF003"/>
    <w:rsid w:val="58D20F0E"/>
    <w:rsid w:val="5A3FFFD1"/>
    <w:rsid w:val="5C7177D9"/>
    <w:rsid w:val="5D2F2457"/>
    <w:rsid w:val="5D7FE20E"/>
    <w:rsid w:val="5DAEA4E9"/>
    <w:rsid w:val="5DE7F69E"/>
    <w:rsid w:val="5DFF48A2"/>
    <w:rsid w:val="5E1F1A3B"/>
    <w:rsid w:val="5E2A662E"/>
    <w:rsid w:val="5E4C5890"/>
    <w:rsid w:val="5EF99B1C"/>
    <w:rsid w:val="5F421736"/>
    <w:rsid w:val="5F7F10D6"/>
    <w:rsid w:val="5FA79BF8"/>
    <w:rsid w:val="5FBD8FB5"/>
    <w:rsid w:val="5FBEED68"/>
    <w:rsid w:val="5FF477BC"/>
    <w:rsid w:val="5FF637B5"/>
    <w:rsid w:val="5FFF2652"/>
    <w:rsid w:val="63B9B3DB"/>
    <w:rsid w:val="63F5561B"/>
    <w:rsid w:val="6428429D"/>
    <w:rsid w:val="6565DADE"/>
    <w:rsid w:val="667509FB"/>
    <w:rsid w:val="66BDA112"/>
    <w:rsid w:val="66F0A369"/>
    <w:rsid w:val="695DDECD"/>
    <w:rsid w:val="6B779C1A"/>
    <w:rsid w:val="6BDF12A1"/>
    <w:rsid w:val="6BFB90F7"/>
    <w:rsid w:val="6C2E966D"/>
    <w:rsid w:val="6CF9EDC9"/>
    <w:rsid w:val="6D54024B"/>
    <w:rsid w:val="6EB86B83"/>
    <w:rsid w:val="6ECA0F7A"/>
    <w:rsid w:val="6EE1E54A"/>
    <w:rsid w:val="6EED00D9"/>
    <w:rsid w:val="6F7DFC9B"/>
    <w:rsid w:val="6FF361EF"/>
    <w:rsid w:val="6FFBDA51"/>
    <w:rsid w:val="715D777E"/>
    <w:rsid w:val="7289044A"/>
    <w:rsid w:val="732B1DAA"/>
    <w:rsid w:val="73FF5624"/>
    <w:rsid w:val="73FFE0EA"/>
    <w:rsid w:val="74FD7B26"/>
    <w:rsid w:val="755FE4C5"/>
    <w:rsid w:val="7567E52E"/>
    <w:rsid w:val="75EDB8FD"/>
    <w:rsid w:val="760202C6"/>
    <w:rsid w:val="767DECE9"/>
    <w:rsid w:val="76FF8E3F"/>
    <w:rsid w:val="76FFB6A0"/>
    <w:rsid w:val="7777BDB6"/>
    <w:rsid w:val="77BF5692"/>
    <w:rsid w:val="77CB9BEB"/>
    <w:rsid w:val="77D53E99"/>
    <w:rsid w:val="77EF4B1C"/>
    <w:rsid w:val="77FACD75"/>
    <w:rsid w:val="78DB5174"/>
    <w:rsid w:val="79C5E272"/>
    <w:rsid w:val="79D65BD2"/>
    <w:rsid w:val="79DEC1B1"/>
    <w:rsid w:val="79FBA295"/>
    <w:rsid w:val="79FEB49D"/>
    <w:rsid w:val="7A7F7A14"/>
    <w:rsid w:val="7B551150"/>
    <w:rsid w:val="7BBF50C0"/>
    <w:rsid w:val="7BCAB3B6"/>
    <w:rsid w:val="7BF3DB76"/>
    <w:rsid w:val="7BF720AF"/>
    <w:rsid w:val="7BFE3734"/>
    <w:rsid w:val="7C27D0F3"/>
    <w:rsid w:val="7C7FEB55"/>
    <w:rsid w:val="7D5D412C"/>
    <w:rsid w:val="7D7EA6F4"/>
    <w:rsid w:val="7DB285B8"/>
    <w:rsid w:val="7DD7AA3D"/>
    <w:rsid w:val="7DFDC121"/>
    <w:rsid w:val="7E0C1073"/>
    <w:rsid w:val="7E7B8550"/>
    <w:rsid w:val="7E7F6B5B"/>
    <w:rsid w:val="7EEF28EC"/>
    <w:rsid w:val="7EF0E862"/>
    <w:rsid w:val="7EFFEB02"/>
    <w:rsid w:val="7F1FBAF9"/>
    <w:rsid w:val="7F2B10C0"/>
    <w:rsid w:val="7F3B8FCF"/>
    <w:rsid w:val="7F676C1D"/>
    <w:rsid w:val="7F762BC8"/>
    <w:rsid w:val="7F7E0229"/>
    <w:rsid w:val="7F7E0453"/>
    <w:rsid w:val="7FAE1F5E"/>
    <w:rsid w:val="7FBD9EE9"/>
    <w:rsid w:val="7FCCEC4A"/>
    <w:rsid w:val="7FCF6492"/>
    <w:rsid w:val="7FDBA277"/>
    <w:rsid w:val="7FE78917"/>
    <w:rsid w:val="7FF545C6"/>
    <w:rsid w:val="7FFBC797"/>
    <w:rsid w:val="7FFD0E38"/>
    <w:rsid w:val="7FFDF878"/>
    <w:rsid w:val="7FFFD0B7"/>
    <w:rsid w:val="953DB72C"/>
    <w:rsid w:val="95A6BF4D"/>
    <w:rsid w:val="9BF86803"/>
    <w:rsid w:val="9DFB5AA0"/>
    <w:rsid w:val="9F67A267"/>
    <w:rsid w:val="9F7FE9D2"/>
    <w:rsid w:val="A37FAF35"/>
    <w:rsid w:val="A6E12137"/>
    <w:rsid w:val="A7CF0445"/>
    <w:rsid w:val="A7ECDBBC"/>
    <w:rsid w:val="A96A4445"/>
    <w:rsid w:val="A97D461B"/>
    <w:rsid w:val="A9F96816"/>
    <w:rsid w:val="AA9FF01C"/>
    <w:rsid w:val="AAAD9396"/>
    <w:rsid w:val="ADFEBB63"/>
    <w:rsid w:val="AFFF11B4"/>
    <w:rsid w:val="AFFFEFB7"/>
    <w:rsid w:val="B05FD09C"/>
    <w:rsid w:val="B5BB32E0"/>
    <w:rsid w:val="B6FF8517"/>
    <w:rsid w:val="B7CE0BEF"/>
    <w:rsid w:val="B7FB9A19"/>
    <w:rsid w:val="B7FF1572"/>
    <w:rsid w:val="B7FF6CF8"/>
    <w:rsid w:val="B9FFDBB2"/>
    <w:rsid w:val="BB3BE791"/>
    <w:rsid w:val="BBCD564D"/>
    <w:rsid w:val="BBD56E95"/>
    <w:rsid w:val="BBDF2E35"/>
    <w:rsid w:val="BBFC8CF6"/>
    <w:rsid w:val="BBFDAF98"/>
    <w:rsid w:val="BCCA70E1"/>
    <w:rsid w:val="BCD38E18"/>
    <w:rsid w:val="BD7FA2BA"/>
    <w:rsid w:val="BDFED778"/>
    <w:rsid w:val="BEA67C39"/>
    <w:rsid w:val="BEFF27FD"/>
    <w:rsid w:val="BF35DF3E"/>
    <w:rsid w:val="BFAE9415"/>
    <w:rsid w:val="BFCE234F"/>
    <w:rsid w:val="BFFB4349"/>
    <w:rsid w:val="BFFE5412"/>
    <w:rsid w:val="CB7F32F8"/>
    <w:rsid w:val="CBFDF557"/>
    <w:rsid w:val="CE66E557"/>
    <w:rsid w:val="CFF7820E"/>
    <w:rsid w:val="D0ECCD0B"/>
    <w:rsid w:val="D1CF7222"/>
    <w:rsid w:val="D4E874D5"/>
    <w:rsid w:val="D75D2331"/>
    <w:rsid w:val="D7F71981"/>
    <w:rsid w:val="D8F9EF51"/>
    <w:rsid w:val="DAEF1B57"/>
    <w:rsid w:val="DB6FA353"/>
    <w:rsid w:val="DBBCB99E"/>
    <w:rsid w:val="DBD793F3"/>
    <w:rsid w:val="DD552381"/>
    <w:rsid w:val="DEEF2870"/>
    <w:rsid w:val="DEEFC4A1"/>
    <w:rsid w:val="DF7B5821"/>
    <w:rsid w:val="DF9F3E6A"/>
    <w:rsid w:val="DFBF0D87"/>
    <w:rsid w:val="DFE788C7"/>
    <w:rsid w:val="DFF9372C"/>
    <w:rsid w:val="DFFA3B96"/>
    <w:rsid w:val="DFFCB903"/>
    <w:rsid w:val="DFFDAFD1"/>
    <w:rsid w:val="E5B7C4C6"/>
    <w:rsid w:val="E5EF6011"/>
    <w:rsid w:val="E7A79F62"/>
    <w:rsid w:val="EBF233CF"/>
    <w:rsid w:val="EBFF492B"/>
    <w:rsid w:val="EDF98DDE"/>
    <w:rsid w:val="EEF210E4"/>
    <w:rsid w:val="EF8D12C8"/>
    <w:rsid w:val="EFA8E627"/>
    <w:rsid w:val="EFF8F804"/>
    <w:rsid w:val="EFFDDFCB"/>
    <w:rsid w:val="EFFF7387"/>
    <w:rsid w:val="F15BD656"/>
    <w:rsid w:val="F2EE2943"/>
    <w:rsid w:val="F3A7E700"/>
    <w:rsid w:val="F3F4D703"/>
    <w:rsid w:val="F4BE4833"/>
    <w:rsid w:val="F5E317B4"/>
    <w:rsid w:val="F6F6F14F"/>
    <w:rsid w:val="F6F92533"/>
    <w:rsid w:val="F71BBC9B"/>
    <w:rsid w:val="F75D0B08"/>
    <w:rsid w:val="F7BD5C10"/>
    <w:rsid w:val="F7BE6222"/>
    <w:rsid w:val="F7DF2A78"/>
    <w:rsid w:val="F7FF1F4D"/>
    <w:rsid w:val="F7FF52F6"/>
    <w:rsid w:val="F8FE83E6"/>
    <w:rsid w:val="F9E66A3D"/>
    <w:rsid w:val="F9EFEB65"/>
    <w:rsid w:val="FB5E3CA7"/>
    <w:rsid w:val="FB694493"/>
    <w:rsid w:val="FB7B9D46"/>
    <w:rsid w:val="FBEF115B"/>
    <w:rsid w:val="FBFAC1A8"/>
    <w:rsid w:val="FC7E4D9B"/>
    <w:rsid w:val="FCFDAD68"/>
    <w:rsid w:val="FD3E20DB"/>
    <w:rsid w:val="FD7A5E33"/>
    <w:rsid w:val="FDB3B6BA"/>
    <w:rsid w:val="FDB72725"/>
    <w:rsid w:val="FDFFC82F"/>
    <w:rsid w:val="FECF9474"/>
    <w:rsid w:val="FEEF73C2"/>
    <w:rsid w:val="FF3C9E13"/>
    <w:rsid w:val="FF7A3504"/>
    <w:rsid w:val="FF7B2157"/>
    <w:rsid w:val="FF7EBA84"/>
    <w:rsid w:val="FF7ECBF2"/>
    <w:rsid w:val="FFB4111D"/>
    <w:rsid w:val="FFB54AE3"/>
    <w:rsid w:val="FFB5F57E"/>
    <w:rsid w:val="FFBC95FA"/>
    <w:rsid w:val="FFBF3BA8"/>
    <w:rsid w:val="FFCD88A3"/>
    <w:rsid w:val="FFCE4603"/>
    <w:rsid w:val="FFDB809E"/>
    <w:rsid w:val="FFDBD5B4"/>
    <w:rsid w:val="FFDEC33E"/>
    <w:rsid w:val="FFDF5539"/>
    <w:rsid w:val="FFDF85BF"/>
    <w:rsid w:val="FFE4D69D"/>
    <w:rsid w:val="FFF51955"/>
    <w:rsid w:val="FFFA35FA"/>
    <w:rsid w:val="FFFF445C"/>
    <w:rsid w:val="FFFF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eastAsiaTheme="minorEastAsia" w:cstheme="minorBidi"/>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BodyText2"/>
    <w:basedOn w:val="1"/>
    <w:qFormat/>
    <w:uiPriority w:val="0"/>
    <w:pPr>
      <w:spacing w:after="120" w:line="480" w:lineRule="auto"/>
    </w:pPr>
  </w:style>
  <w:style w:type="paragraph" w:styleId="8">
    <w:name w:val="annotation text"/>
    <w:basedOn w:val="1"/>
    <w:qFormat/>
    <w:uiPriority w:val="0"/>
    <w:pPr>
      <w:jc w:val="left"/>
    </w:pPr>
  </w:style>
  <w:style w:type="paragraph" w:styleId="9">
    <w:name w:val="Body Text"/>
    <w:basedOn w:val="1"/>
    <w:next w:val="10"/>
    <w:qFormat/>
    <w:uiPriority w:val="0"/>
    <w:pPr>
      <w:spacing w:after="120" w:line="360" w:lineRule="auto"/>
      <w:ind w:firstLine="200" w:firstLineChars="200"/>
    </w:pPr>
    <w:rPr>
      <w:sz w:val="24"/>
      <w:szCs w:val="24"/>
    </w:rPr>
  </w:style>
  <w:style w:type="paragraph" w:styleId="10">
    <w:name w:val="Body Text 2"/>
    <w:basedOn w:val="1"/>
    <w:qFormat/>
    <w:uiPriority w:val="0"/>
    <w:pPr>
      <w:spacing w:line="360" w:lineRule="auto"/>
      <w:ind w:firstLine="200" w:firstLineChars="200"/>
    </w:pPr>
    <w:rPr>
      <w:rFonts w:eastAsia="楷体_GB2312"/>
      <w:sz w:val="32"/>
      <w:szCs w:val="24"/>
    </w:rPr>
  </w:style>
  <w:style w:type="paragraph" w:styleId="11">
    <w:name w:val="toc 3"/>
    <w:basedOn w:val="1"/>
    <w:next w:val="1"/>
    <w:qFormat/>
    <w:uiPriority w:val="0"/>
    <w:pPr>
      <w:ind w:left="400" w:leftChars="400"/>
    </w:pPr>
    <w:rPr>
      <w:rFonts w:eastAsia="仿宋_GB2312"/>
      <w:sz w:val="32"/>
      <w:szCs w:val="32"/>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jc w:val="left"/>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9"/>
    <w:qFormat/>
    <w:uiPriority w:val="0"/>
    <w:pPr>
      <w:ind w:firstLine="420"/>
    </w:pPr>
    <w:rPr>
      <w:rFonts w:ascii="Calibri" w:hAnsi="Calibri" w:eastAsia="楷体_GB2312"/>
      <w:sz w:val="32"/>
      <w:szCs w:val="22"/>
    </w:rPr>
  </w:style>
  <w:style w:type="paragraph" w:styleId="18">
    <w:name w:val="Body Text First Indent 2"/>
    <w:basedOn w:val="1"/>
    <w:next w:val="1"/>
    <w:qFormat/>
    <w:uiPriority w:val="0"/>
    <w:pPr>
      <w:widowControl/>
      <w:spacing w:line="360" w:lineRule="auto"/>
      <w:ind w:firstLine="420" w:firstLineChars="200"/>
    </w:pPr>
    <w:rPr>
      <w:sz w:val="24"/>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Normal Indent1"/>
    <w:basedOn w:val="1"/>
    <w:qFormat/>
    <w:uiPriority w:val="0"/>
    <w:pPr>
      <w:ind w:firstLine="420" w:firstLineChars="200"/>
    </w:pPr>
  </w:style>
  <w:style w:type="paragraph" w:customStyle="1" w:styleId="23">
    <w:name w:val="列出段落2"/>
    <w:basedOn w:val="1"/>
    <w:qFormat/>
    <w:uiPriority w:val="34"/>
    <w:pPr>
      <w:ind w:firstLine="420" w:firstLineChars="200"/>
    </w:pPr>
  </w:style>
  <w:style w:type="paragraph" w:styleId="24">
    <w:name w:val="List Paragraph"/>
    <w:basedOn w:val="1"/>
    <w:qFormat/>
    <w:uiPriority w:val="1"/>
    <w:pPr>
      <w:spacing w:before="162"/>
      <w:ind w:left="2002" w:hanging="327"/>
    </w:pPr>
    <w:rPr>
      <w:rFonts w:ascii="仿宋" w:hAnsi="仿宋" w:eastAsia="仿宋" w:cs="仿宋"/>
    </w:rPr>
  </w:style>
  <w:style w:type="paragraph" w:customStyle="1" w:styleId="25">
    <w:name w:val="样式 样式 样式 四号 行距: 1.5 倍行距 + 首行缩进:  2 字符 + (西文) 宋体 (中文) 仿宋_GB2312..."/>
    <w:basedOn w:val="1"/>
    <w:qFormat/>
    <w:uiPriority w:val="0"/>
    <w:pPr>
      <w:spacing w:line="500" w:lineRule="atLeast"/>
      <w:ind w:firstLine="560" w:firstLineChars="200"/>
    </w:pPr>
    <w:rPr>
      <w:kern w:val="0"/>
      <w:sz w:val="28"/>
      <w:szCs w:val="28"/>
      <w:lang w:val="zh-CN"/>
    </w:rPr>
  </w:style>
  <w:style w:type="character" w:customStyle="1" w:styleId="26">
    <w:name w:val="批注框文本 字符"/>
    <w:basedOn w:val="21"/>
    <w:link w:val="1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12961</Words>
  <Characters>13276</Characters>
  <Lines>60</Lines>
  <Paragraphs>16</Paragraphs>
  <TotalTime>7</TotalTime>
  <ScaleCrop>false</ScaleCrop>
  <LinksUpToDate>false</LinksUpToDate>
  <CharactersWithSpaces>13277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2024-11-25T14:38:00Z</dcterms:created>
  <dc:creator>ljn</dc:creator>
  <cp:lastModifiedBy>孙彤</cp:lastModifiedBy>
  <dcterms:modified xsi:type="dcterms:W3CDTF">2024-12-12T03:26:04Z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C89BDE4B8F9B47239F16CC978FE2D48C_13</vt:lpwstr>
  </property>
</Properties>
</file>