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C22B7">
      <w:pPr>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顺义区中小企业数字化转型试点城市</w:t>
      </w:r>
    </w:p>
    <w:p w14:paraId="42BAF9DB">
      <w:pPr>
        <w:ind w:firstLine="0" w:firstLineChars="0"/>
        <w:jc w:val="center"/>
        <w:rPr>
          <w:rFonts w:hint="eastAsia" w:ascii="方正小标宋简体" w:eastAsia="方正小标宋简体"/>
          <w:sz w:val="44"/>
          <w:szCs w:val="44"/>
        </w:rPr>
      </w:pPr>
      <w:bookmarkStart w:id="0" w:name="OLE_LINK1"/>
      <w:r>
        <w:rPr>
          <w:rFonts w:hint="eastAsia" w:ascii="方正小标宋简体" w:eastAsia="方正小标宋简体"/>
          <w:sz w:val="44"/>
          <w:szCs w:val="44"/>
        </w:rPr>
        <w:t>专项资金管理办法</w:t>
      </w:r>
      <w:bookmarkEnd w:id="0"/>
    </w:p>
    <w:p w14:paraId="7B7F5FE7">
      <w:pPr>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（征求意见稿）</w:t>
      </w:r>
    </w:p>
    <w:p w14:paraId="5910871B">
      <w:pPr>
        <w:pStyle w:val="2"/>
        <w:ind w:firstLine="616"/>
      </w:pPr>
    </w:p>
    <w:p w14:paraId="456A3E1C">
      <w:pPr>
        <w:pStyle w:val="5"/>
        <w:ind w:left="0" w:leftChars="0" w:firstLine="0" w:firstLineChars="0"/>
        <w:jc w:val="center"/>
      </w:pPr>
      <w:r>
        <w:rPr>
          <w:rFonts w:hint="eastAsia"/>
        </w:rPr>
        <w:t>第一章 总则</w:t>
      </w:r>
    </w:p>
    <w:p w14:paraId="0D796AA7">
      <w:pPr>
        <w:rPr>
          <w:rFonts w:hint="eastAsia"/>
        </w:rPr>
      </w:pPr>
      <w:r>
        <w:rPr>
          <w:rFonts w:hint="eastAsia"/>
          <w:b/>
        </w:rPr>
        <w:t>第一条</w:t>
      </w:r>
      <w:r>
        <w:rPr>
          <w:rFonts w:hint="eastAsia"/>
        </w:rPr>
        <w:t xml:space="preserve"> 为推进顺义区中小企业数字化转型试点城市工作，规范顺义区中小企业数字化转型试点城市专项资金管理，提高财政资金使用效益，根据《</w:t>
      </w:r>
      <w:bookmarkStart w:id="1" w:name="OLE_LINK2"/>
      <w:r>
        <w:rPr>
          <w:rFonts w:hint="eastAsia"/>
        </w:rPr>
        <w:t>财政部办公厅 工业和信息化部办公厅关于做好2024年中小企业数字化转型城市试点工作的通知</w:t>
      </w:r>
      <w:bookmarkEnd w:id="1"/>
      <w:r>
        <w:rPr>
          <w:rFonts w:hint="eastAsia"/>
        </w:rPr>
        <w:t>》（财办建〔2024〕23号）《</w:t>
      </w:r>
      <w:bookmarkStart w:id="2" w:name="OLE_LINK3"/>
      <w:r>
        <w:rPr>
          <w:rFonts w:hint="eastAsia"/>
        </w:rPr>
        <w:t>关于印发&lt;中小企业数字化转型城市试点实施指南&gt;的通知</w:t>
      </w:r>
      <w:bookmarkEnd w:id="2"/>
      <w:r>
        <w:rPr>
          <w:rFonts w:hint="eastAsia"/>
        </w:rPr>
        <w:t>》（</w:t>
      </w:r>
      <w:bookmarkStart w:id="3" w:name="OLE_LINK4"/>
      <w:r>
        <w:rPr>
          <w:rFonts w:hint="eastAsia"/>
        </w:rPr>
        <w:t>工企业函〔2024〕46号</w:t>
      </w:r>
      <w:bookmarkEnd w:id="3"/>
      <w:r>
        <w:rPr>
          <w:rFonts w:hint="eastAsia"/>
        </w:rPr>
        <w:t>）及《北京市顺义区中小企业数字化转型城市试点实施方案》等文件精神，结合我区实际，制定本办法。</w:t>
      </w:r>
    </w:p>
    <w:p w14:paraId="2393B843">
      <w:pPr>
        <w:rPr>
          <w:highlight w:val="none"/>
        </w:rPr>
      </w:pPr>
      <w:r>
        <w:rPr>
          <w:rFonts w:hint="eastAsia"/>
          <w:b/>
          <w:highlight w:val="none"/>
        </w:rPr>
        <w:t>第二条</w:t>
      </w:r>
      <w:r>
        <w:rPr>
          <w:rFonts w:hint="eastAsia"/>
          <w:highlight w:val="none"/>
        </w:rPr>
        <w:t xml:space="preserve"> 本</w:t>
      </w:r>
      <w:r>
        <w:rPr>
          <w:highlight w:val="none"/>
        </w:rPr>
        <w:t>办法所称的</w:t>
      </w:r>
      <w:r>
        <w:rPr>
          <w:rFonts w:hint="eastAsia"/>
          <w:highlight w:val="none"/>
        </w:rPr>
        <w:t>顺义区</w:t>
      </w:r>
      <w:r>
        <w:rPr>
          <w:highlight w:val="none"/>
        </w:rPr>
        <w:t>中小企业数字化转型试点城市</w:t>
      </w:r>
      <w:r>
        <w:rPr>
          <w:rFonts w:hint="eastAsia"/>
          <w:highlight w:val="none"/>
        </w:rPr>
        <w:t>专项</w:t>
      </w:r>
      <w:r>
        <w:rPr>
          <w:highlight w:val="none"/>
        </w:rPr>
        <w:t>资金（以下简称</w:t>
      </w:r>
      <w:r>
        <w:rPr>
          <w:rFonts w:hint="eastAsia"/>
          <w:highlight w:val="none"/>
        </w:rPr>
        <w:t>“专项</w:t>
      </w:r>
      <w:r>
        <w:rPr>
          <w:highlight w:val="none"/>
        </w:rPr>
        <w:t>资金</w:t>
      </w:r>
      <w:r>
        <w:rPr>
          <w:rFonts w:hint="eastAsia"/>
          <w:highlight w:val="none"/>
        </w:rPr>
        <w:t>”</w:t>
      </w:r>
      <w:r>
        <w:rPr>
          <w:highlight w:val="none"/>
        </w:rPr>
        <w:t>）由中央财政支持</w:t>
      </w:r>
      <w:r>
        <w:rPr>
          <w:rFonts w:hint="eastAsia"/>
          <w:highlight w:val="none"/>
        </w:rPr>
        <w:t>顺义区</w:t>
      </w:r>
      <w:r>
        <w:rPr>
          <w:highlight w:val="none"/>
        </w:rPr>
        <w:t>中小企业数字化转型试点城市工作的奖补资金（以下简称</w:t>
      </w:r>
      <w:r>
        <w:rPr>
          <w:rFonts w:hint="eastAsia"/>
          <w:highlight w:val="none"/>
        </w:rPr>
        <w:t>“中央</w:t>
      </w:r>
      <w:r>
        <w:rPr>
          <w:highlight w:val="none"/>
        </w:rPr>
        <w:t>资金</w:t>
      </w:r>
      <w:r>
        <w:rPr>
          <w:rFonts w:hint="eastAsia"/>
          <w:highlight w:val="none"/>
        </w:rPr>
        <w:t>”</w:t>
      </w:r>
      <w:r>
        <w:rPr>
          <w:highlight w:val="none"/>
        </w:rPr>
        <w:t>）和地方财政资金</w:t>
      </w:r>
      <w:r>
        <w:rPr>
          <w:rFonts w:hint="eastAsia"/>
          <w:highlight w:val="none"/>
        </w:rPr>
        <w:t>共同组成。</w:t>
      </w:r>
    </w:p>
    <w:p w14:paraId="573217C6">
      <w:r>
        <w:rPr>
          <w:rFonts w:hint="eastAsia"/>
          <w:b/>
        </w:rPr>
        <w:t>第</w:t>
      </w:r>
      <w:r>
        <w:rPr>
          <w:rFonts w:hint="eastAsia"/>
          <w:b/>
          <w:lang w:val="en-US" w:eastAsia="zh-CN"/>
        </w:rPr>
        <w:t>三</w:t>
      </w:r>
      <w:r>
        <w:rPr>
          <w:rFonts w:hint="eastAsia"/>
          <w:b/>
        </w:rPr>
        <w:t>条</w:t>
      </w:r>
      <w:r>
        <w:rPr>
          <w:rFonts w:hint="eastAsia"/>
        </w:rPr>
        <w:t xml:space="preserve"> 专项资金使用和管理遵循“依法依规、规范高效、公开公正、突出重点、注重绩效”的原则。</w:t>
      </w:r>
    </w:p>
    <w:p w14:paraId="5D554CFF">
      <w:pPr>
        <w:rPr>
          <w:rFonts w:hint="eastAsia"/>
          <w:lang w:val="zh-CN"/>
        </w:rPr>
      </w:pPr>
      <w:r>
        <w:rPr>
          <w:rFonts w:hint="eastAsia"/>
          <w:b/>
        </w:rPr>
        <w:t>第</w:t>
      </w:r>
      <w:r>
        <w:rPr>
          <w:rFonts w:hint="eastAsia"/>
          <w:b/>
          <w:lang w:val="en-US" w:eastAsia="zh-CN"/>
        </w:rPr>
        <w:t>四</w:t>
      </w:r>
      <w:r>
        <w:rPr>
          <w:rFonts w:hint="eastAsia"/>
          <w:b/>
        </w:rPr>
        <w:t>条</w:t>
      </w:r>
      <w:r>
        <w:rPr>
          <w:rFonts w:hint="eastAsia"/>
        </w:rPr>
        <w:t xml:space="preserve"> 专项资金</w:t>
      </w:r>
      <w:r>
        <w:rPr>
          <w:rFonts w:hint="eastAsia"/>
          <w:lang w:val="zh-CN"/>
        </w:rPr>
        <w:t>由顺义区经济和信息化局（</w:t>
      </w:r>
      <w:r>
        <w:rPr>
          <w:highlight w:val="none"/>
        </w:rPr>
        <w:t>以下简称</w:t>
      </w:r>
      <w:r>
        <w:rPr>
          <w:rFonts w:hint="eastAsia"/>
          <w:lang w:val="zh-CN"/>
        </w:rPr>
        <w:t>“区经信局”）具体负责项目的组织和实施，顺义区财政局（</w:t>
      </w:r>
      <w:r>
        <w:rPr>
          <w:highlight w:val="none"/>
        </w:rPr>
        <w:t>以下简称</w:t>
      </w:r>
      <w:r>
        <w:rPr>
          <w:rFonts w:hint="eastAsia"/>
          <w:lang w:val="zh-CN"/>
        </w:rPr>
        <w:t>“区财政局”）负责预算安排和监督使用。</w:t>
      </w:r>
    </w:p>
    <w:p w14:paraId="0A22EBA7">
      <w:pPr>
        <w:pStyle w:val="5"/>
        <w:ind w:left="0" w:leftChars="0" w:firstLine="0" w:firstLineChars="0"/>
        <w:jc w:val="center"/>
        <w:rPr>
          <w:rFonts w:hint="default"/>
          <w:lang w:val="en-US" w:eastAsia="zh-CN"/>
        </w:rPr>
      </w:pPr>
      <w:r>
        <w:rPr>
          <w:rFonts w:hint="eastAsia"/>
          <w:lang w:val="en-US" w:eastAsia="zh-CN"/>
        </w:rPr>
        <w:t>第二章 申报条件及要求</w:t>
      </w:r>
    </w:p>
    <w:p w14:paraId="49BB8737">
      <w:pPr>
        <w:pStyle w:val="5"/>
        <w:ind w:left="0" w:leftChars="0" w:firstLine="619" w:firstLineChars="200"/>
        <w:jc w:val="both"/>
        <w:rPr>
          <w:rFonts w:hint="default" w:ascii="Times New Roman" w:hAnsi="Times New Roman" w:eastAsia="仿宋_GB2312" w:cs="Times New Roman"/>
          <w:spacing w:val="-6"/>
          <w:kern w:val="2"/>
          <w:sz w:val="32"/>
          <w:szCs w:val="32"/>
          <w:highlight w:val="none"/>
          <w:lang w:val="en-US" w:eastAsia="zh-CN" w:bidi="he-IL"/>
        </w:rPr>
      </w:pPr>
      <w:r>
        <w:rPr>
          <w:rFonts w:hint="eastAsia" w:ascii="Times New Roman" w:hAnsi="Times New Roman" w:eastAsia="仿宋_GB2312" w:cs="Times New Roman"/>
          <w:b/>
          <w:spacing w:val="-6"/>
          <w:kern w:val="2"/>
          <w:sz w:val="32"/>
          <w:szCs w:val="32"/>
          <w:highlight w:val="none"/>
          <w:lang w:val="en-US" w:eastAsia="zh-CN" w:bidi="he-IL"/>
        </w:rPr>
        <w:t>第五条</w:t>
      </w:r>
      <w:r>
        <w:rPr>
          <w:rFonts w:hint="eastAsia"/>
          <w:highlight w:val="none"/>
          <w:lang w:val="en-US" w:eastAsia="zh-CN"/>
        </w:rPr>
        <w:t xml:space="preserve"> </w:t>
      </w:r>
      <w:r>
        <w:rPr>
          <w:rFonts w:hint="eastAsia" w:ascii="Times New Roman" w:hAnsi="Times New Roman" w:eastAsia="仿宋_GB2312" w:cs="Times New Roman"/>
          <w:spacing w:val="-6"/>
          <w:kern w:val="2"/>
          <w:sz w:val="32"/>
          <w:szCs w:val="32"/>
          <w:highlight w:val="none"/>
          <w:lang w:val="en-US" w:eastAsia="zh-CN" w:bidi="he-IL"/>
        </w:rPr>
        <w:t>申报主体应具备以下条件：</w:t>
      </w:r>
    </w:p>
    <w:p w14:paraId="2364988C">
      <w:pPr>
        <w:pStyle w:val="5"/>
        <w:ind w:left="0" w:leftChars="0" w:firstLine="616" w:firstLineChars="200"/>
        <w:jc w:val="both"/>
        <w:rPr>
          <w:rFonts w:hint="eastAsia" w:ascii="Times New Roman" w:hAnsi="Times New Roman" w:eastAsia="仿宋_GB2312" w:cs="Times New Roman"/>
          <w:spacing w:val="-6"/>
          <w:kern w:val="2"/>
          <w:sz w:val="32"/>
          <w:szCs w:val="32"/>
          <w:highlight w:val="none"/>
          <w:lang w:val="en-US" w:eastAsia="zh-CN" w:bidi="he-IL"/>
        </w:rPr>
      </w:pPr>
      <w:r>
        <w:rPr>
          <w:rFonts w:hint="eastAsia" w:ascii="Times New Roman" w:hAnsi="Times New Roman" w:eastAsia="仿宋_GB2312" w:cs="Times New Roman"/>
          <w:spacing w:val="-6"/>
          <w:kern w:val="2"/>
          <w:sz w:val="32"/>
          <w:szCs w:val="32"/>
          <w:highlight w:val="none"/>
          <w:lang w:val="zh-CN" w:eastAsia="zh-CN" w:bidi="he-IL"/>
        </w:rPr>
        <w:t>（</w:t>
      </w:r>
      <w:r>
        <w:rPr>
          <w:rFonts w:hint="eastAsia" w:ascii="Times New Roman" w:hAnsi="Times New Roman" w:eastAsia="仿宋_GB2312" w:cs="Times New Roman"/>
          <w:spacing w:val="-6"/>
          <w:kern w:val="2"/>
          <w:sz w:val="32"/>
          <w:szCs w:val="32"/>
          <w:highlight w:val="none"/>
          <w:lang w:val="en-US" w:eastAsia="zh-CN" w:bidi="he-IL"/>
        </w:rPr>
        <w:t>一</w:t>
      </w:r>
      <w:r>
        <w:rPr>
          <w:rFonts w:hint="eastAsia" w:ascii="Times New Roman" w:hAnsi="Times New Roman" w:eastAsia="仿宋_GB2312" w:cs="Times New Roman"/>
          <w:spacing w:val="-6"/>
          <w:kern w:val="2"/>
          <w:sz w:val="32"/>
          <w:szCs w:val="32"/>
          <w:highlight w:val="none"/>
          <w:lang w:val="zh-CN" w:eastAsia="zh-CN" w:bidi="he-IL"/>
        </w:rPr>
        <w:t>）纳入改造范围的中小企业</w:t>
      </w:r>
      <w:r>
        <w:rPr>
          <w:rFonts w:hint="eastAsia" w:ascii="Times New Roman" w:hAnsi="Times New Roman" w:eastAsia="仿宋_GB2312" w:cs="Times New Roman"/>
          <w:spacing w:val="-6"/>
          <w:kern w:val="2"/>
          <w:sz w:val="32"/>
          <w:szCs w:val="32"/>
          <w:highlight w:val="none"/>
          <w:lang w:val="en-US" w:eastAsia="zh-CN" w:bidi="he-IL"/>
        </w:rPr>
        <w:t>应同时符合以下基本条件：</w:t>
      </w:r>
    </w:p>
    <w:p w14:paraId="0AD5EF47">
      <w:pPr>
        <w:rPr>
          <w:highlight w:val="none"/>
        </w:rPr>
      </w:pPr>
      <w:r>
        <w:rPr>
          <w:rFonts w:hint="eastAsia" w:ascii="Times New Roman" w:hAnsi="Times New Roman" w:cs="Times New Roman"/>
          <w:highlight w:val="none"/>
          <w:lang w:val="en-US" w:eastAsia="zh-CN"/>
        </w:rPr>
        <w:t>1.申报主体</w:t>
      </w:r>
      <w:r>
        <w:rPr>
          <w:rFonts w:hint="eastAsia"/>
          <w:highlight w:val="none"/>
        </w:rPr>
        <w:t>通过公开征集</w:t>
      </w:r>
      <w:r>
        <w:rPr>
          <w:rFonts w:hint="eastAsia"/>
          <w:highlight w:val="none"/>
          <w:lang w:eastAsia="zh-CN"/>
        </w:rPr>
        <w:t>，</w:t>
      </w:r>
      <w:r>
        <w:rPr>
          <w:rFonts w:hint="eastAsia"/>
          <w:highlight w:val="none"/>
        </w:rPr>
        <w:t>入选中小企业数字化转型试点城市拟改造企业名单。</w:t>
      </w:r>
    </w:p>
    <w:p w14:paraId="7CA66003">
      <w:pPr>
        <w:rPr>
          <w:rFonts w:hint="default" w:ascii="Times New Roman" w:hAnsi="Times New Roman" w:cs="Times New Roman"/>
          <w:highlight w:val="none"/>
          <w:lang w:val="en-US" w:eastAsia="zh-CN"/>
        </w:rPr>
      </w:pPr>
      <w:r>
        <w:rPr>
          <w:rFonts w:hint="eastAsia" w:cs="Times New Roman"/>
          <w:highlight w:val="none"/>
          <w:lang w:val="en-US" w:eastAsia="zh-CN"/>
        </w:rPr>
        <w:t>2</w:t>
      </w:r>
      <w:r>
        <w:rPr>
          <w:rFonts w:hint="eastAsia" w:ascii="Times New Roman" w:hAnsi="Times New Roman" w:cs="Times New Roman"/>
          <w:highlight w:val="none"/>
          <w:lang w:val="en-US" w:eastAsia="zh-CN"/>
        </w:rPr>
        <w:t>.申报主体数字化改造完成后达到中小企业数字化水平二级及以上。</w:t>
      </w:r>
    </w:p>
    <w:p w14:paraId="65331597">
      <w:pPr>
        <w:ind w:firstLine="616"/>
        <w:rPr>
          <w:rFonts w:hint="eastAsia" w:ascii="Times New Roman" w:hAnsi="Times New Roman" w:cs="Times New Roman"/>
          <w:highlight w:val="none"/>
          <w:lang w:val="en-US" w:eastAsia="zh-CN"/>
        </w:rPr>
      </w:pPr>
      <w:r>
        <w:rPr>
          <w:rFonts w:hint="eastAsia" w:ascii="Times New Roman" w:hAnsi="Times New Roman" w:cs="Times New Roman"/>
          <w:b w:val="0"/>
          <w:bCs w:val="0"/>
          <w:spacing w:val="-6"/>
          <w:kern w:val="2"/>
          <w:sz w:val="32"/>
          <w:szCs w:val="32"/>
          <w:highlight w:val="none"/>
          <w:lang w:val="en-US" w:eastAsia="zh-CN" w:bidi="he-IL"/>
        </w:rPr>
        <w:t>（二）</w:t>
      </w:r>
      <w:r>
        <w:rPr>
          <w:rFonts w:hint="eastAsia"/>
          <w:highlight w:val="none"/>
          <w:lang w:val="en-US" w:eastAsia="zh-CN"/>
        </w:rPr>
        <w:t>数字化服务商</w:t>
      </w:r>
      <w:r>
        <w:rPr>
          <w:rFonts w:hint="eastAsia" w:ascii="Times New Roman" w:hAnsi="Times New Roman" w:eastAsia="仿宋_GB2312" w:cs="Times New Roman"/>
          <w:spacing w:val="-6"/>
          <w:kern w:val="2"/>
          <w:sz w:val="32"/>
          <w:szCs w:val="32"/>
          <w:highlight w:val="none"/>
          <w:lang w:val="en-US" w:eastAsia="zh-CN" w:bidi="he-IL"/>
        </w:rPr>
        <w:t>应</w:t>
      </w:r>
      <w:r>
        <w:rPr>
          <w:rFonts w:hint="eastAsia"/>
          <w:highlight w:val="none"/>
        </w:rPr>
        <w:t>通过公开遴选</w:t>
      </w:r>
      <w:r>
        <w:rPr>
          <w:rFonts w:hint="eastAsia"/>
          <w:highlight w:val="none"/>
          <w:lang w:eastAsia="zh-CN"/>
        </w:rPr>
        <w:t>，</w:t>
      </w:r>
      <w:r>
        <w:rPr>
          <w:rFonts w:hint="eastAsia"/>
          <w:highlight w:val="none"/>
        </w:rPr>
        <w:t>入选</w:t>
      </w:r>
      <w:r>
        <w:rPr>
          <w:rFonts w:hint="eastAsia" w:ascii="仿宋_GB2312" w:hAnsi="仿宋_GB2312" w:cs="仿宋_GB2312"/>
          <w:highlight w:val="none"/>
        </w:rPr>
        <w:t>中小企业数字化转型试点城市数字化服务商</w:t>
      </w:r>
      <w:r>
        <w:rPr>
          <w:rFonts w:hint="eastAsia"/>
          <w:highlight w:val="none"/>
        </w:rPr>
        <w:t>名单。</w:t>
      </w:r>
    </w:p>
    <w:p w14:paraId="4AB9143E">
      <w:pPr>
        <w:numPr>
          <w:ilvl w:val="0"/>
          <w:numId w:val="0"/>
        </w:numPr>
        <w:ind w:firstLine="592"/>
        <w:rPr>
          <w:rFonts w:hint="eastAsia" w:ascii="Times New Roman" w:hAnsi="Times New Roman" w:eastAsia="仿宋_GB2312" w:cs="Times New Roman"/>
          <w:spacing w:val="-6"/>
          <w:kern w:val="2"/>
          <w:sz w:val="32"/>
          <w:szCs w:val="32"/>
          <w:lang w:val="en-US" w:eastAsia="zh-CN" w:bidi="he-IL"/>
        </w:rPr>
      </w:pPr>
      <w:r>
        <w:rPr>
          <w:rFonts w:hint="eastAsia" w:ascii="Times New Roman" w:hAnsi="Times New Roman" w:cs="Times New Roman"/>
          <w:highlight w:val="none"/>
          <w:lang w:val="en-US" w:eastAsia="zh-CN"/>
        </w:rPr>
        <w:t>（三）</w:t>
      </w:r>
      <w:r>
        <w:rPr>
          <w:rFonts w:hint="eastAsia"/>
        </w:rPr>
        <w:t>工业互联网综合服务平台建设</w:t>
      </w:r>
      <w:r>
        <w:rPr>
          <w:rFonts w:hint="eastAsia"/>
          <w:lang w:val="en-US" w:eastAsia="zh-CN"/>
        </w:rPr>
        <w:t>申报主体</w:t>
      </w:r>
      <w:r>
        <w:rPr>
          <w:rFonts w:hint="eastAsia" w:ascii="Times New Roman" w:hAnsi="Times New Roman" w:eastAsia="仿宋_GB2312" w:cs="Times New Roman"/>
          <w:spacing w:val="-6"/>
          <w:kern w:val="2"/>
          <w:sz w:val="32"/>
          <w:szCs w:val="32"/>
          <w:lang w:val="en-US" w:eastAsia="zh-CN" w:bidi="he-IL"/>
        </w:rPr>
        <w:t>应同时符合以下基本条件：</w:t>
      </w:r>
    </w:p>
    <w:p w14:paraId="41E9A88F">
      <w:pPr>
        <w:ind w:firstLine="616"/>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1.申报主体</w:t>
      </w:r>
      <w:r>
        <w:rPr>
          <w:rFonts w:hint="default" w:ascii="Times New Roman" w:hAnsi="Times New Roman" w:cs="Times New Roman"/>
          <w:highlight w:val="none"/>
          <w:lang w:val="en-US" w:eastAsia="zh-CN"/>
        </w:rPr>
        <w:t>在中华人民共和国境内注册，</w:t>
      </w:r>
      <w:r>
        <w:rPr>
          <w:rFonts w:hint="eastAsia" w:ascii="Times New Roman" w:hAnsi="Times New Roman" w:cs="Times New Roman"/>
          <w:highlight w:val="none"/>
          <w:lang w:val="en-US" w:eastAsia="zh-CN"/>
        </w:rPr>
        <w:t>在北京市具有固定办公场所。</w:t>
      </w:r>
    </w:p>
    <w:p w14:paraId="402DAA77">
      <w:pPr>
        <w:ind w:firstLine="616"/>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2.申报主体运营、财务状况及信用良好，近三年内未发生过重大安全、质量等事故，未被纳入失信被执行人名单。</w:t>
      </w:r>
    </w:p>
    <w:p w14:paraId="796E0ED2">
      <w:pPr>
        <w:ind w:firstLine="616"/>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3.申报主体具备</w:t>
      </w:r>
      <w:r>
        <w:rPr>
          <w:rFonts w:hint="eastAsia"/>
        </w:rPr>
        <w:t>工业互联网综合服务平台建设</w:t>
      </w:r>
      <w:r>
        <w:rPr>
          <w:rFonts w:hint="eastAsia"/>
          <w:lang w:val="en-US" w:eastAsia="zh-CN"/>
        </w:rPr>
        <w:t>及运营所需的</w:t>
      </w:r>
      <w:r>
        <w:rPr>
          <w:rFonts w:hint="eastAsia" w:ascii="Times New Roman" w:hAnsi="Times New Roman" w:cs="Times New Roman"/>
          <w:highlight w:val="none"/>
          <w:lang w:val="en-US" w:eastAsia="zh-CN"/>
        </w:rPr>
        <w:t>专业服务团队和服务能力，有项目实施经验。</w:t>
      </w:r>
    </w:p>
    <w:p w14:paraId="0B0559D0">
      <w:pPr>
        <w:numPr>
          <w:ilvl w:val="0"/>
          <w:numId w:val="0"/>
        </w:numPr>
        <w:ind w:firstLine="592"/>
        <w:rPr>
          <w:rFonts w:hint="eastAsia" w:ascii="Times New Roman" w:hAnsi="Times New Roman" w:eastAsia="仿宋_GB2312" w:cs="Times New Roman"/>
          <w:spacing w:val="-6"/>
          <w:kern w:val="2"/>
          <w:sz w:val="32"/>
          <w:szCs w:val="32"/>
          <w:lang w:val="en-US" w:eastAsia="zh-CN" w:bidi="he-IL"/>
        </w:rPr>
      </w:pPr>
      <w:r>
        <w:rPr>
          <w:rFonts w:hint="eastAsia" w:ascii="Times New Roman" w:hAnsi="Times New Roman" w:cs="Times New Roman"/>
          <w:highlight w:val="none"/>
          <w:lang w:val="en-US" w:eastAsia="zh-CN"/>
        </w:rPr>
        <w:t>（四）</w:t>
      </w:r>
      <w:r>
        <w:rPr>
          <w:rFonts w:hint="eastAsia"/>
        </w:rPr>
        <w:t>产业链龙头企业、链主企业</w:t>
      </w:r>
      <w:r>
        <w:rPr>
          <w:rFonts w:hint="eastAsia" w:ascii="Times New Roman" w:hAnsi="Times New Roman" w:eastAsia="仿宋_GB2312" w:cs="Times New Roman"/>
          <w:spacing w:val="-6"/>
          <w:kern w:val="2"/>
          <w:sz w:val="32"/>
          <w:szCs w:val="32"/>
          <w:lang w:val="en-US" w:eastAsia="zh-CN" w:bidi="he-IL"/>
        </w:rPr>
        <w:t>应同时符合以下基本条件：</w:t>
      </w:r>
    </w:p>
    <w:p w14:paraId="71C4503D">
      <w:pPr>
        <w:ind w:firstLine="616"/>
        <w:rPr>
          <w:rFonts w:hint="default" w:ascii="Times New Roman" w:hAnsi="Times New Roman" w:cs="Times New Roman"/>
          <w:highlight w:val="none"/>
          <w:lang w:val="en-US" w:eastAsia="zh-CN"/>
        </w:rPr>
      </w:pPr>
      <w:r>
        <w:rPr>
          <w:rFonts w:hint="eastAsia" w:ascii="Times New Roman" w:hAnsi="Times New Roman" w:cs="Times New Roman"/>
          <w:highlight w:val="none"/>
          <w:lang w:val="en-US" w:eastAsia="zh-CN"/>
        </w:rPr>
        <w:t>1.申报主体</w:t>
      </w:r>
      <w:r>
        <w:rPr>
          <w:rFonts w:hint="default" w:ascii="Times New Roman" w:hAnsi="Times New Roman" w:cs="Times New Roman"/>
          <w:highlight w:val="none"/>
          <w:lang w:val="en-US" w:eastAsia="zh-CN"/>
        </w:rPr>
        <w:t>在中华人民共和国境内注册，</w:t>
      </w:r>
      <w:r>
        <w:rPr>
          <w:rFonts w:hint="eastAsia" w:ascii="Times New Roman" w:hAnsi="Times New Roman" w:cs="Times New Roman"/>
          <w:highlight w:val="none"/>
          <w:lang w:val="en-US" w:eastAsia="zh-CN"/>
        </w:rPr>
        <w:t>与顺义区企业形成产业链配套关系。</w:t>
      </w:r>
    </w:p>
    <w:p w14:paraId="1AF64231">
      <w:pPr>
        <w:pStyle w:val="2"/>
        <w:rPr>
          <w:rFonts w:hint="eastAsia"/>
          <w:lang w:val="en-US" w:eastAsia="zh-CN"/>
        </w:rPr>
      </w:pPr>
      <w:r>
        <w:rPr>
          <w:rFonts w:hint="eastAsia" w:ascii="Times New Roman" w:hAnsi="Times New Roman" w:cs="Times New Roman"/>
          <w:highlight w:val="none"/>
          <w:lang w:val="en-US" w:eastAsia="zh-CN"/>
        </w:rPr>
        <w:t>2.申报主体运营、财务状况及信用良好，近三年内未发生过重大安全、质量等事故，未被纳入失信被执行人名单。</w:t>
      </w:r>
    </w:p>
    <w:p w14:paraId="241F0012">
      <w:pPr>
        <w:numPr>
          <w:ilvl w:val="0"/>
          <w:numId w:val="0"/>
        </w:numPr>
        <w:ind w:firstLine="616" w:firstLineChars="200"/>
        <w:rPr>
          <w:rFonts w:hint="default" w:ascii="仿宋_GB2312" w:hAnsi="仿宋_GB2312" w:cs="仿宋_GB2312"/>
          <w:sz w:val="32"/>
          <w:szCs w:val="32"/>
          <w:lang w:val="en-US" w:eastAsia="zh-CN"/>
        </w:rPr>
      </w:pPr>
      <w:r>
        <w:rPr>
          <w:rFonts w:hint="eastAsia" w:ascii="Times New Roman" w:hAnsi="Times New Roman" w:eastAsia="仿宋_GB2312" w:cs="Times New Roman"/>
          <w:spacing w:val="-6"/>
          <w:kern w:val="2"/>
          <w:sz w:val="32"/>
          <w:szCs w:val="32"/>
          <w:highlight w:val="none"/>
          <w:lang w:val="en-US" w:eastAsia="zh-CN" w:bidi="he-IL"/>
        </w:rPr>
        <w:t>3.</w:t>
      </w:r>
      <w:r>
        <w:rPr>
          <w:rFonts w:hint="eastAsia"/>
        </w:rPr>
        <w:t>产业链龙头企业</w:t>
      </w:r>
      <w:r>
        <w:rPr>
          <w:rFonts w:hint="eastAsia"/>
          <w:lang w:val="en-US" w:eastAsia="zh-CN"/>
        </w:rPr>
        <w:t>应在主板上市（包含</w:t>
      </w:r>
      <w:r>
        <w:rPr>
          <w:rFonts w:hint="eastAsia" w:ascii="仿宋_GB2312" w:hAnsi="仿宋_GB2312" w:eastAsia="仿宋_GB2312" w:cs="仿宋_GB2312"/>
          <w:sz w:val="32"/>
          <w:szCs w:val="32"/>
        </w:rPr>
        <w:t>上交所主板、科创板</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深交所主板、创业板</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北交所</w:t>
      </w:r>
      <w:r>
        <w:rPr>
          <w:rFonts w:hint="eastAsia"/>
          <w:lang w:val="en-US" w:eastAsia="zh-CN"/>
        </w:rPr>
        <w:t>）、估值不低于10亿元或上年度营业收入不低于5亿元。</w:t>
      </w:r>
      <w:r>
        <w:rPr>
          <w:rFonts w:hint="eastAsia"/>
        </w:rPr>
        <w:t>链主企业</w:t>
      </w:r>
      <w:r>
        <w:rPr>
          <w:rFonts w:hint="eastAsia"/>
          <w:lang w:val="en-US" w:eastAsia="zh-CN"/>
        </w:rPr>
        <w:t>主导产品处于产业链下游关键环节，</w:t>
      </w:r>
      <w:r>
        <w:rPr>
          <w:rFonts w:hint="eastAsia" w:ascii="仿宋_GB2312" w:hAnsi="仿宋_GB2312" w:cs="仿宋_GB2312"/>
          <w:sz w:val="32"/>
          <w:szCs w:val="32"/>
          <w:lang w:val="en-US" w:eastAsia="zh-CN"/>
        </w:rPr>
        <w:t>有较高的市场占有率、较强的</w:t>
      </w:r>
      <w:r>
        <w:rPr>
          <w:rFonts w:hint="eastAsia" w:ascii="仿宋_GB2312" w:hAnsi="仿宋_GB2312" w:cs="仿宋_GB2312"/>
          <w:sz w:val="32"/>
          <w:szCs w:val="32"/>
          <w:lang w:eastAsia="zh-CN"/>
        </w:rPr>
        <w:t>研发能力</w:t>
      </w:r>
      <w:r>
        <w:rPr>
          <w:rFonts w:hint="eastAsia" w:ascii="仿宋_GB2312" w:hAnsi="仿宋_GB2312" w:cs="仿宋_GB2312"/>
          <w:sz w:val="32"/>
          <w:szCs w:val="32"/>
          <w:lang w:val="en-US" w:eastAsia="zh-CN"/>
        </w:rPr>
        <w:t>和</w:t>
      </w:r>
      <w:r>
        <w:rPr>
          <w:rFonts w:hint="eastAsia" w:ascii="仿宋_GB2312" w:hAnsi="仿宋_GB2312" w:cs="仿宋_GB2312"/>
          <w:sz w:val="32"/>
          <w:szCs w:val="32"/>
          <w:lang w:eastAsia="zh-CN"/>
        </w:rPr>
        <w:t>品牌影响力，</w:t>
      </w:r>
      <w:r>
        <w:rPr>
          <w:rFonts w:hint="eastAsia"/>
          <w:lang w:val="en-US" w:eastAsia="zh-CN"/>
        </w:rPr>
        <w:t>具有整合上游资源及带动产业链发展能力</w:t>
      </w:r>
      <w:r>
        <w:rPr>
          <w:rFonts w:hint="eastAsia" w:ascii="仿宋_GB2312" w:hAnsi="仿宋_GB2312" w:cs="仿宋_GB2312"/>
          <w:sz w:val="32"/>
          <w:szCs w:val="32"/>
          <w:lang w:val="en-US" w:eastAsia="zh-CN"/>
        </w:rPr>
        <w:t>。</w:t>
      </w:r>
    </w:p>
    <w:p w14:paraId="04BAE56A">
      <w:pPr>
        <w:numPr>
          <w:ilvl w:val="0"/>
          <w:numId w:val="0"/>
        </w:numPr>
        <w:ind w:firstLine="592"/>
        <w:rPr>
          <w:rFonts w:hint="default" w:ascii="Times New Roman" w:hAnsi="Times New Roman" w:cs="Times New Roman"/>
          <w:spacing w:val="-6"/>
          <w:kern w:val="2"/>
          <w:sz w:val="32"/>
          <w:szCs w:val="32"/>
          <w:lang w:val="en-US" w:eastAsia="zh-CN" w:bidi="he-IL"/>
        </w:rPr>
      </w:pPr>
      <w:r>
        <w:rPr>
          <w:rFonts w:hint="eastAsia" w:ascii="Times New Roman" w:hAnsi="Times New Roman" w:cs="Times New Roman"/>
          <w:highlight w:val="none"/>
          <w:lang w:val="en-US" w:eastAsia="zh-CN"/>
        </w:rPr>
        <w:t>（五）</w:t>
      </w:r>
      <w:r>
        <w:rPr>
          <w:rFonts w:hint="eastAsia"/>
          <w:highlight w:val="none"/>
          <w:lang w:val="en-US" w:eastAsia="zh-CN"/>
        </w:rPr>
        <w:t>中小企业专业服务机构、第三方服务机构</w:t>
      </w:r>
      <w:r>
        <w:rPr>
          <w:rFonts w:hint="eastAsia" w:ascii="Times New Roman" w:hAnsi="Times New Roman" w:eastAsia="仿宋_GB2312" w:cs="Times New Roman"/>
          <w:spacing w:val="-6"/>
          <w:kern w:val="2"/>
          <w:sz w:val="32"/>
          <w:szCs w:val="32"/>
          <w:lang w:val="en-US" w:eastAsia="zh-CN" w:bidi="he-IL"/>
        </w:rPr>
        <w:t>应同时符合以下基本条件：</w:t>
      </w:r>
    </w:p>
    <w:p w14:paraId="73B591DB">
      <w:pPr>
        <w:ind w:firstLine="616"/>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1.申报主体</w:t>
      </w:r>
      <w:r>
        <w:rPr>
          <w:rFonts w:hint="default" w:ascii="Times New Roman" w:hAnsi="Times New Roman" w:cs="Times New Roman"/>
          <w:highlight w:val="none"/>
          <w:lang w:val="en-US" w:eastAsia="zh-CN"/>
        </w:rPr>
        <w:t>在中华人民共和国境内注册，</w:t>
      </w:r>
      <w:r>
        <w:rPr>
          <w:rFonts w:hint="eastAsia" w:ascii="Times New Roman" w:hAnsi="Times New Roman" w:cs="Times New Roman"/>
          <w:highlight w:val="none"/>
          <w:lang w:val="en-US" w:eastAsia="zh-CN"/>
        </w:rPr>
        <w:t>在北京市具有固定办公场所。</w:t>
      </w:r>
    </w:p>
    <w:p w14:paraId="4E50913F">
      <w:pPr>
        <w:ind w:firstLine="616"/>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2.申报主体管理规范、信用良好，近三年内未发生过重大安全、质量等事故，未被纳入失信被执行人名单。</w:t>
      </w:r>
    </w:p>
    <w:p w14:paraId="65B577EF">
      <w:pPr>
        <w:numPr>
          <w:ilvl w:val="0"/>
          <w:numId w:val="0"/>
        </w:numPr>
        <w:ind w:firstLine="592"/>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3.申报主体具备</w:t>
      </w:r>
      <w:r>
        <w:rPr>
          <w:rFonts w:hint="eastAsia"/>
          <w:lang w:val="en-US" w:eastAsia="zh-CN"/>
        </w:rPr>
        <w:t>服务所需的</w:t>
      </w:r>
      <w:r>
        <w:rPr>
          <w:rFonts w:hint="eastAsia" w:ascii="Times New Roman" w:hAnsi="Times New Roman" w:cs="Times New Roman"/>
          <w:highlight w:val="none"/>
          <w:lang w:val="en-US" w:eastAsia="zh-CN"/>
        </w:rPr>
        <w:t>专业服务团队和服务能力，有相关服务经验。</w:t>
      </w:r>
    </w:p>
    <w:p w14:paraId="5B2F0642">
      <w:pPr>
        <w:rPr>
          <w:highlight w:val="none"/>
        </w:rPr>
      </w:pPr>
      <w:r>
        <w:rPr>
          <w:rFonts w:hint="eastAsia"/>
          <w:b/>
          <w:bCs/>
          <w:highlight w:val="none"/>
          <w:lang w:val="en-US" w:eastAsia="zh-CN"/>
        </w:rPr>
        <w:t>第六条</w:t>
      </w:r>
      <w:r>
        <w:rPr>
          <w:rFonts w:hint="eastAsia"/>
          <w:highlight w:val="none"/>
          <w:lang w:val="en-US" w:eastAsia="zh-CN"/>
        </w:rPr>
        <w:t xml:space="preserve"> </w:t>
      </w:r>
      <w:r>
        <w:rPr>
          <w:rFonts w:hint="eastAsia"/>
          <w:highlight w:val="none"/>
        </w:rPr>
        <w:t>对已获得中央财政中小企业发展专项资金支持的专精特新“小巨人”企业不再重复支持，已纳入《工业和信息化部办公厅 财政部办公厅关于开展财政支持中小企业数字化转型试点工作的通知》（工信厅联企业〔2022〕22 号）中改造试点的中小企业不再重复支持。</w:t>
      </w:r>
    </w:p>
    <w:p w14:paraId="41B774BE">
      <w:pPr>
        <w:pStyle w:val="5"/>
        <w:ind w:left="0" w:leftChars="0" w:firstLine="0" w:firstLineChars="0"/>
        <w:jc w:val="center"/>
      </w:pPr>
      <w:r>
        <w:rPr>
          <w:rFonts w:hint="eastAsia"/>
          <w:lang w:val="en-US" w:eastAsia="zh-CN"/>
        </w:rPr>
        <w:t>第三章 支持方向</w:t>
      </w:r>
      <w:r>
        <w:rPr>
          <w:rFonts w:hint="eastAsia"/>
        </w:rPr>
        <w:t>及标准</w:t>
      </w:r>
    </w:p>
    <w:p w14:paraId="63D5CF15">
      <w:pPr>
        <w:rPr>
          <w:rFonts w:hint="eastAsia"/>
          <w:highlight w:val="none"/>
        </w:rPr>
      </w:pPr>
      <w:r>
        <w:rPr>
          <w:rFonts w:hint="eastAsia"/>
          <w:b/>
          <w:highlight w:val="none"/>
        </w:rPr>
        <w:t>第七条</w:t>
      </w:r>
      <w:r>
        <w:rPr>
          <w:highlight w:val="none"/>
        </w:rPr>
        <w:t xml:space="preserve"> </w:t>
      </w:r>
      <w:r>
        <w:rPr>
          <w:rFonts w:hint="eastAsia"/>
          <w:highlight w:val="none"/>
        </w:rPr>
        <w:t>专项资金采用补助、奖励、政府购买服务等方式。重点支持列入试点的新能源智能网联汽车、航空航天、第三代半导体行业</w:t>
      </w:r>
      <w:r>
        <w:rPr>
          <w:rFonts w:hint="eastAsia"/>
        </w:rPr>
        <w:t>相关领域</w:t>
      </w:r>
      <w:r>
        <w:rPr>
          <w:rFonts w:hint="eastAsia"/>
          <w:highlight w:val="none"/>
        </w:rPr>
        <w:t>中小企业数字化转型及相关工作开展。</w:t>
      </w:r>
    </w:p>
    <w:p w14:paraId="18B095EE">
      <w:r>
        <w:rPr>
          <w:rFonts w:hint="eastAsia"/>
          <w:b/>
        </w:rPr>
        <w:t>第八条</w:t>
      </w:r>
      <w:r>
        <w:rPr>
          <w:rFonts w:hint="eastAsia"/>
        </w:rPr>
        <w:t xml:space="preserve"> 专项资金支持方向及支持标准如下：</w:t>
      </w:r>
    </w:p>
    <w:p w14:paraId="1DDF2E57">
      <w:pPr>
        <w:ind w:firstLine="616"/>
      </w:pPr>
      <w:r>
        <w:rPr>
          <w:rFonts w:hint="eastAsia"/>
        </w:rPr>
        <w:t>（一）支持中小企业</w:t>
      </w:r>
      <w:r>
        <w:t>“诊转一体”</w:t>
      </w:r>
      <w:r>
        <w:rPr>
          <w:rFonts w:hint="eastAsia"/>
        </w:rPr>
        <w:t>数字化改造</w:t>
      </w:r>
    </w:p>
    <w:p w14:paraId="6C9CB937">
      <w:pPr>
        <w:ind w:firstLine="616"/>
      </w:pPr>
      <w:r>
        <w:rPr>
          <w:rFonts w:hint="eastAsia"/>
        </w:rPr>
        <w:t>支持纳入改造范围的中小企业开展数字化诊断，</w:t>
      </w:r>
      <w:r>
        <w:t>建立数字化诊断档案，形成企业数字化诊断报告</w:t>
      </w:r>
      <w:r>
        <w:rPr>
          <w:rFonts w:hint="eastAsia"/>
        </w:rPr>
        <w:t>，</w:t>
      </w:r>
      <w:r>
        <w:t>开展生产过程、产品生命周期和产业链供应链等关键业务环节的深度数字化改造，推进数据采集、场景集成和系统互联互通。对企业购买数字化诊断服务费给予最高100%</w:t>
      </w:r>
      <w:r>
        <w:rPr>
          <w:rFonts w:hint="eastAsia"/>
        </w:rPr>
        <w:t>资金</w:t>
      </w:r>
      <w:r>
        <w:t>补助</w:t>
      </w:r>
      <w:r>
        <w:rPr>
          <w:rFonts w:hint="eastAsia"/>
        </w:rPr>
        <w:t>，对企业采购</w:t>
      </w:r>
      <w:r>
        <w:rPr>
          <w:spacing w:val="7"/>
          <w:sz w:val="31"/>
          <w:szCs w:val="31"/>
        </w:rPr>
        <w:t>数字化改造相</w:t>
      </w:r>
      <w:r>
        <w:rPr>
          <w:spacing w:val="9"/>
          <w:sz w:val="31"/>
          <w:szCs w:val="31"/>
        </w:rPr>
        <w:t>关的</w:t>
      </w:r>
      <w:r>
        <w:rPr>
          <w:rFonts w:hint="eastAsia"/>
        </w:rPr>
        <w:t>软件业务系统、云服务（含租赁、算力）、网关、路由及数据采集传输设备等投入，给予</w:t>
      </w:r>
      <w:r>
        <w:t>核定投资最高30%</w:t>
      </w:r>
      <w:r>
        <w:rPr>
          <w:rFonts w:hint="eastAsia"/>
        </w:rPr>
        <w:t>资金补助。</w:t>
      </w:r>
    </w:p>
    <w:p w14:paraId="377F6D5C">
      <w:pPr>
        <w:ind w:firstLine="616"/>
        <w:rPr>
          <w:rFonts w:hint="eastAsia"/>
          <w:highlight w:val="none"/>
        </w:rPr>
      </w:pPr>
      <w:r>
        <w:rPr>
          <w:rFonts w:hint="eastAsia"/>
          <w:highlight w:val="none"/>
        </w:rPr>
        <w:t>改造后数字化水平达到二级</w:t>
      </w:r>
      <w:r>
        <w:rPr>
          <w:rFonts w:hint="eastAsia"/>
          <w:highlight w:val="none"/>
          <w:lang w:eastAsia="zh-CN"/>
        </w:rPr>
        <w:t>，</w:t>
      </w:r>
      <w:r>
        <w:rPr>
          <w:rFonts w:hint="eastAsia"/>
          <w:highlight w:val="none"/>
        </w:rPr>
        <w:t>最高支持</w:t>
      </w:r>
      <w:r>
        <w:rPr>
          <w:rFonts w:hint="eastAsia"/>
          <w:highlight w:val="none"/>
          <w:lang w:val="en-US" w:eastAsia="zh-CN"/>
        </w:rPr>
        <w:t>1</w:t>
      </w:r>
      <w:r>
        <w:rPr>
          <w:rFonts w:hint="eastAsia"/>
          <w:highlight w:val="none"/>
        </w:rPr>
        <w:t>0万元，其中数字化诊断服务费最高支持3万元</w:t>
      </w:r>
      <w:r>
        <w:rPr>
          <w:rFonts w:hint="eastAsia"/>
          <w:highlight w:val="none"/>
          <w:lang w:eastAsia="zh-CN"/>
        </w:rPr>
        <w:t>；</w:t>
      </w:r>
      <w:r>
        <w:rPr>
          <w:rFonts w:hint="eastAsia"/>
          <w:highlight w:val="none"/>
        </w:rPr>
        <w:t>改造后数字化水平达到二级的北京市优质中小企业</w:t>
      </w:r>
      <w:r>
        <w:rPr>
          <w:rFonts w:hint="eastAsia"/>
          <w:highlight w:val="none"/>
          <w:lang w:eastAsia="zh-CN"/>
        </w:rPr>
        <w:t>，</w:t>
      </w:r>
      <w:r>
        <w:rPr>
          <w:rFonts w:hint="eastAsia"/>
          <w:highlight w:val="none"/>
        </w:rPr>
        <w:t>最高支持</w:t>
      </w:r>
      <w:r>
        <w:rPr>
          <w:rFonts w:hint="eastAsia"/>
          <w:highlight w:val="none"/>
          <w:lang w:val="en-US" w:eastAsia="zh-CN"/>
        </w:rPr>
        <w:t>3</w:t>
      </w:r>
      <w:r>
        <w:rPr>
          <w:rFonts w:hint="eastAsia"/>
          <w:highlight w:val="none"/>
        </w:rPr>
        <w:t>0万元，其中数字化诊断服务费最高支持3万元</w:t>
      </w:r>
      <w:r>
        <w:rPr>
          <w:rFonts w:hint="eastAsia"/>
          <w:highlight w:val="none"/>
          <w:lang w:val="en-US" w:eastAsia="zh-CN"/>
        </w:rPr>
        <w:t>；</w:t>
      </w:r>
      <w:r>
        <w:rPr>
          <w:rFonts w:hint="eastAsia"/>
          <w:highlight w:val="none"/>
        </w:rPr>
        <w:t>改造后数字化水平达到三级的北京市专精特新中小企业，最高支持</w:t>
      </w:r>
      <w:r>
        <w:rPr>
          <w:rFonts w:hint="eastAsia"/>
          <w:highlight w:val="none"/>
          <w:lang w:val="en-US" w:eastAsia="zh-CN"/>
        </w:rPr>
        <w:t>10</w:t>
      </w:r>
      <w:r>
        <w:rPr>
          <w:rFonts w:hint="eastAsia"/>
          <w:highlight w:val="none"/>
        </w:rPr>
        <w:t>0万元，其中数字化诊断服务费最高支持5万元；改造后数字化水平达到四级的北京市专精特新中小企业，最高支持200万元，其中数字化诊断服务费最高支持10万元。同一企业政策实施期内可申报多个项目，但每批次仅可申报一个项目，最高支持额度晋档提升。</w:t>
      </w:r>
    </w:p>
    <w:p w14:paraId="5094017C">
      <w:pPr>
        <w:ind w:firstLine="616"/>
      </w:pPr>
      <w:r>
        <w:rPr>
          <w:rFonts w:hint="eastAsia"/>
        </w:rPr>
        <w:t>（二）支持工业互联网综合服务平台建设</w:t>
      </w:r>
    </w:p>
    <w:p w14:paraId="740543E6">
      <w:pPr>
        <w:ind w:firstLine="616"/>
        <w:rPr>
          <w:rFonts w:hint="eastAsia"/>
        </w:rPr>
      </w:pPr>
      <w:r>
        <w:rPr>
          <w:rFonts w:hint="eastAsia"/>
        </w:rPr>
        <w:t>支持</w:t>
      </w:r>
      <w:r>
        <w:t>1个工业互联网综合服务平台</w:t>
      </w:r>
      <w:r>
        <w:rPr>
          <w:rFonts w:hint="eastAsia"/>
        </w:rPr>
        <w:t>建设</w:t>
      </w:r>
      <w:r>
        <w:t>，提供数字化转型服务</w:t>
      </w:r>
      <w:r>
        <w:rPr>
          <w:rFonts w:hint="eastAsia"/>
        </w:rPr>
        <w:t>产品，为</w:t>
      </w:r>
      <w:r>
        <w:t>顺义区中小企业提供数字化转型服务</w:t>
      </w:r>
      <w:r>
        <w:rPr>
          <w:rFonts w:hint="eastAsia"/>
        </w:rPr>
        <w:t>，支持</w:t>
      </w:r>
      <w:r>
        <w:t>中小企业开展工业互联网标识解析或国家级区块链基础设施技术创新应用</w:t>
      </w:r>
      <w:r>
        <w:rPr>
          <w:rFonts w:hint="eastAsia"/>
        </w:rPr>
        <w:t>，</w:t>
      </w:r>
      <w:r>
        <w:t>开展核心技术研发并形成技术专利</w:t>
      </w:r>
      <w:r>
        <w:rPr>
          <w:rFonts w:hint="eastAsia"/>
        </w:rPr>
        <w:t>，推动</w:t>
      </w:r>
      <w:r>
        <w:t>龙头企业建设工业互联网平台。</w:t>
      </w:r>
      <w:r>
        <w:rPr>
          <w:rFonts w:hint="eastAsia"/>
        </w:rPr>
        <w:t>对平台建设相关的服务器等硬件设备、系统开发费等投入给予</w:t>
      </w:r>
      <w:r>
        <w:t>核定项目投资最高</w:t>
      </w:r>
      <w:r>
        <w:rPr>
          <w:rFonts w:hint="eastAsia"/>
        </w:rPr>
        <w:t>50</w:t>
      </w:r>
      <w:r>
        <w:t>%</w:t>
      </w:r>
      <w:r>
        <w:rPr>
          <w:rFonts w:hint="eastAsia"/>
        </w:rPr>
        <w:t>资金补助</w:t>
      </w:r>
      <w:r>
        <w:t>，</w:t>
      </w:r>
      <w:r>
        <w:rPr>
          <w:rFonts w:hint="eastAsia"/>
        </w:rPr>
        <w:t>补助</w:t>
      </w:r>
      <w:r>
        <w:rPr>
          <w:rFonts w:hint="eastAsia"/>
          <w:lang w:val="en-US" w:eastAsia="zh-CN"/>
        </w:rPr>
        <w:t>金额</w:t>
      </w:r>
      <w:r>
        <w:t>最高</w:t>
      </w:r>
      <w:r>
        <w:rPr>
          <w:rFonts w:hint="eastAsia"/>
          <w:lang w:val="en-US" w:eastAsia="zh-CN"/>
        </w:rPr>
        <w:t>不超过</w:t>
      </w:r>
      <w:r>
        <w:t>300万元</w:t>
      </w:r>
      <w:r>
        <w:rPr>
          <w:rFonts w:hint="eastAsia"/>
        </w:rPr>
        <w:t>。</w:t>
      </w:r>
    </w:p>
    <w:p w14:paraId="41792D39">
      <w:pPr>
        <w:ind w:firstLine="616"/>
      </w:pPr>
      <w:r>
        <w:rPr>
          <w:rFonts w:hint="eastAsia"/>
        </w:rPr>
        <w:t>（三）支持“小快轻准”服务产品应用</w:t>
      </w:r>
    </w:p>
    <w:p w14:paraId="3C8A7390">
      <w:pPr>
        <w:ind w:firstLine="616"/>
        <w:rPr>
          <w:rFonts w:hint="eastAsia"/>
        </w:rPr>
      </w:pPr>
      <w:r>
        <w:rPr>
          <w:rFonts w:hint="eastAsia"/>
        </w:rPr>
        <w:t>支持数字化服务商</w:t>
      </w:r>
      <w:r>
        <w:t>开发“小快轻准”（小型化、快速化、轻量化、精准化）的数字化解决方案和产品</w:t>
      </w:r>
      <w:r>
        <w:rPr>
          <w:rFonts w:hint="eastAsia"/>
        </w:rPr>
        <w:t>。对在纳入改造范围的中小企业形成成熟应用，且</w:t>
      </w:r>
      <w:r>
        <w:rPr>
          <w:rFonts w:hint="eastAsia"/>
          <w:lang w:val="en-US" w:eastAsia="zh-CN"/>
        </w:rPr>
        <w:t>入选</w:t>
      </w:r>
      <w:r>
        <w:rPr>
          <w:rFonts w:hint="eastAsia"/>
        </w:rPr>
        <w:t>顺义区中小企业数字化转型典型案例名录的</w:t>
      </w:r>
      <w:r>
        <w:t>“</w:t>
      </w:r>
      <w:r>
        <w:rPr>
          <w:rFonts w:hint="eastAsia"/>
        </w:rPr>
        <w:t>小快轻准</w:t>
      </w:r>
      <w:r>
        <w:t>”</w:t>
      </w:r>
      <w:r>
        <w:rPr>
          <w:rFonts w:hint="eastAsia"/>
        </w:rPr>
        <w:t>数字化解决方案和产品，每个服务产品最高奖励</w:t>
      </w:r>
      <w:r>
        <w:t>10</w:t>
      </w:r>
      <w:r>
        <w:rPr>
          <w:rFonts w:hint="eastAsia"/>
        </w:rPr>
        <w:t>万元，每家入选数字化服务商最高奖励</w:t>
      </w:r>
      <w:r>
        <w:t>30</w:t>
      </w:r>
      <w:r>
        <w:rPr>
          <w:rFonts w:hint="eastAsia"/>
        </w:rPr>
        <w:t>万元。</w:t>
      </w:r>
    </w:p>
    <w:p w14:paraId="6929F01D">
      <w:pPr>
        <w:ind w:firstLine="616"/>
      </w:pPr>
      <w:r>
        <w:rPr>
          <w:rFonts w:hint="eastAsia"/>
        </w:rPr>
        <w:t>（四）支持“链式”数字化转型产品赋能</w:t>
      </w:r>
    </w:p>
    <w:p w14:paraId="38E26391">
      <w:pPr>
        <w:ind w:firstLine="616"/>
        <w:rPr>
          <w:rFonts w:hint="eastAsia"/>
        </w:rPr>
      </w:pPr>
      <w:r>
        <w:rPr>
          <w:rFonts w:hint="eastAsia"/>
          <w:lang w:val="en-US" w:eastAsia="zh-CN"/>
        </w:rPr>
        <w:t>1.</w:t>
      </w:r>
      <w:r>
        <w:rPr>
          <w:rFonts w:hint="eastAsia"/>
        </w:rPr>
        <w:t>支持顺义区产业链龙头企业、链主企业及数字化服务商促进产业链供应链优化升级，通过“链式”数字化转型产品</w:t>
      </w:r>
      <w:r>
        <w:t>赋能供应链上下游</w:t>
      </w:r>
      <w:r>
        <w:rPr>
          <w:rFonts w:hint="eastAsia"/>
        </w:rPr>
        <w:t>纳入改造范围的中小企业</w:t>
      </w:r>
      <w:r>
        <w:t>数字化转型</w:t>
      </w:r>
      <w:r>
        <w:rPr>
          <w:rFonts w:hint="eastAsia"/>
        </w:rPr>
        <w:t>。对在纳入改造范围的中小企业</w:t>
      </w:r>
      <w:r>
        <w:t>开展试点应用，且</w:t>
      </w:r>
      <w:r>
        <w:rPr>
          <w:rFonts w:hint="eastAsia"/>
          <w:lang w:val="en-US" w:eastAsia="zh-CN"/>
        </w:rPr>
        <w:t>入选</w:t>
      </w:r>
      <w:r>
        <w:t>顺义区中小企业数字化转型典型案例名录</w:t>
      </w:r>
      <w:r>
        <w:rPr>
          <w:rFonts w:hint="eastAsia"/>
        </w:rPr>
        <w:t>的“链式”数字化转型产品，每个服务产品最高奖励25万元，每家产业链龙头企业、链主企业、数字化服务商最高奖励50万元。</w:t>
      </w:r>
    </w:p>
    <w:p w14:paraId="60FEDF35">
      <w:pPr>
        <w:ind w:firstLine="616"/>
        <w:rPr>
          <w:rFonts w:hint="eastAsia" w:eastAsia="仿宋_GB2312"/>
          <w:highlight w:val="none"/>
          <w:lang w:val="en-US" w:eastAsia="zh-CN"/>
        </w:rPr>
      </w:pPr>
      <w:r>
        <w:rPr>
          <w:rFonts w:hint="eastAsia"/>
          <w:highlight w:val="none"/>
          <w:lang w:val="en-US" w:eastAsia="zh-CN"/>
        </w:rPr>
        <w:t>2.</w:t>
      </w:r>
      <w:r>
        <w:rPr>
          <w:rFonts w:hint="eastAsia"/>
          <w:highlight w:val="none"/>
        </w:rPr>
        <w:t>支持顺义区产业链龙头企业、链主企业</w:t>
      </w:r>
      <w:r>
        <w:rPr>
          <w:rFonts w:hint="eastAsia"/>
          <w:highlight w:val="none"/>
          <w:lang w:val="en-US" w:eastAsia="zh-CN"/>
        </w:rPr>
        <w:t>及中小企业专业服务机构打造“链式”转型创新模式，</w:t>
      </w:r>
      <w:r>
        <w:rPr>
          <w:rFonts w:hint="eastAsia"/>
          <w:highlight w:val="none"/>
        </w:rPr>
        <w:t>加快“卡位入链”，引领带动中小企业转型升级，提升强链补链能力。</w:t>
      </w:r>
      <w:r>
        <w:rPr>
          <w:rFonts w:hint="eastAsia"/>
          <w:sz w:val="32"/>
          <w:szCs w:val="40"/>
          <w:highlight w:val="none"/>
          <w:lang w:val="en-US" w:eastAsia="zh-CN"/>
        </w:rPr>
        <w:t>支持3个</w:t>
      </w:r>
      <w:r>
        <w:rPr>
          <w:rFonts w:hint="eastAsia"/>
          <w:sz w:val="32"/>
          <w:szCs w:val="40"/>
          <w:highlight w:val="none"/>
        </w:rPr>
        <w:t>新能源智能网联汽车、航空航天、第三代半导体</w:t>
      </w:r>
      <w:r>
        <w:rPr>
          <w:rFonts w:hint="eastAsia"/>
          <w:sz w:val="32"/>
          <w:szCs w:val="40"/>
          <w:highlight w:val="none"/>
          <w:lang w:val="en-US" w:eastAsia="zh-CN"/>
        </w:rPr>
        <w:t>细分行业</w:t>
      </w:r>
      <w:r>
        <w:rPr>
          <w:rFonts w:hint="eastAsia"/>
          <w:sz w:val="32"/>
          <w:szCs w:val="40"/>
          <w:highlight w:val="none"/>
        </w:rPr>
        <w:t>“链式”转型参考架构</w:t>
      </w:r>
      <w:r>
        <w:rPr>
          <w:rFonts w:hint="eastAsia"/>
          <w:sz w:val="32"/>
          <w:szCs w:val="40"/>
          <w:highlight w:val="none"/>
          <w:lang w:val="en-US" w:eastAsia="zh-CN"/>
        </w:rPr>
        <w:t>，支持3套</w:t>
      </w:r>
      <w:r>
        <w:rPr>
          <w:rFonts w:hint="eastAsia"/>
          <w:sz w:val="32"/>
          <w:szCs w:val="40"/>
          <w:highlight w:val="none"/>
        </w:rPr>
        <w:t>特色产业集群、产业园整体数字化转型样板</w:t>
      </w:r>
      <w:r>
        <w:rPr>
          <w:rFonts w:hint="eastAsia"/>
          <w:sz w:val="32"/>
          <w:szCs w:val="40"/>
          <w:highlight w:val="none"/>
          <w:lang w:eastAsia="zh-CN"/>
        </w:rPr>
        <w:t>，</w:t>
      </w:r>
      <w:r>
        <w:rPr>
          <w:rFonts w:hint="eastAsia"/>
          <w:highlight w:val="none"/>
        </w:rPr>
        <w:t>每个最高奖励25万元</w:t>
      </w:r>
      <w:r>
        <w:rPr>
          <w:highlight w:val="none"/>
        </w:rPr>
        <w:t>。</w:t>
      </w:r>
    </w:p>
    <w:p w14:paraId="7E07FF4D">
      <w:pPr>
        <w:ind w:firstLine="616"/>
      </w:pPr>
      <w:r>
        <w:rPr>
          <w:rFonts w:hint="eastAsia"/>
        </w:rPr>
        <w:t>（五）支持中小企业数字化转型综合服务</w:t>
      </w:r>
    </w:p>
    <w:p w14:paraId="54B03A6F">
      <w:pPr>
        <w:ind w:firstLine="616"/>
      </w:pPr>
      <w:r>
        <w:rPr>
          <w:rFonts w:hint="eastAsia"/>
        </w:rPr>
        <w:t>1.数字化水平评定。通过政府购买服务方式委托1家第三方机构，按照工业和信息化部发布的最新版本《中小企业数字化水平评测指标》及《中小企业数字化水平评测指南》要求，完成纳入改造范围的中小企业数字化能力评测（含数字化水平能力评估）</w:t>
      </w:r>
      <w:r>
        <w:rPr>
          <w:rFonts w:hint="eastAsia"/>
          <w:lang w:eastAsia="zh-CN"/>
        </w:rPr>
        <w:t>，</w:t>
      </w:r>
      <w:r>
        <w:rPr>
          <w:rFonts w:hint="eastAsia"/>
          <w:lang w:val="en-US" w:eastAsia="zh-CN"/>
        </w:rPr>
        <w:t>最高</w:t>
      </w:r>
      <w:r>
        <w:rPr>
          <w:rFonts w:hint="eastAsia"/>
        </w:rPr>
        <w:t>支持</w:t>
      </w:r>
      <w:r>
        <w:rPr>
          <w:rFonts w:hint="eastAsia"/>
          <w:lang w:val="en-US" w:eastAsia="zh-CN"/>
        </w:rPr>
        <w:t>35</w:t>
      </w:r>
      <w:bookmarkStart w:id="4" w:name="_GoBack"/>
      <w:bookmarkEnd w:id="4"/>
      <w:r>
        <w:rPr>
          <w:rFonts w:hint="eastAsia"/>
        </w:rPr>
        <w:t>0万元</w:t>
      </w:r>
      <w:r>
        <w:t>。</w:t>
      </w:r>
    </w:p>
    <w:p w14:paraId="12092933">
      <w:pPr>
        <w:ind w:firstLine="616"/>
        <w:rPr>
          <w:rFonts w:hint="eastAsia"/>
          <w:lang w:eastAsia="zh-CN"/>
        </w:rPr>
      </w:pPr>
      <w:r>
        <w:rPr>
          <w:rFonts w:hint="eastAsia"/>
        </w:rPr>
        <w:t>2.数字化转型培训。通过政府购买服务方式，委托1家第三方机构，根据企业数字化转型人才、技术、应用等需求，面向不同行业、不同对象，分层分类制定培训工作方案，设计课程体系，开发培训课程，开展线下、线上</w:t>
      </w:r>
      <w:r>
        <w:rPr>
          <w:rFonts w:hint="eastAsia"/>
          <w:lang w:val="en-US" w:eastAsia="zh-CN"/>
        </w:rPr>
        <w:t>及</w:t>
      </w:r>
      <w:r>
        <w:rPr>
          <w:rFonts w:hint="eastAsia"/>
        </w:rPr>
        <w:t>“一对一”定制化培训</w:t>
      </w:r>
      <w:r>
        <w:rPr>
          <w:rFonts w:hint="eastAsia"/>
          <w:lang w:eastAsia="zh-CN"/>
        </w:rPr>
        <w:t>，</w:t>
      </w:r>
      <w:r>
        <w:rPr>
          <w:rFonts w:hint="eastAsia"/>
          <w:lang w:val="en-US" w:eastAsia="zh-CN"/>
        </w:rPr>
        <w:t>最高</w:t>
      </w:r>
      <w:r>
        <w:rPr>
          <w:rFonts w:hint="eastAsia"/>
        </w:rPr>
        <w:t>支持</w:t>
      </w:r>
      <w:r>
        <w:rPr>
          <w:rFonts w:hint="eastAsia"/>
          <w:lang w:val="en-US" w:eastAsia="zh-CN"/>
        </w:rPr>
        <w:t>20</w:t>
      </w:r>
      <w:r>
        <w:rPr>
          <w:rFonts w:hint="eastAsia"/>
        </w:rPr>
        <w:t>0万元</w:t>
      </w:r>
      <w:r>
        <w:t>。</w:t>
      </w:r>
    </w:p>
    <w:p w14:paraId="57E0E8FE">
      <w:pPr>
        <w:ind w:firstLine="616"/>
      </w:pPr>
      <w:r>
        <w:rPr>
          <w:rFonts w:hint="eastAsia"/>
        </w:rPr>
        <w:t>3.</w:t>
      </w:r>
      <w:r>
        <w:t>数字化转型宣传推广</w:t>
      </w:r>
      <w:r>
        <w:rPr>
          <w:rFonts w:hint="eastAsia"/>
        </w:rPr>
        <w:t>。通过政府购买服务方式，委托1家第三方机构，</w:t>
      </w:r>
      <w:r>
        <w:t>根据企业数字化转型需求，组织开展产品发布、案例分享、经验交流、现场观摩等活动，引导企业“看样学样”，策划样板企业、优秀产品等系列宣传，提升顺义区数字化品牌</w:t>
      </w:r>
      <w:r>
        <w:rPr>
          <w:rFonts w:hint="eastAsia"/>
          <w:lang w:eastAsia="zh-CN"/>
        </w:rPr>
        <w:t>，</w:t>
      </w:r>
      <w:r>
        <w:rPr>
          <w:rFonts w:hint="eastAsia"/>
          <w:lang w:val="en-US" w:eastAsia="zh-CN"/>
        </w:rPr>
        <w:t>最高</w:t>
      </w:r>
      <w:r>
        <w:rPr>
          <w:rFonts w:hint="eastAsia"/>
        </w:rPr>
        <w:t>支持</w:t>
      </w:r>
      <w:r>
        <w:rPr>
          <w:rFonts w:hint="eastAsia"/>
          <w:lang w:val="en-US" w:eastAsia="zh-CN"/>
        </w:rPr>
        <w:t>150</w:t>
      </w:r>
      <w:r>
        <w:rPr>
          <w:rFonts w:hint="eastAsia"/>
        </w:rPr>
        <w:t>万元</w:t>
      </w:r>
      <w:r>
        <w:t>。</w:t>
      </w:r>
    </w:p>
    <w:p w14:paraId="279F9DE9">
      <w:pPr>
        <w:ind w:firstLine="616"/>
        <w:rPr>
          <w:rFonts w:hint="eastAsia" w:eastAsia="仿宋_GB2312"/>
          <w:lang w:eastAsia="zh-CN"/>
        </w:rPr>
      </w:pPr>
      <w:r>
        <w:rPr>
          <w:rFonts w:hint="eastAsia"/>
        </w:rPr>
        <w:t>4.</w:t>
      </w:r>
      <w:r>
        <w:t>数字化转型综合管理</w:t>
      </w:r>
      <w:r>
        <w:rPr>
          <w:rFonts w:hint="eastAsia"/>
        </w:rPr>
        <w:t>。通过政府购买服务方式，委托1家第三方机构，</w:t>
      </w:r>
      <w:r>
        <w:t>全面策划、统筹中小企业数字化转型城市试点工作开展，实时监督中小企业数字化转型工作推进及成效。组织服务商</w:t>
      </w:r>
      <w:r>
        <w:rPr>
          <w:rFonts w:hint="eastAsia"/>
        </w:rPr>
        <w:t>开展中小企业</w:t>
      </w:r>
      <w:r>
        <w:t>走访交流、供需对接，推进</w:t>
      </w:r>
      <w:r>
        <w:rPr>
          <w:rFonts w:hint="eastAsia"/>
        </w:rPr>
        <w:t>建立数字化诊断</w:t>
      </w:r>
      <w:r>
        <w:t>档案</w:t>
      </w:r>
      <w:r>
        <w:rPr>
          <w:rFonts w:hint="eastAsia"/>
        </w:rPr>
        <w:t>；完成</w:t>
      </w:r>
      <w:r>
        <w:t>文档管理、信息报送，定期梳理总结实施工作情况</w:t>
      </w:r>
      <w:r>
        <w:rPr>
          <w:rFonts w:hint="eastAsia"/>
        </w:rPr>
        <w:t>；协助区经信局编制</w:t>
      </w:r>
      <w:r>
        <w:t>年度绩效自评</w:t>
      </w:r>
      <w:r>
        <w:rPr>
          <w:rFonts w:hint="eastAsia"/>
        </w:rPr>
        <w:t>报告，推进</w:t>
      </w:r>
      <w:r>
        <w:t>中期绩效评价</w:t>
      </w:r>
      <w:r>
        <w:rPr>
          <w:rFonts w:hint="eastAsia"/>
        </w:rPr>
        <w:t>、</w:t>
      </w:r>
      <w:r>
        <w:t>实施期后绩效评价</w:t>
      </w:r>
      <w:r>
        <w:rPr>
          <w:rFonts w:hint="eastAsia"/>
        </w:rPr>
        <w:t>等工作</w:t>
      </w:r>
      <w:r>
        <w:rPr>
          <w:rFonts w:hint="eastAsia"/>
          <w:lang w:eastAsia="zh-CN"/>
        </w:rPr>
        <w:t>，</w:t>
      </w:r>
      <w:r>
        <w:rPr>
          <w:rFonts w:hint="eastAsia"/>
          <w:lang w:val="en-US" w:eastAsia="zh-CN"/>
        </w:rPr>
        <w:t>最高</w:t>
      </w:r>
      <w:r>
        <w:rPr>
          <w:rFonts w:hint="eastAsia"/>
        </w:rPr>
        <w:t>支持</w:t>
      </w:r>
      <w:r>
        <w:rPr>
          <w:rFonts w:hint="eastAsia"/>
          <w:lang w:val="en-US" w:eastAsia="zh-CN"/>
        </w:rPr>
        <w:t>3</w:t>
      </w:r>
      <w:r>
        <w:rPr>
          <w:rFonts w:hint="eastAsia"/>
        </w:rPr>
        <w:t>00万元</w:t>
      </w:r>
      <w:r>
        <w:t>。</w:t>
      </w:r>
    </w:p>
    <w:p w14:paraId="24A6949F">
      <w:pPr>
        <w:ind w:firstLine="616"/>
      </w:pPr>
      <w:r>
        <w:rPr>
          <w:rFonts w:hint="eastAsia"/>
        </w:rPr>
        <w:t>5.</w:t>
      </w:r>
      <w:r>
        <w:t>数字化转型项目管理</w:t>
      </w:r>
      <w:r>
        <w:rPr>
          <w:rFonts w:hint="eastAsia"/>
        </w:rPr>
        <w:t>。通过政府购买服务方式，委托1家第三方机构，</w:t>
      </w:r>
      <w:r>
        <w:t>完成中小企业数字化转型项目管理工作。</w:t>
      </w:r>
      <w:r>
        <w:rPr>
          <w:rFonts w:hint="eastAsia"/>
        </w:rPr>
        <w:t>审核</w:t>
      </w:r>
      <w:r>
        <w:t>数字</w:t>
      </w:r>
      <w:r>
        <w:rPr>
          <w:rFonts w:hint="eastAsia"/>
        </w:rPr>
        <w:t>化</w:t>
      </w:r>
      <w:r>
        <w:t>服务商</w:t>
      </w:r>
      <w:r>
        <w:rPr>
          <w:rFonts w:hint="eastAsia"/>
        </w:rPr>
        <w:t>及纳入改造范围的中小企业</w:t>
      </w:r>
      <w:r>
        <w:t>，对</w:t>
      </w:r>
      <w:r>
        <w:rPr>
          <w:rFonts w:hint="eastAsia"/>
        </w:rPr>
        <w:t>中央资金</w:t>
      </w:r>
      <w:r>
        <w:t>项目，围绕质量、进度、投资等提供全过程、体系化、标准化监督管理</w:t>
      </w:r>
      <w:r>
        <w:rPr>
          <w:rFonts w:hint="eastAsia"/>
        </w:rPr>
        <w:t>，</w:t>
      </w:r>
      <w:r>
        <w:t>核定奖补资金</w:t>
      </w:r>
      <w:r>
        <w:rPr>
          <w:rFonts w:hint="eastAsia"/>
          <w:lang w:eastAsia="zh-CN"/>
        </w:rPr>
        <w:t>，</w:t>
      </w:r>
      <w:r>
        <w:rPr>
          <w:rFonts w:hint="eastAsia"/>
          <w:lang w:val="en-US" w:eastAsia="zh-CN"/>
        </w:rPr>
        <w:t>最高</w:t>
      </w:r>
      <w:r>
        <w:rPr>
          <w:rFonts w:hint="eastAsia"/>
        </w:rPr>
        <w:t>支持</w:t>
      </w:r>
      <w:r>
        <w:rPr>
          <w:rFonts w:hint="eastAsia"/>
          <w:lang w:val="en-US" w:eastAsia="zh-CN"/>
        </w:rPr>
        <w:t>25</w:t>
      </w:r>
      <w:r>
        <w:rPr>
          <w:rFonts w:hint="eastAsia"/>
        </w:rPr>
        <w:t>0万元</w:t>
      </w:r>
      <w:r>
        <w:t>。</w:t>
      </w:r>
    </w:p>
    <w:p w14:paraId="29FB9F58">
      <w:pPr>
        <w:ind w:firstLine="616"/>
      </w:pPr>
      <w:r>
        <w:rPr>
          <w:rFonts w:hint="eastAsia"/>
        </w:rPr>
        <w:t>（六）其他列支范围</w:t>
      </w:r>
    </w:p>
    <w:p w14:paraId="5784D505">
      <w:pPr>
        <w:ind w:firstLine="616"/>
      </w:pPr>
      <w:r>
        <w:rPr>
          <w:rFonts w:hint="eastAsia"/>
        </w:rPr>
        <w:t>根据顺义区数字化转型试点工作实际，支持其他与数字化转型试点城市相关的工作。</w:t>
      </w:r>
    </w:p>
    <w:p w14:paraId="1B6E675C">
      <w:pPr>
        <w:keepNext w:val="0"/>
        <w:keepLines w:val="0"/>
        <w:widowControl/>
        <w:numPr>
          <w:ilvl w:val="0"/>
          <w:numId w:val="0"/>
        </w:numPr>
        <w:suppressLineNumbers w:val="0"/>
        <w:ind w:firstLine="619" w:firstLineChars="200"/>
        <w:jc w:val="left"/>
        <w:rPr>
          <w:b/>
          <w:highlight w:val="none"/>
        </w:rPr>
      </w:pPr>
      <w:r>
        <w:rPr>
          <w:rFonts w:hint="eastAsia"/>
          <w:b/>
          <w:bCs/>
          <w:highlight w:val="none"/>
          <w:lang w:val="en-US" w:eastAsia="zh-CN"/>
        </w:rPr>
        <w:t>第九条</w:t>
      </w:r>
      <w:r>
        <w:rPr>
          <w:rFonts w:hint="eastAsia"/>
          <w:highlight w:val="none"/>
          <w:lang w:val="en-US" w:eastAsia="zh-CN"/>
        </w:rPr>
        <w:t xml:space="preserve"> </w:t>
      </w:r>
      <w:r>
        <w:rPr>
          <w:rFonts w:hint="eastAsia"/>
          <w:bCs/>
          <w:highlight w:val="none"/>
        </w:rPr>
        <w:t>同一项目、同一事项同时符合本政策多项条款或顺义区其他扶持政策的，按照“从优不重复”原则予以支持。</w:t>
      </w:r>
    </w:p>
    <w:p w14:paraId="449557A3">
      <w:pPr>
        <w:pStyle w:val="5"/>
        <w:ind w:left="0" w:leftChars="0" w:firstLine="0" w:firstLineChars="0"/>
        <w:jc w:val="center"/>
      </w:pPr>
      <w:r>
        <w:rPr>
          <w:rFonts w:hint="eastAsia"/>
        </w:rPr>
        <w:t>第</w:t>
      </w:r>
      <w:r>
        <w:rPr>
          <w:rFonts w:hint="eastAsia"/>
          <w:lang w:val="en-US" w:eastAsia="zh-CN"/>
        </w:rPr>
        <w:t>四</w:t>
      </w:r>
      <w:r>
        <w:rPr>
          <w:rFonts w:hint="eastAsia"/>
        </w:rPr>
        <w:t>章 资金</w:t>
      </w:r>
      <w:r>
        <w:rPr>
          <w:rFonts w:hint="eastAsia"/>
          <w:lang w:val="en-US" w:eastAsia="zh-CN"/>
        </w:rPr>
        <w:t>申报</w:t>
      </w:r>
      <w:r>
        <w:rPr>
          <w:rFonts w:hint="eastAsia"/>
        </w:rPr>
        <w:t>及审核</w:t>
      </w:r>
    </w:p>
    <w:p w14:paraId="3BD62DD1">
      <w:r>
        <w:rPr>
          <w:rFonts w:hint="eastAsia"/>
          <w:b/>
        </w:rPr>
        <w:t xml:space="preserve">第十条 </w:t>
      </w:r>
      <w:r>
        <w:rPr>
          <w:rFonts w:hint="eastAsia"/>
        </w:rPr>
        <w:t>政府购买服务项目，区经信局按照政府采购流程和规定</w:t>
      </w:r>
      <w:r>
        <w:rPr>
          <w:rFonts w:hint="eastAsia"/>
          <w:lang w:val="en-US" w:eastAsia="zh-CN"/>
        </w:rPr>
        <w:t>执行</w:t>
      </w:r>
      <w:r>
        <w:rPr>
          <w:rFonts w:hint="eastAsia"/>
        </w:rPr>
        <w:t>。</w:t>
      </w:r>
    </w:p>
    <w:p w14:paraId="0B6D0B02">
      <w:r>
        <w:rPr>
          <w:rFonts w:hint="eastAsia"/>
          <w:b/>
          <w:lang w:val="zh-CN"/>
        </w:rPr>
        <w:t>第</w:t>
      </w:r>
      <w:r>
        <w:rPr>
          <w:rFonts w:hint="eastAsia"/>
          <w:b/>
        </w:rPr>
        <w:t>十</w:t>
      </w:r>
      <w:r>
        <w:rPr>
          <w:rFonts w:hint="eastAsia"/>
          <w:b/>
          <w:lang w:val="en-US" w:eastAsia="zh-CN"/>
        </w:rPr>
        <w:t>一</w:t>
      </w:r>
      <w:r>
        <w:rPr>
          <w:rFonts w:hint="eastAsia"/>
          <w:b/>
          <w:lang w:val="zh-CN"/>
        </w:rPr>
        <w:t xml:space="preserve">条 </w:t>
      </w:r>
      <w:r>
        <w:rPr>
          <w:rFonts w:hint="eastAsia"/>
        </w:rPr>
        <w:t>补助、奖励项目，区经信局会同区财政局按本办法规定</w:t>
      </w:r>
      <w:r>
        <w:rPr>
          <w:rFonts w:hint="eastAsia"/>
          <w:lang w:val="zh-CN"/>
        </w:rPr>
        <w:t>制订发布征集通知</w:t>
      </w:r>
      <w:r>
        <w:rPr>
          <w:rFonts w:hint="eastAsia"/>
        </w:rPr>
        <w:t>及实施指南</w:t>
      </w:r>
      <w:r>
        <w:rPr>
          <w:rFonts w:hint="eastAsia"/>
          <w:lang w:val="zh-CN"/>
        </w:rPr>
        <w:t>，</w:t>
      </w:r>
      <w:r>
        <w:rPr>
          <w:rFonts w:hint="eastAsia"/>
        </w:rPr>
        <w:t>明确具体支持方向、申报条件及申报流程等内容。</w:t>
      </w:r>
    </w:p>
    <w:p w14:paraId="047219AF">
      <w:pPr>
        <w:rPr>
          <w:rFonts w:hint="eastAsia"/>
          <w:lang w:val="zh-CN"/>
        </w:rPr>
      </w:pPr>
      <w:r>
        <w:rPr>
          <w:rFonts w:hint="eastAsia"/>
          <w:b/>
          <w:bCs/>
          <w:lang w:val="zh-CN"/>
        </w:rPr>
        <w:t>第十</w:t>
      </w:r>
      <w:r>
        <w:rPr>
          <w:rFonts w:hint="eastAsia"/>
          <w:b/>
          <w:bCs/>
          <w:lang w:val="en-US" w:eastAsia="zh-CN"/>
        </w:rPr>
        <w:t>二</w:t>
      </w:r>
      <w:r>
        <w:rPr>
          <w:rFonts w:hint="eastAsia"/>
          <w:b/>
          <w:bCs/>
          <w:lang w:val="zh-CN"/>
        </w:rPr>
        <w:t>条</w:t>
      </w:r>
      <w:r>
        <w:rPr>
          <w:rFonts w:hint="eastAsia"/>
          <w:lang w:val="zh-CN"/>
        </w:rPr>
        <w:t xml:space="preserve"> 区经信局</w:t>
      </w:r>
      <w:r>
        <w:rPr>
          <w:rFonts w:hint="eastAsia"/>
          <w:lang w:val="en-US" w:eastAsia="zh-CN"/>
        </w:rPr>
        <w:t>发布申报通知，</w:t>
      </w:r>
      <w:r>
        <w:rPr>
          <w:rFonts w:hint="eastAsia"/>
          <w:lang w:val="zh-CN"/>
        </w:rPr>
        <w:t>申请单位按通知要求提交相关申报材料。</w:t>
      </w:r>
    </w:p>
    <w:p w14:paraId="7A83E5AC">
      <w:pPr>
        <w:rPr>
          <w:rFonts w:hint="eastAsia"/>
          <w:lang w:val="zh-CN"/>
        </w:rPr>
      </w:pPr>
      <w:r>
        <w:rPr>
          <w:rFonts w:hint="eastAsia"/>
          <w:b/>
          <w:bCs/>
          <w:lang w:val="zh-CN"/>
        </w:rPr>
        <w:t>第十</w:t>
      </w:r>
      <w:r>
        <w:rPr>
          <w:rFonts w:hint="eastAsia"/>
          <w:b/>
          <w:bCs/>
          <w:lang w:val="en-US" w:eastAsia="zh-CN"/>
        </w:rPr>
        <w:t>三</w:t>
      </w:r>
      <w:r>
        <w:rPr>
          <w:rFonts w:hint="eastAsia"/>
          <w:b/>
          <w:bCs/>
          <w:lang w:val="zh-CN"/>
        </w:rPr>
        <w:t>条</w:t>
      </w:r>
      <w:r>
        <w:rPr>
          <w:rFonts w:hint="eastAsia"/>
          <w:lang w:val="en-US" w:eastAsia="zh-CN"/>
        </w:rPr>
        <w:t xml:space="preserve"> </w:t>
      </w:r>
      <w:r>
        <w:rPr>
          <w:rFonts w:hint="eastAsia"/>
          <w:lang w:val="zh-CN"/>
        </w:rPr>
        <w:t>区经信局委托第三方机构对补助、奖励项目进行综合评审，通过评审的项目报顺义区政府审议并进行公示，接受社会监督。</w:t>
      </w:r>
    </w:p>
    <w:p w14:paraId="35D837BB">
      <w:pPr>
        <w:rPr>
          <w:rFonts w:hint="default"/>
          <w:lang w:val="en-US" w:eastAsia="zh-CN"/>
        </w:rPr>
      </w:pPr>
      <w:r>
        <w:rPr>
          <w:rFonts w:hint="eastAsia"/>
          <w:b/>
          <w:bCs/>
          <w:lang w:val="en-US" w:eastAsia="zh-CN"/>
        </w:rPr>
        <w:t>第十四条</w:t>
      </w:r>
      <w:r>
        <w:rPr>
          <w:rFonts w:hint="eastAsia"/>
          <w:lang w:val="en-US" w:eastAsia="zh-CN"/>
        </w:rPr>
        <w:t xml:space="preserve"> </w:t>
      </w:r>
      <w:r>
        <w:rPr>
          <w:rFonts w:hint="eastAsia"/>
          <w:lang w:val="zh-CN"/>
        </w:rPr>
        <w:t>公示无异议的，</w:t>
      </w:r>
      <w:r>
        <w:rPr>
          <w:rFonts w:hint="eastAsia"/>
          <w:lang w:val="en-US" w:eastAsia="zh-CN"/>
        </w:rPr>
        <w:t>区经信局</w:t>
      </w:r>
      <w:r>
        <w:rPr>
          <w:rFonts w:hint="eastAsia"/>
          <w:lang w:val="zh-CN"/>
        </w:rPr>
        <w:t>发布公告，拨付资金。</w:t>
      </w:r>
    </w:p>
    <w:p w14:paraId="2BD629D0">
      <w:pPr>
        <w:pStyle w:val="5"/>
        <w:ind w:left="0" w:leftChars="0" w:firstLine="0" w:firstLineChars="0"/>
        <w:jc w:val="center"/>
      </w:pPr>
      <w:r>
        <w:rPr>
          <w:rFonts w:hint="eastAsia"/>
        </w:rPr>
        <w:t>第</w:t>
      </w:r>
      <w:r>
        <w:rPr>
          <w:rFonts w:hint="eastAsia"/>
          <w:lang w:val="en-US" w:eastAsia="zh-CN"/>
        </w:rPr>
        <w:t>五</w:t>
      </w:r>
      <w:r>
        <w:rPr>
          <w:rFonts w:hint="eastAsia"/>
        </w:rPr>
        <w:t>章 监督检查与绩效管理</w:t>
      </w:r>
    </w:p>
    <w:p w14:paraId="35D77A66">
      <w:pPr>
        <w:rPr>
          <w:lang w:val="zh-CN"/>
        </w:rPr>
      </w:pPr>
      <w:r>
        <w:rPr>
          <w:rFonts w:hint="eastAsia"/>
          <w:b/>
          <w:lang w:val="zh-CN"/>
        </w:rPr>
        <w:t>第</w:t>
      </w:r>
      <w:r>
        <w:rPr>
          <w:rFonts w:hint="eastAsia"/>
          <w:b/>
        </w:rPr>
        <w:t>十</w:t>
      </w:r>
      <w:r>
        <w:rPr>
          <w:rFonts w:hint="eastAsia"/>
          <w:b/>
          <w:lang w:val="en-US" w:eastAsia="zh-CN"/>
        </w:rPr>
        <w:t>五</w:t>
      </w:r>
      <w:r>
        <w:rPr>
          <w:rFonts w:hint="eastAsia"/>
          <w:b/>
          <w:lang w:val="zh-CN"/>
        </w:rPr>
        <w:t xml:space="preserve">条 </w:t>
      </w:r>
      <w:r>
        <w:rPr>
          <w:rFonts w:hint="eastAsia"/>
        </w:rPr>
        <w:t>区经信局</w:t>
      </w:r>
      <w:r>
        <w:rPr>
          <w:rFonts w:hint="eastAsia"/>
          <w:lang w:val="zh-CN"/>
        </w:rPr>
        <w:t>制定绩效目标、加强专项资金绩效管理，按照财政部、工业和信息化部要求组织开展绩效</w:t>
      </w:r>
      <w:r>
        <w:rPr>
          <w:rFonts w:hint="eastAsia"/>
        </w:rPr>
        <w:t>自评</w:t>
      </w:r>
      <w:r>
        <w:rPr>
          <w:rFonts w:hint="eastAsia"/>
          <w:lang w:val="zh-CN"/>
        </w:rPr>
        <w:t>工作。</w:t>
      </w:r>
    </w:p>
    <w:p w14:paraId="1136E4F6">
      <w:pPr>
        <w:rPr>
          <w:lang w:val="zh-CN"/>
        </w:rPr>
      </w:pPr>
      <w:r>
        <w:rPr>
          <w:rFonts w:hint="eastAsia"/>
          <w:b/>
        </w:rPr>
        <w:t>第十</w:t>
      </w:r>
      <w:r>
        <w:rPr>
          <w:rFonts w:hint="eastAsia"/>
          <w:b/>
          <w:lang w:val="en-US" w:eastAsia="zh-CN"/>
        </w:rPr>
        <w:t>六</w:t>
      </w:r>
      <w:r>
        <w:rPr>
          <w:rFonts w:hint="eastAsia"/>
          <w:b/>
        </w:rPr>
        <w:t>条</w:t>
      </w:r>
      <w:r>
        <w:rPr>
          <w:rFonts w:hint="eastAsia"/>
        </w:rPr>
        <w:t xml:space="preserve"> </w:t>
      </w:r>
      <w:r>
        <w:rPr>
          <w:rFonts w:hint="eastAsia"/>
          <w:lang w:val="zh-CN"/>
        </w:rPr>
        <w:t>获得</w:t>
      </w:r>
      <w:r>
        <w:rPr>
          <w:rFonts w:hint="eastAsia"/>
        </w:rPr>
        <w:t>资金</w:t>
      </w:r>
      <w:r>
        <w:rPr>
          <w:rFonts w:hint="eastAsia"/>
          <w:lang w:val="zh-CN"/>
        </w:rPr>
        <w:t>支持的</w:t>
      </w:r>
      <w:r>
        <w:rPr>
          <w:rFonts w:hint="eastAsia"/>
        </w:rPr>
        <w:t>企业应严格按照专项资金使用方向使用资金，积极配合相关部门开展专项资金绩效评价、监督检查和审计等工作。</w:t>
      </w:r>
    </w:p>
    <w:p w14:paraId="5C729F85">
      <w:pPr>
        <w:rPr>
          <w:lang w:val="zh-CN"/>
        </w:rPr>
      </w:pPr>
      <w:r>
        <w:rPr>
          <w:rFonts w:hint="eastAsia"/>
          <w:b/>
        </w:rPr>
        <w:t>第十</w:t>
      </w:r>
      <w:r>
        <w:rPr>
          <w:rFonts w:hint="eastAsia"/>
          <w:b/>
          <w:lang w:val="en-US" w:eastAsia="zh-CN"/>
        </w:rPr>
        <w:t>七</w:t>
      </w:r>
      <w:r>
        <w:rPr>
          <w:rFonts w:hint="eastAsia"/>
          <w:b/>
        </w:rPr>
        <w:t>条</w:t>
      </w:r>
      <w:r>
        <w:rPr>
          <w:rFonts w:hint="eastAsia"/>
        </w:rPr>
        <w:t xml:space="preserve"> </w:t>
      </w:r>
      <w:r>
        <w:rPr>
          <w:rFonts w:hint="eastAsia"/>
          <w:lang w:val="zh-CN"/>
        </w:rPr>
        <w:t>获得</w:t>
      </w:r>
      <w:r>
        <w:rPr>
          <w:rFonts w:hint="eastAsia"/>
        </w:rPr>
        <w:t>资金</w:t>
      </w:r>
      <w:r>
        <w:rPr>
          <w:rFonts w:hint="eastAsia"/>
          <w:lang w:val="zh-CN"/>
        </w:rPr>
        <w:t>支持的</w:t>
      </w:r>
      <w:r>
        <w:rPr>
          <w:rFonts w:hint="eastAsia"/>
        </w:rPr>
        <w:t>企业应遵循诚实信用原则，</w:t>
      </w:r>
      <w:r>
        <w:rPr>
          <w:rFonts w:hint="eastAsia"/>
          <w:lang w:val="zh-CN"/>
        </w:rPr>
        <w:t>对于提供虚假材料、骗取</w:t>
      </w:r>
      <w:r>
        <w:rPr>
          <w:rFonts w:hint="eastAsia"/>
        </w:rPr>
        <w:t>专项</w:t>
      </w:r>
      <w:r>
        <w:rPr>
          <w:rFonts w:hint="eastAsia"/>
          <w:lang w:val="zh-CN"/>
        </w:rPr>
        <w:t>资金、</w:t>
      </w:r>
      <w:r>
        <w:rPr>
          <w:rFonts w:hint="eastAsia"/>
        </w:rPr>
        <w:t>不配合监督检查、绩效评价等工作的，收回支持资金，情节严重的，追究相关企业和人员法律责任。</w:t>
      </w:r>
    </w:p>
    <w:p w14:paraId="4B0D4CF3">
      <w:pPr>
        <w:pStyle w:val="5"/>
        <w:ind w:left="0" w:leftChars="0" w:firstLine="0" w:firstLineChars="0"/>
        <w:jc w:val="center"/>
        <w:rPr>
          <w:rFonts w:hint="eastAsia"/>
        </w:rPr>
      </w:pPr>
      <w:r>
        <w:rPr>
          <w:rFonts w:hint="eastAsia"/>
        </w:rPr>
        <w:t>第</w:t>
      </w:r>
      <w:r>
        <w:rPr>
          <w:rFonts w:hint="eastAsia"/>
          <w:lang w:val="en-US" w:eastAsia="zh-CN"/>
        </w:rPr>
        <w:t>六</w:t>
      </w:r>
      <w:r>
        <w:rPr>
          <w:rFonts w:hint="eastAsia"/>
        </w:rPr>
        <w:t>章 附则</w:t>
      </w:r>
    </w:p>
    <w:p w14:paraId="07FAB5FC">
      <w:pPr>
        <w:rPr>
          <w:lang w:val="zh-CN"/>
        </w:rPr>
      </w:pPr>
      <w:r>
        <w:rPr>
          <w:rFonts w:hint="eastAsia"/>
          <w:b/>
          <w:lang w:val="zh-CN"/>
        </w:rPr>
        <w:t>第</w:t>
      </w:r>
      <w:r>
        <w:rPr>
          <w:rFonts w:hint="eastAsia"/>
          <w:b/>
          <w:lang w:val="en-US" w:eastAsia="zh-CN"/>
        </w:rPr>
        <w:t>十八</w:t>
      </w:r>
      <w:r>
        <w:rPr>
          <w:rFonts w:hint="eastAsia"/>
          <w:b/>
          <w:lang w:val="zh-CN"/>
        </w:rPr>
        <w:t xml:space="preserve">条 </w:t>
      </w:r>
      <w:r>
        <w:rPr>
          <w:rFonts w:hint="eastAsia"/>
          <w:lang w:val="zh-CN"/>
        </w:rPr>
        <w:t>本办法由区经信局负责解释。</w:t>
      </w:r>
    </w:p>
    <w:p w14:paraId="690E39D6">
      <w:pPr>
        <w:rPr>
          <w:lang w:val="zh-CN"/>
        </w:rPr>
      </w:pPr>
      <w:r>
        <w:rPr>
          <w:rFonts w:hint="eastAsia"/>
          <w:b/>
          <w:lang w:val="zh-CN"/>
        </w:rPr>
        <w:t>第</w:t>
      </w:r>
      <w:r>
        <w:rPr>
          <w:rFonts w:hint="eastAsia"/>
          <w:b/>
          <w:lang w:val="en-US" w:eastAsia="zh-CN"/>
        </w:rPr>
        <w:t>十九</w:t>
      </w:r>
      <w:r>
        <w:rPr>
          <w:rFonts w:hint="eastAsia"/>
          <w:b/>
          <w:lang w:val="zh-CN"/>
        </w:rPr>
        <w:t xml:space="preserve">条 </w:t>
      </w:r>
      <w:r>
        <w:rPr>
          <w:rFonts w:hint="eastAsia"/>
          <w:lang w:val="zh-CN"/>
        </w:rPr>
        <w:t>本办法自印发之日起</w:t>
      </w:r>
      <w:r>
        <w:rPr>
          <w:rFonts w:hint="eastAsia"/>
        </w:rPr>
        <w:t>实施</w:t>
      </w:r>
      <w:r>
        <w:rPr>
          <w:rFonts w:hint="eastAsia"/>
          <w:lang w:val="zh-CN"/>
        </w:rPr>
        <w:t>，</w:t>
      </w:r>
      <w:r>
        <w:rPr>
          <w:rFonts w:hint="eastAsia"/>
        </w:rPr>
        <w:t>有效期三年。</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16"/>
      </w:pPr>
      <w:r>
        <w:separator/>
      </w:r>
    </w:p>
  </w:endnote>
  <w:endnote w:type="continuationSeparator" w:id="1">
    <w:p>
      <w:pPr>
        <w:ind w:firstLine="6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1" w:fontKey="{D800F7B3-0F07-4594-B9F3-91991FF0A733}"/>
  </w:font>
  <w:font w:name="方正小标宋简体">
    <w:panose1 w:val="02000000000000000000"/>
    <w:charset w:val="86"/>
    <w:family w:val="script"/>
    <w:pitch w:val="default"/>
    <w:sig w:usb0="00000001" w:usb1="08000000" w:usb2="00000000" w:usb3="00000000" w:csb0="00040000" w:csb1="00000000"/>
    <w:embedRegular r:id="rId2" w:fontKey="{92809AB4-9198-4AE7-9ED3-79C8483E84A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E9D55">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C0F351">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9C0F351">
                    <w:pPr>
                      <w:pStyle w:val="10"/>
                      <w:ind w:firstLine="36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405B">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2E584">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16"/>
      </w:pPr>
      <w:r>
        <w:separator/>
      </w:r>
    </w:p>
  </w:footnote>
  <w:footnote w:type="continuationSeparator" w:id="1">
    <w:p>
      <w:pPr>
        <w:ind w:firstLine="61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FCAC9">
    <w:pPr>
      <w:ind w:firstLine="6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64BD9">
    <w:pPr>
      <w:pStyle w:val="11"/>
      <w:ind w:firstLine="3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1181">
    <w:pPr>
      <w:pStyle w:val="11"/>
      <w:ind w:firstLine="33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MDIxY2Q4ZWFmNTExM2YzN2NjMDc3Y2U0ZjJhZWUifQ=="/>
  </w:docVars>
  <w:rsids>
    <w:rsidRoot w:val="5C272C01"/>
    <w:rsid w:val="00032569"/>
    <w:rsid w:val="00075366"/>
    <w:rsid w:val="000A3A19"/>
    <w:rsid w:val="000C402E"/>
    <w:rsid w:val="00103422"/>
    <w:rsid w:val="0014737C"/>
    <w:rsid w:val="001F65FC"/>
    <w:rsid w:val="0020540C"/>
    <w:rsid w:val="002A537B"/>
    <w:rsid w:val="002D1113"/>
    <w:rsid w:val="00327713"/>
    <w:rsid w:val="00364A35"/>
    <w:rsid w:val="00370954"/>
    <w:rsid w:val="003822F4"/>
    <w:rsid w:val="003B05B8"/>
    <w:rsid w:val="003B2FD9"/>
    <w:rsid w:val="003E34DD"/>
    <w:rsid w:val="0043286B"/>
    <w:rsid w:val="0046269A"/>
    <w:rsid w:val="004E4010"/>
    <w:rsid w:val="005869B6"/>
    <w:rsid w:val="005D1C8C"/>
    <w:rsid w:val="006849DC"/>
    <w:rsid w:val="006A0775"/>
    <w:rsid w:val="006E4A98"/>
    <w:rsid w:val="00730B18"/>
    <w:rsid w:val="0079007D"/>
    <w:rsid w:val="007B72D6"/>
    <w:rsid w:val="007C1F53"/>
    <w:rsid w:val="007E5EFF"/>
    <w:rsid w:val="00832DF6"/>
    <w:rsid w:val="008B685D"/>
    <w:rsid w:val="008F1CC7"/>
    <w:rsid w:val="00904329"/>
    <w:rsid w:val="009410B5"/>
    <w:rsid w:val="00A929AB"/>
    <w:rsid w:val="00B45427"/>
    <w:rsid w:val="00B8665A"/>
    <w:rsid w:val="00B93969"/>
    <w:rsid w:val="00BA067F"/>
    <w:rsid w:val="00BC175B"/>
    <w:rsid w:val="00C2738F"/>
    <w:rsid w:val="00C446B2"/>
    <w:rsid w:val="00CB06C9"/>
    <w:rsid w:val="00D06711"/>
    <w:rsid w:val="00D43781"/>
    <w:rsid w:val="00D63F6C"/>
    <w:rsid w:val="00D74B42"/>
    <w:rsid w:val="00DF4639"/>
    <w:rsid w:val="00E43C30"/>
    <w:rsid w:val="00E56884"/>
    <w:rsid w:val="00E665C3"/>
    <w:rsid w:val="00E76E2F"/>
    <w:rsid w:val="00EE50D8"/>
    <w:rsid w:val="00F14E3D"/>
    <w:rsid w:val="00F1769E"/>
    <w:rsid w:val="00F64084"/>
    <w:rsid w:val="00FB30BB"/>
    <w:rsid w:val="00FC539F"/>
    <w:rsid w:val="03EB366D"/>
    <w:rsid w:val="058D549B"/>
    <w:rsid w:val="06F7205C"/>
    <w:rsid w:val="08EB3BB1"/>
    <w:rsid w:val="0E804089"/>
    <w:rsid w:val="129B2A88"/>
    <w:rsid w:val="12CE02C4"/>
    <w:rsid w:val="12D96B4B"/>
    <w:rsid w:val="153E7358"/>
    <w:rsid w:val="16F52C80"/>
    <w:rsid w:val="17C629B9"/>
    <w:rsid w:val="1DD272F8"/>
    <w:rsid w:val="1E69375F"/>
    <w:rsid w:val="1F8F2C2A"/>
    <w:rsid w:val="220815D0"/>
    <w:rsid w:val="23957A8C"/>
    <w:rsid w:val="25121530"/>
    <w:rsid w:val="28C520EC"/>
    <w:rsid w:val="28E20B3D"/>
    <w:rsid w:val="29412DBE"/>
    <w:rsid w:val="2DDD797F"/>
    <w:rsid w:val="2F221F56"/>
    <w:rsid w:val="2FF77F3F"/>
    <w:rsid w:val="302C4505"/>
    <w:rsid w:val="306C3FD5"/>
    <w:rsid w:val="32D22AC2"/>
    <w:rsid w:val="34131905"/>
    <w:rsid w:val="352B5B37"/>
    <w:rsid w:val="35FD7ED7"/>
    <w:rsid w:val="36C87050"/>
    <w:rsid w:val="386D1C23"/>
    <w:rsid w:val="394D2102"/>
    <w:rsid w:val="3A026B3F"/>
    <w:rsid w:val="3A65610E"/>
    <w:rsid w:val="3D4045F1"/>
    <w:rsid w:val="3D7B26B5"/>
    <w:rsid w:val="3E8431F8"/>
    <w:rsid w:val="41D105DB"/>
    <w:rsid w:val="424439FF"/>
    <w:rsid w:val="435C7492"/>
    <w:rsid w:val="489264AA"/>
    <w:rsid w:val="509D669B"/>
    <w:rsid w:val="50B04C2E"/>
    <w:rsid w:val="51544F12"/>
    <w:rsid w:val="55067A2C"/>
    <w:rsid w:val="550E6C31"/>
    <w:rsid w:val="57862A8B"/>
    <w:rsid w:val="59D2617D"/>
    <w:rsid w:val="5C272C01"/>
    <w:rsid w:val="5D793BEB"/>
    <w:rsid w:val="5EC6388D"/>
    <w:rsid w:val="606467B1"/>
    <w:rsid w:val="60CA2E61"/>
    <w:rsid w:val="61AF2F50"/>
    <w:rsid w:val="63F25FB0"/>
    <w:rsid w:val="6A6E08AB"/>
    <w:rsid w:val="6E4F2B87"/>
    <w:rsid w:val="72D8690B"/>
    <w:rsid w:val="744C050E"/>
    <w:rsid w:val="74FB112D"/>
    <w:rsid w:val="75152B0C"/>
    <w:rsid w:val="765C4F5A"/>
    <w:rsid w:val="79661EE1"/>
    <w:rsid w:val="7E106730"/>
    <w:rsid w:val="7F831C10"/>
    <w:rsid w:val="7FA10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ind w:firstLine="618" w:firstLineChars="200"/>
      <w:jc w:val="both"/>
    </w:pPr>
    <w:rPr>
      <w:rFonts w:ascii="Times New Roman" w:hAnsi="Times New Roman" w:eastAsia="仿宋_GB2312" w:cs="Times New Roman"/>
      <w:spacing w:val="-6"/>
      <w:kern w:val="2"/>
      <w:sz w:val="32"/>
      <w:szCs w:val="32"/>
      <w:lang w:val="en-US" w:eastAsia="zh-CN" w:bidi="he-IL"/>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link w:val="20"/>
    <w:unhideWhenUsed/>
    <w:qFormat/>
    <w:uiPriority w:val="0"/>
    <w:pPr>
      <w:keepNext/>
      <w:keepLines/>
      <w:spacing w:line="413" w:lineRule="auto"/>
      <w:jc w:val="center"/>
      <w:outlineLvl w:val="1"/>
    </w:pPr>
    <w:rPr>
      <w:rFonts w:ascii="Arial" w:hAnsi="Arial" w:eastAsia="黑体"/>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1"/>
    <w:unhideWhenUsed/>
    <w:qFormat/>
    <w:uiPriority w:val="99"/>
    <w:pPr>
      <w:ind w:firstLine="420" w:firstLineChars="100"/>
    </w:pPr>
  </w:style>
  <w:style w:type="paragraph" w:styleId="6">
    <w:name w:val="Normal Indent"/>
    <w:basedOn w:val="1"/>
    <w:next w:val="1"/>
    <w:qFormat/>
    <w:uiPriority w:val="99"/>
    <w:pPr>
      <w:ind w:firstLine="420"/>
    </w:pPr>
    <w:rPr>
      <w:rFonts w:eastAsia="仿宋"/>
    </w:rPr>
  </w:style>
  <w:style w:type="paragraph" w:styleId="7">
    <w:name w:val="annotation text"/>
    <w:basedOn w:val="1"/>
    <w:link w:val="26"/>
    <w:qFormat/>
    <w:uiPriority w:val="0"/>
  </w:style>
  <w:style w:type="paragraph" w:styleId="8">
    <w:name w:val="Body Text Indent"/>
    <w:basedOn w:val="1"/>
    <w:autoRedefine/>
    <w:qFormat/>
    <w:uiPriority w:val="0"/>
    <w:pPr>
      <w:ind w:firstLine="540" w:firstLineChars="180"/>
    </w:pPr>
    <w:rPr>
      <w:rFonts w:ascii="仿宋_GB2312"/>
      <w:sz w:val="30"/>
    </w:rPr>
  </w:style>
  <w:style w:type="paragraph" w:styleId="9">
    <w:name w:val="Balloon Text"/>
    <w:basedOn w:val="1"/>
    <w:link w:val="24"/>
    <w:qFormat/>
    <w:uiPriority w:val="0"/>
    <w:rPr>
      <w:sz w:val="18"/>
      <w:szCs w:val="18"/>
    </w:rPr>
  </w:style>
  <w:style w:type="paragraph" w:styleId="10">
    <w:name w:val="footer"/>
    <w:basedOn w:val="1"/>
    <w:autoRedefine/>
    <w:unhideWhenUsed/>
    <w:qFormat/>
    <w:uiPriority w:val="99"/>
    <w:pPr>
      <w:tabs>
        <w:tab w:val="center" w:pos="4153"/>
        <w:tab w:val="right" w:pos="8306"/>
      </w:tabs>
      <w:snapToGrid w:val="0"/>
    </w:pPr>
    <w:rPr>
      <w:rFonts w:ascii="Calibri" w:hAnsi="Calibri" w:eastAsia="宋体"/>
      <w:spacing w:val="0"/>
      <w:sz w:val="18"/>
      <w:szCs w:val="18"/>
      <w:lang w:bidi="ar-SA"/>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pPr>
    <w:rPr>
      <w:rFonts w:ascii="宋体" w:eastAsia="宋体" w:cs="宋体"/>
      <w:kern w:val="0"/>
      <w:sz w:val="24"/>
      <w:szCs w:val="24"/>
      <w:lang w:bidi="ar-SA"/>
    </w:rPr>
  </w:style>
  <w:style w:type="paragraph" w:styleId="13">
    <w:name w:val="annotation subject"/>
    <w:basedOn w:val="7"/>
    <w:next w:val="7"/>
    <w:link w:val="27"/>
    <w:qFormat/>
    <w:uiPriority w:val="0"/>
    <w:rPr>
      <w:b/>
      <w:bCs/>
    </w:rPr>
  </w:style>
  <w:style w:type="paragraph" w:styleId="14">
    <w:name w:val="Body Text First Indent 2"/>
    <w:basedOn w:val="8"/>
    <w:next w:val="1"/>
    <w:qFormat/>
    <w:uiPriority w:val="0"/>
    <w:pPr>
      <w:spacing w:after="120"/>
      <w:ind w:left="420" w:leftChars="200" w:firstLine="420" w:firstLineChars="200"/>
    </w:pPr>
    <w:rPr>
      <w:rFonts w:ascii="Times New Roman" w:eastAsia="宋体"/>
      <w:sz w:val="21"/>
      <w:szCs w:val="21"/>
    </w:rPr>
  </w:style>
  <w:style w:type="character" w:styleId="17">
    <w:name w:val="Strong"/>
    <w:autoRedefine/>
    <w:qFormat/>
    <w:uiPriority w:val="0"/>
    <w:rPr>
      <w:b/>
    </w:rPr>
  </w:style>
  <w:style w:type="character" w:styleId="18">
    <w:name w:val="Hyperlink"/>
    <w:autoRedefine/>
    <w:qFormat/>
    <w:uiPriority w:val="0"/>
    <w:rPr>
      <w:color w:val="0000FF"/>
      <w:u w:val="single"/>
    </w:rPr>
  </w:style>
  <w:style w:type="character" w:styleId="19">
    <w:name w:val="annotation reference"/>
    <w:basedOn w:val="16"/>
    <w:qFormat/>
    <w:uiPriority w:val="0"/>
    <w:rPr>
      <w:sz w:val="21"/>
      <w:szCs w:val="21"/>
    </w:rPr>
  </w:style>
  <w:style w:type="character" w:customStyle="1" w:styleId="20">
    <w:name w:val="标题 2 Char"/>
    <w:link w:val="5"/>
    <w:qFormat/>
    <w:uiPriority w:val="0"/>
    <w:rPr>
      <w:rFonts w:ascii="Arial" w:hAnsi="Arial" w:eastAsia="黑体"/>
      <w:sz w:val="32"/>
    </w:rPr>
  </w:style>
  <w:style w:type="paragraph" w:customStyle="1" w:styleId="21">
    <w:name w:val="表格"/>
    <w:basedOn w:val="1"/>
    <w:autoRedefine/>
    <w:qFormat/>
    <w:uiPriority w:val="0"/>
    <w:pPr>
      <w:adjustRightInd w:val="0"/>
      <w:snapToGrid w:val="0"/>
    </w:pPr>
    <w:rPr>
      <w:rFonts w:ascii="宋体" w:hAnsi="宋体" w:eastAsia="宋体" w:cs="宋体"/>
      <w:sz w:val="24"/>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页眉 Char"/>
    <w:basedOn w:val="16"/>
    <w:link w:val="11"/>
    <w:qFormat/>
    <w:uiPriority w:val="0"/>
    <w:rPr>
      <w:rFonts w:eastAsia="仿宋_GB2312"/>
      <w:spacing w:val="-6"/>
      <w:kern w:val="2"/>
      <w:sz w:val="18"/>
      <w:szCs w:val="18"/>
      <w:lang w:bidi="he-IL"/>
    </w:rPr>
  </w:style>
  <w:style w:type="character" w:customStyle="1" w:styleId="24">
    <w:name w:val="批注框文本 Char"/>
    <w:basedOn w:val="16"/>
    <w:link w:val="9"/>
    <w:qFormat/>
    <w:uiPriority w:val="0"/>
    <w:rPr>
      <w:rFonts w:eastAsia="仿宋_GB2312"/>
      <w:spacing w:val="-6"/>
      <w:kern w:val="2"/>
      <w:sz w:val="18"/>
      <w:szCs w:val="18"/>
      <w:lang w:bidi="he-IL"/>
    </w:rPr>
  </w:style>
  <w:style w:type="paragraph" w:customStyle="1" w:styleId="25">
    <w:name w:val="修订1"/>
    <w:hidden/>
    <w:unhideWhenUsed/>
    <w:qFormat/>
    <w:uiPriority w:val="99"/>
    <w:rPr>
      <w:rFonts w:ascii="Times New Roman" w:hAnsi="Times New Roman" w:eastAsia="仿宋_GB2312" w:cs="Times New Roman"/>
      <w:spacing w:val="-6"/>
      <w:kern w:val="2"/>
      <w:sz w:val="32"/>
      <w:szCs w:val="32"/>
      <w:lang w:val="en-US" w:eastAsia="zh-CN" w:bidi="he-IL"/>
    </w:rPr>
  </w:style>
  <w:style w:type="character" w:customStyle="1" w:styleId="26">
    <w:name w:val="批注文字 Char"/>
    <w:basedOn w:val="16"/>
    <w:link w:val="7"/>
    <w:qFormat/>
    <w:uiPriority w:val="0"/>
    <w:rPr>
      <w:rFonts w:eastAsia="仿宋_GB2312"/>
      <w:spacing w:val="-6"/>
      <w:kern w:val="2"/>
      <w:sz w:val="32"/>
      <w:szCs w:val="32"/>
      <w:lang w:bidi="he-IL"/>
    </w:rPr>
  </w:style>
  <w:style w:type="character" w:customStyle="1" w:styleId="27">
    <w:name w:val="批注主题 Char"/>
    <w:basedOn w:val="26"/>
    <w:link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3363</Words>
  <Characters>3428</Characters>
  <Lines>28</Lines>
  <Paragraphs>7</Paragraphs>
  <TotalTime>5</TotalTime>
  <ScaleCrop>false</ScaleCrop>
  <LinksUpToDate>false</LinksUpToDate>
  <CharactersWithSpaces>3446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2024-06-28T17:03:00Z</dcterms:created>
  <dc:creator>鲁品超</dc:creator>
  <cp:lastModifiedBy>鲁品超</cp:lastModifiedBy>
  <dcterms:modified xsi:type="dcterms:W3CDTF">2024-11-13T10:11:50Z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1F44EF7A8AA14C168FB875DCDDB5A0CE_13</vt:lpwstr>
  </property>
</Properties>
</file>