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BF19A">
      <w:pPr>
        <w:spacing w:line="580" w:lineRule="exact"/>
        <w:ind w:firstLine="640"/>
        <w:rPr>
          <w:rFonts w:ascii="黑体" w:hAnsi="黑体" w:eastAsia="黑体" w:cs="Times New Roman"/>
          <w:bCs/>
          <w:color w:val="000000" w:themeColor="text1"/>
          <w:sz w:val="36"/>
          <w:szCs w:val="36"/>
          <w14:textFill>
            <w14:solidFill>
              <w14:schemeClr w14:val="tx1"/>
            </w14:solidFill>
          </w14:textFill>
        </w:rPr>
      </w:pPr>
      <w:bookmarkStart w:id="0" w:name="_Toc32616"/>
      <w:bookmarkStart w:id="1" w:name="_Toc7227"/>
      <w:bookmarkStart w:id="2" w:name="_Toc27751"/>
      <w:bookmarkStart w:id="3" w:name="_Toc18729"/>
      <w:bookmarkStart w:id="4" w:name="_Toc21914"/>
      <w:bookmarkStart w:id="5" w:name="_Toc21510"/>
    </w:p>
    <w:p w14:paraId="24FC88C7">
      <w:pPr>
        <w:spacing w:line="580" w:lineRule="exact"/>
        <w:ind w:firstLine="640"/>
        <w:rPr>
          <w:rFonts w:hAnsi="Times New Roman" w:eastAsia="方正仿宋_GBK" w:cs="Times New Roman"/>
          <w:b/>
          <w:bCs/>
          <w:color w:val="000000" w:themeColor="text1"/>
          <w14:textFill>
            <w14:solidFill>
              <w14:schemeClr w14:val="tx1"/>
            </w14:solidFill>
          </w14:textFill>
        </w:rPr>
      </w:pPr>
    </w:p>
    <w:p w14:paraId="4D4F339C">
      <w:pPr>
        <w:spacing w:line="580" w:lineRule="exact"/>
        <w:ind w:firstLine="640"/>
        <w:rPr>
          <w:rFonts w:hAnsi="Times New Roman" w:eastAsia="方正仿宋_GBK" w:cs="Times New Roman"/>
          <w:b/>
          <w:bCs/>
          <w:color w:val="000000" w:themeColor="text1"/>
          <w14:textFill>
            <w14:solidFill>
              <w14:schemeClr w14:val="tx1"/>
            </w14:solidFill>
          </w14:textFill>
        </w:rPr>
      </w:pPr>
    </w:p>
    <w:p w14:paraId="57FCC8AA">
      <w:pPr>
        <w:spacing w:line="580" w:lineRule="exact"/>
        <w:rPr>
          <w:rFonts w:ascii="黑体" w:hAnsi="黑体" w:eastAsia="黑体" w:cs="Times New Roman"/>
          <w:bCs/>
          <w:color w:val="000000" w:themeColor="text1"/>
          <w:sz w:val="44"/>
          <w:szCs w:val="44"/>
          <w14:textFill>
            <w14:solidFill>
              <w14:schemeClr w14:val="tx1"/>
            </w14:solidFill>
          </w14:textFill>
        </w:rPr>
      </w:pPr>
      <w:bookmarkStart w:id="6" w:name="_Toc166662340"/>
      <w:bookmarkStart w:id="7" w:name="_Toc13601"/>
      <w:r>
        <w:rPr>
          <w:rFonts w:ascii="黑体" w:hAnsi="黑体" w:eastAsia="黑体" w:cs="Times New Roman"/>
          <w:bCs/>
          <w:color w:val="000000" w:themeColor="text1"/>
          <w:sz w:val="44"/>
          <w:szCs w:val="44"/>
          <w14:textFill>
            <w14:solidFill>
              <w14:schemeClr w14:val="tx1"/>
            </w14:solidFill>
          </w14:textFill>
        </w:rPr>
        <w:t>北京市</w:t>
      </w:r>
      <w:bookmarkEnd w:id="0"/>
      <w:bookmarkEnd w:id="1"/>
      <w:bookmarkEnd w:id="2"/>
      <w:bookmarkEnd w:id="3"/>
      <w:bookmarkEnd w:id="4"/>
      <w:bookmarkEnd w:id="5"/>
      <w:bookmarkEnd w:id="6"/>
      <w:bookmarkEnd w:id="7"/>
      <w:r>
        <w:rPr>
          <w:rFonts w:hint="eastAsia" w:ascii="黑体" w:hAnsi="黑体" w:eastAsia="黑体" w:cs="Times New Roman"/>
          <w:bCs/>
          <w:color w:val="000000" w:themeColor="text1"/>
          <w:sz w:val="44"/>
          <w:szCs w:val="44"/>
          <w14:textFill>
            <w14:solidFill>
              <w14:schemeClr w14:val="tx1"/>
            </w14:solidFill>
          </w14:textFill>
        </w:rPr>
        <w:t>朝阳区噪声敏感建筑物集中区域</w:t>
      </w:r>
    </w:p>
    <w:p w14:paraId="209AA269">
      <w:pPr>
        <w:spacing w:line="580" w:lineRule="exact"/>
        <w:jc w:val="center"/>
        <w:rPr>
          <w:rFonts w:ascii="黑体" w:hAnsi="黑体" w:eastAsia="黑体" w:cs="Times New Roman"/>
          <w:bCs/>
          <w:color w:val="000000" w:themeColor="text1"/>
          <w:sz w:val="44"/>
          <w:szCs w:val="44"/>
          <w14:textFill>
            <w14:solidFill>
              <w14:schemeClr w14:val="tx1"/>
            </w14:solidFill>
          </w14:textFill>
        </w:rPr>
      </w:pPr>
      <w:r>
        <w:rPr>
          <w:rFonts w:hint="eastAsia" w:ascii="黑体" w:hAnsi="黑体" w:eastAsia="黑体" w:cs="Times New Roman"/>
          <w:bCs/>
          <w:color w:val="000000" w:themeColor="text1"/>
          <w:sz w:val="44"/>
          <w:szCs w:val="44"/>
          <w14:textFill>
            <w14:solidFill>
              <w14:schemeClr w14:val="tx1"/>
            </w14:solidFill>
          </w14:textFill>
        </w:rPr>
        <w:t>划定方案（试行）</w:t>
      </w:r>
    </w:p>
    <w:p w14:paraId="0EE5FDF8">
      <w:pPr>
        <w:spacing w:line="580" w:lineRule="exact"/>
        <w:rPr>
          <w:rFonts w:ascii="黑体" w:hAnsi="黑体" w:eastAsia="黑体" w:cs="Times New Roman"/>
          <w:bCs/>
          <w:color w:val="000000" w:themeColor="text1"/>
          <w:sz w:val="44"/>
          <w:szCs w:val="44"/>
          <w14:textFill>
            <w14:solidFill>
              <w14:schemeClr w14:val="tx1"/>
            </w14:solidFill>
          </w14:textFill>
        </w:rPr>
      </w:pPr>
    </w:p>
    <w:p w14:paraId="483D6972">
      <w:pPr>
        <w:spacing w:line="580" w:lineRule="exact"/>
        <w:jc w:val="center"/>
        <w:rPr>
          <w:rFonts w:ascii="黑体" w:hAnsi="黑体" w:eastAsia="黑体" w:cs="Times New Roman"/>
          <w:bCs/>
          <w:color w:val="000000" w:themeColor="text1"/>
          <w:sz w:val="44"/>
          <w:szCs w:val="44"/>
          <w14:textFill>
            <w14:solidFill>
              <w14:schemeClr w14:val="tx1"/>
            </w14:solidFill>
          </w14:textFill>
        </w:rPr>
      </w:pPr>
      <w:r>
        <w:rPr>
          <w:rFonts w:hint="eastAsia" w:ascii="黑体" w:hAnsi="黑体" w:eastAsia="黑体" w:cs="Times New Roman"/>
          <w:bCs/>
          <w:color w:val="000000" w:themeColor="text1"/>
          <w:sz w:val="44"/>
          <w:szCs w:val="44"/>
          <w14:textFill>
            <w14:solidFill>
              <w14:schemeClr w14:val="tx1"/>
            </w14:solidFill>
          </w14:textFill>
        </w:rPr>
        <w:t>（征求意见稿）</w:t>
      </w:r>
    </w:p>
    <w:p w14:paraId="0EEF4C17">
      <w:pPr>
        <w:spacing w:line="580" w:lineRule="exact"/>
        <w:ind w:firstLine="640"/>
        <w:rPr>
          <w:rFonts w:hAnsi="Times New Roman" w:eastAsia="方正仿宋_GBK" w:cs="Times New Roman"/>
          <w:b/>
          <w:bCs/>
          <w:color w:val="000000" w:themeColor="text1"/>
          <w14:textFill>
            <w14:solidFill>
              <w14:schemeClr w14:val="tx1"/>
            </w14:solidFill>
          </w14:textFill>
        </w:rPr>
      </w:pPr>
    </w:p>
    <w:p w14:paraId="384AFBAF">
      <w:pPr>
        <w:spacing w:line="580" w:lineRule="exact"/>
        <w:ind w:firstLine="640"/>
        <w:rPr>
          <w:rFonts w:hAnsi="Times New Roman" w:eastAsia="方正仿宋_GBK" w:cs="Times New Roman"/>
          <w:b/>
          <w:bCs/>
          <w:color w:val="000000" w:themeColor="text1"/>
          <w14:textFill>
            <w14:solidFill>
              <w14:schemeClr w14:val="tx1"/>
            </w14:solidFill>
          </w14:textFill>
        </w:rPr>
      </w:pPr>
    </w:p>
    <w:p w14:paraId="558AB049">
      <w:pPr>
        <w:spacing w:line="580" w:lineRule="exact"/>
        <w:ind w:firstLine="640"/>
        <w:rPr>
          <w:rFonts w:hAnsi="Times New Roman" w:eastAsia="方正仿宋_GBK" w:cs="Times New Roman"/>
          <w:b/>
          <w:bCs/>
          <w:color w:val="000000" w:themeColor="text1"/>
          <w14:textFill>
            <w14:solidFill>
              <w14:schemeClr w14:val="tx1"/>
            </w14:solidFill>
          </w14:textFill>
        </w:rPr>
      </w:pPr>
    </w:p>
    <w:p w14:paraId="28891186">
      <w:pPr>
        <w:spacing w:line="580" w:lineRule="exact"/>
        <w:ind w:firstLine="640"/>
        <w:rPr>
          <w:rFonts w:hAnsi="Times New Roman" w:eastAsia="方正仿宋_GBK" w:cs="Times New Roman"/>
          <w:b/>
          <w:bCs/>
          <w:color w:val="000000" w:themeColor="text1"/>
          <w14:textFill>
            <w14:solidFill>
              <w14:schemeClr w14:val="tx1"/>
            </w14:solidFill>
          </w14:textFill>
        </w:rPr>
      </w:pPr>
    </w:p>
    <w:p w14:paraId="7C8616A9">
      <w:pPr>
        <w:spacing w:line="580" w:lineRule="exact"/>
        <w:ind w:firstLine="640"/>
        <w:rPr>
          <w:rFonts w:hAnsi="Times New Roman" w:eastAsia="方正仿宋_GBK" w:cs="Times New Roman"/>
          <w:b/>
          <w:bCs/>
          <w:color w:val="000000" w:themeColor="text1"/>
          <w14:textFill>
            <w14:solidFill>
              <w14:schemeClr w14:val="tx1"/>
            </w14:solidFill>
          </w14:textFill>
        </w:rPr>
      </w:pPr>
    </w:p>
    <w:p w14:paraId="49C4940E">
      <w:pPr>
        <w:spacing w:line="580" w:lineRule="exact"/>
        <w:ind w:firstLine="640"/>
        <w:rPr>
          <w:rFonts w:hAnsi="Times New Roman" w:eastAsia="方正仿宋_GBK" w:cs="Times New Roman"/>
          <w:b/>
          <w:bCs/>
          <w:color w:val="000000" w:themeColor="text1"/>
          <w14:textFill>
            <w14:solidFill>
              <w14:schemeClr w14:val="tx1"/>
            </w14:solidFill>
          </w14:textFill>
        </w:rPr>
      </w:pPr>
    </w:p>
    <w:p w14:paraId="02E6382D">
      <w:pPr>
        <w:spacing w:line="580" w:lineRule="exact"/>
        <w:ind w:firstLine="640"/>
        <w:rPr>
          <w:rFonts w:hAnsi="Times New Roman" w:eastAsia="方正仿宋_GBK" w:cs="Times New Roman"/>
          <w:b/>
          <w:bCs/>
          <w:color w:val="000000" w:themeColor="text1"/>
          <w14:textFill>
            <w14:solidFill>
              <w14:schemeClr w14:val="tx1"/>
            </w14:solidFill>
          </w14:textFill>
        </w:rPr>
      </w:pPr>
    </w:p>
    <w:p w14:paraId="6A93A49F">
      <w:pPr>
        <w:spacing w:line="580" w:lineRule="exact"/>
        <w:ind w:firstLine="640"/>
        <w:rPr>
          <w:rFonts w:hAnsi="Times New Roman" w:eastAsia="方正仿宋_GBK" w:cs="Times New Roman"/>
          <w:b/>
          <w:bCs/>
          <w:color w:val="000000" w:themeColor="text1"/>
          <w14:textFill>
            <w14:solidFill>
              <w14:schemeClr w14:val="tx1"/>
            </w14:solidFill>
          </w14:textFill>
        </w:rPr>
      </w:pPr>
    </w:p>
    <w:p w14:paraId="6C95A9CA">
      <w:pPr>
        <w:spacing w:line="580" w:lineRule="exact"/>
        <w:ind w:firstLine="640"/>
        <w:rPr>
          <w:rFonts w:hAnsi="Times New Roman" w:eastAsia="方正仿宋_GBK" w:cs="Times New Roman"/>
          <w:b/>
          <w:bCs/>
          <w:color w:val="000000" w:themeColor="text1"/>
          <w14:textFill>
            <w14:solidFill>
              <w14:schemeClr w14:val="tx1"/>
            </w14:solidFill>
          </w14:textFill>
        </w:rPr>
      </w:pPr>
    </w:p>
    <w:p w14:paraId="6C1E230E">
      <w:pPr>
        <w:spacing w:line="580" w:lineRule="exact"/>
        <w:ind w:firstLine="640"/>
        <w:rPr>
          <w:rFonts w:hAnsi="Times New Roman" w:eastAsia="方正仿宋_GBK" w:cs="Times New Roman"/>
          <w:b/>
          <w:bCs/>
          <w:color w:val="000000" w:themeColor="text1"/>
          <w14:textFill>
            <w14:solidFill>
              <w14:schemeClr w14:val="tx1"/>
            </w14:solidFill>
          </w14:textFill>
        </w:rPr>
      </w:pPr>
    </w:p>
    <w:p w14:paraId="139E84CC">
      <w:pPr>
        <w:spacing w:line="580" w:lineRule="exact"/>
        <w:ind w:firstLine="640"/>
        <w:rPr>
          <w:rFonts w:hAnsi="Times New Roman" w:eastAsia="方正仿宋_GBK" w:cs="Times New Roman"/>
          <w:b/>
          <w:bCs/>
          <w:color w:val="000000" w:themeColor="text1"/>
          <w14:textFill>
            <w14:solidFill>
              <w14:schemeClr w14:val="tx1"/>
            </w14:solidFill>
          </w14:textFill>
        </w:rPr>
      </w:pPr>
    </w:p>
    <w:p w14:paraId="104F3CD8">
      <w:pPr>
        <w:spacing w:line="580" w:lineRule="exact"/>
        <w:ind w:firstLine="640"/>
        <w:rPr>
          <w:rFonts w:hAnsi="Times New Roman" w:eastAsia="方正仿宋_GBK" w:cs="Times New Roman"/>
          <w:b/>
          <w:bCs/>
          <w:color w:val="000000" w:themeColor="text1"/>
          <w14:textFill>
            <w14:solidFill>
              <w14:schemeClr w14:val="tx1"/>
            </w14:solidFill>
          </w14:textFill>
        </w:rPr>
      </w:pPr>
    </w:p>
    <w:p w14:paraId="39C11113">
      <w:pPr>
        <w:spacing w:line="580" w:lineRule="exact"/>
        <w:ind w:firstLine="640"/>
        <w:rPr>
          <w:rFonts w:hAnsi="Times New Roman" w:eastAsia="方正仿宋_GBK" w:cs="Times New Roman"/>
          <w:b/>
          <w:bCs/>
          <w:color w:val="000000" w:themeColor="text1"/>
          <w14:textFill>
            <w14:solidFill>
              <w14:schemeClr w14:val="tx1"/>
            </w14:solidFill>
          </w14:textFill>
        </w:rPr>
      </w:pPr>
    </w:p>
    <w:p w14:paraId="20FFB7B7">
      <w:pPr>
        <w:spacing w:line="580" w:lineRule="exact"/>
        <w:ind w:firstLine="640"/>
        <w:rPr>
          <w:rFonts w:hAnsi="Times New Roman" w:eastAsia="方正仿宋_GBK" w:cs="Times New Roman"/>
          <w:b/>
          <w:bCs/>
          <w:color w:val="000000" w:themeColor="text1"/>
          <w14:textFill>
            <w14:solidFill>
              <w14:schemeClr w14:val="tx1"/>
            </w14:solidFill>
          </w14:textFill>
        </w:rPr>
      </w:pPr>
    </w:p>
    <w:p w14:paraId="6E593F7D">
      <w:pPr>
        <w:spacing w:line="58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北京市朝阳区生态环境局</w:t>
      </w:r>
    </w:p>
    <w:p w14:paraId="09ABBA54">
      <w:pPr>
        <w:spacing w:line="58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2024年11月</w:t>
      </w:r>
    </w:p>
    <w:p w14:paraId="3C8F32E5">
      <w:pPr>
        <w:pStyle w:val="20"/>
      </w:pPr>
    </w:p>
    <w:p w14:paraId="492EC8D3">
      <w:pPr>
        <w:rPr>
          <w:color w:val="000000" w:themeColor="text1"/>
          <w14:textFill>
            <w14:solidFill>
              <w14:schemeClr w14:val="tx1"/>
            </w14:solidFill>
          </w14:textFill>
        </w:rPr>
        <w:sectPr>
          <w:pgSz w:w="11906" w:h="16838"/>
          <w:pgMar w:top="1440" w:right="1800" w:bottom="1440" w:left="1800" w:header="851" w:footer="992" w:gutter="0"/>
          <w:pgNumType w:start="3"/>
          <w:cols w:space="425" w:num="1"/>
          <w:docGrid w:type="lines" w:linePitch="312" w:charSpace="0"/>
        </w:sectPr>
      </w:pPr>
    </w:p>
    <w:p w14:paraId="030F734F">
      <w:pPr>
        <w:rPr>
          <w:color w:val="000000" w:themeColor="text1"/>
          <w14:textFill>
            <w14:solidFill>
              <w14:schemeClr w14:val="tx1"/>
            </w14:solidFill>
          </w14:textFill>
        </w:rPr>
      </w:pPr>
    </w:p>
    <w:sdt>
      <w:sdtPr>
        <w:rPr>
          <w:rFonts w:asciiTheme="minorHAnsi" w:hAnsiTheme="minorHAnsi" w:eastAsiaTheme="minorEastAsia" w:cstheme="minorBidi"/>
          <w:sz w:val="21"/>
          <w:szCs w:val="24"/>
          <w:lang w:val="zh-CN"/>
        </w:rPr>
        <w:id w:val="1888449083"/>
        <w:docPartObj>
          <w:docPartGallery w:val="Table of Contents"/>
          <w:docPartUnique/>
        </w:docPartObj>
      </w:sdtPr>
      <w:sdtEndPr>
        <w:rPr>
          <w:rFonts w:ascii="Times New Roman" w:hAnsi="Times New Roman" w:eastAsia="黑体" w:cs="Times New Roman"/>
          <w:b/>
          <w:bCs/>
          <w:color w:val="000000" w:themeColor="text1"/>
          <w:sz w:val="28"/>
          <w:szCs w:val="28"/>
          <w:lang w:val="zh-CN"/>
          <w14:textFill>
            <w14:solidFill>
              <w14:schemeClr w14:val="tx1"/>
            </w14:solidFill>
          </w14:textFill>
        </w:rPr>
      </w:sdtEndPr>
      <w:sdtContent>
        <w:p w14:paraId="5BF46B83">
          <w:pPr>
            <w:pStyle w:val="20"/>
            <w:rPr>
              <w:rStyle w:val="31"/>
              <w:bCs/>
              <w:color w:val="000000" w:themeColor="text1"/>
              <w:sz w:val="32"/>
              <w:szCs w:val="32"/>
              <w:u w:val="none"/>
              <w14:textFill>
                <w14:solidFill>
                  <w14:schemeClr w14:val="tx1"/>
                </w14:solidFill>
              </w14:textFill>
            </w:rPr>
          </w:pPr>
          <w:r>
            <w:rPr>
              <w:rStyle w:val="31"/>
              <w:bCs/>
              <w:color w:val="000000" w:themeColor="text1"/>
              <w:sz w:val="32"/>
              <w:szCs w:val="32"/>
              <w:u w:val="none"/>
              <w14:textFill>
                <w14:solidFill>
                  <w14:schemeClr w14:val="tx1"/>
                </w14:solidFill>
              </w14:textFill>
            </w:rPr>
            <w:t>目</w:t>
          </w:r>
          <w:r>
            <w:rPr>
              <w:rStyle w:val="31"/>
              <w:rFonts w:hint="eastAsia"/>
              <w:bCs/>
              <w:color w:val="000000" w:themeColor="text1"/>
              <w:sz w:val="32"/>
              <w:szCs w:val="32"/>
              <w:u w:val="none"/>
              <w14:textFill>
                <w14:solidFill>
                  <w14:schemeClr w14:val="tx1"/>
                </w14:solidFill>
              </w14:textFill>
            </w:rPr>
            <w:t xml:space="preserve"> </w:t>
          </w:r>
          <w:r>
            <w:rPr>
              <w:rStyle w:val="31"/>
              <w:bCs/>
              <w:color w:val="000000" w:themeColor="text1"/>
              <w:sz w:val="32"/>
              <w:szCs w:val="32"/>
              <w:u w:val="none"/>
              <w14:textFill>
                <w14:solidFill>
                  <w14:schemeClr w14:val="tx1"/>
                </w14:solidFill>
              </w14:textFill>
            </w:rPr>
            <w:t>录</w:t>
          </w:r>
        </w:p>
        <w:p w14:paraId="414590E2">
          <w:pPr>
            <w:pStyle w:val="20"/>
            <w:rPr>
              <w:rFonts w:asciiTheme="minorHAnsi" w:hAnsiTheme="minorHAnsi" w:eastAsiaTheme="minorEastAsia" w:cstheme="minorBidi"/>
              <w:sz w:val="21"/>
              <w:szCs w:val="22"/>
            </w:rPr>
          </w:pPr>
          <w:r>
            <w:rPr>
              <w:rStyle w:val="31"/>
              <w:rFonts w:cs="黑体"/>
              <w:kern w:val="0"/>
              <w:lang w:bidi="ar"/>
            </w:rPr>
            <w:fldChar w:fldCharType="begin"/>
          </w:r>
          <w:r>
            <w:rPr>
              <w:rStyle w:val="31"/>
              <w:rFonts w:cs="黑体"/>
              <w:kern w:val="0"/>
              <w:lang w:bidi="ar"/>
            </w:rPr>
            <w:instrText xml:space="preserve"> TOC \o "1-3" \h \z \u </w:instrText>
          </w:r>
          <w:r>
            <w:rPr>
              <w:rStyle w:val="31"/>
              <w:rFonts w:cs="黑体"/>
              <w:kern w:val="0"/>
              <w:lang w:bidi="ar"/>
            </w:rPr>
            <w:fldChar w:fldCharType="separate"/>
          </w:r>
          <w:r>
            <w:fldChar w:fldCharType="begin"/>
          </w:r>
          <w:r>
            <w:instrText xml:space="preserve"> HYPERLINK \l "_Toc183682141" </w:instrText>
          </w:r>
          <w:r>
            <w:fldChar w:fldCharType="separate"/>
          </w:r>
          <w:r>
            <w:rPr>
              <w:rStyle w:val="31"/>
              <w:rFonts w:cs="黑体"/>
              <w:kern w:val="0"/>
              <w:lang w:bidi="ar"/>
            </w:rPr>
            <w:t>一、前言</w:t>
          </w:r>
          <w:r>
            <w:tab/>
          </w:r>
          <w:r>
            <w:fldChar w:fldCharType="begin"/>
          </w:r>
          <w:r>
            <w:instrText xml:space="preserve"> PAGEREF _Toc183682141 \h </w:instrText>
          </w:r>
          <w:r>
            <w:fldChar w:fldCharType="separate"/>
          </w:r>
          <w:r>
            <w:t>1</w:t>
          </w:r>
          <w:r>
            <w:fldChar w:fldCharType="end"/>
          </w:r>
          <w:r>
            <w:fldChar w:fldCharType="end"/>
          </w:r>
        </w:p>
        <w:p w14:paraId="426BD429">
          <w:pPr>
            <w:pStyle w:val="20"/>
            <w:rPr>
              <w:rFonts w:asciiTheme="minorHAnsi" w:hAnsiTheme="minorHAnsi" w:eastAsiaTheme="minorEastAsia" w:cstheme="minorBidi"/>
              <w:sz w:val="21"/>
              <w:szCs w:val="22"/>
            </w:rPr>
          </w:pPr>
          <w:r>
            <w:fldChar w:fldCharType="begin"/>
          </w:r>
          <w:r>
            <w:instrText xml:space="preserve"> HYPERLINK \l "_Toc183682142" </w:instrText>
          </w:r>
          <w:r>
            <w:fldChar w:fldCharType="separate"/>
          </w:r>
          <w:r>
            <w:rPr>
              <w:rStyle w:val="31"/>
              <w:rFonts w:cs="黑体"/>
              <w:kern w:val="0"/>
              <w:lang w:bidi="ar"/>
            </w:rPr>
            <w:t>二、划定依据</w:t>
          </w:r>
          <w:r>
            <w:tab/>
          </w:r>
          <w:r>
            <w:fldChar w:fldCharType="begin"/>
          </w:r>
          <w:r>
            <w:instrText xml:space="preserve"> PAGEREF _Toc183682142 \h </w:instrText>
          </w:r>
          <w:r>
            <w:fldChar w:fldCharType="separate"/>
          </w:r>
          <w:r>
            <w:t>1</w:t>
          </w:r>
          <w:r>
            <w:fldChar w:fldCharType="end"/>
          </w:r>
          <w:r>
            <w:fldChar w:fldCharType="end"/>
          </w:r>
        </w:p>
        <w:p w14:paraId="3F297126">
          <w:pPr>
            <w:pStyle w:val="20"/>
            <w:rPr>
              <w:rFonts w:asciiTheme="minorHAnsi" w:hAnsiTheme="minorHAnsi" w:eastAsiaTheme="minorEastAsia" w:cstheme="minorBidi"/>
              <w:sz w:val="21"/>
              <w:szCs w:val="22"/>
            </w:rPr>
          </w:pPr>
          <w:r>
            <w:fldChar w:fldCharType="begin"/>
          </w:r>
          <w:r>
            <w:instrText xml:space="preserve"> HYPERLINK \l "_Toc183682143" </w:instrText>
          </w:r>
          <w:r>
            <w:fldChar w:fldCharType="separate"/>
          </w:r>
          <w:r>
            <w:rPr>
              <w:rStyle w:val="31"/>
              <w:rFonts w:cs="黑体"/>
              <w:kern w:val="0"/>
              <w:lang w:bidi="ar"/>
            </w:rPr>
            <w:t>三、术语和定义</w:t>
          </w:r>
          <w:r>
            <w:tab/>
          </w:r>
          <w:r>
            <w:fldChar w:fldCharType="begin"/>
          </w:r>
          <w:r>
            <w:instrText xml:space="preserve"> PAGEREF _Toc183682143 \h </w:instrText>
          </w:r>
          <w:r>
            <w:fldChar w:fldCharType="separate"/>
          </w:r>
          <w:r>
            <w:t>2</w:t>
          </w:r>
          <w:r>
            <w:fldChar w:fldCharType="end"/>
          </w:r>
          <w:r>
            <w:fldChar w:fldCharType="end"/>
          </w:r>
        </w:p>
        <w:p w14:paraId="267398B0">
          <w:pPr>
            <w:pStyle w:val="20"/>
            <w:rPr>
              <w:rFonts w:asciiTheme="minorHAnsi" w:hAnsiTheme="minorHAnsi" w:eastAsiaTheme="minorEastAsia" w:cstheme="minorBidi"/>
              <w:sz w:val="21"/>
              <w:szCs w:val="22"/>
            </w:rPr>
          </w:pPr>
          <w:r>
            <w:fldChar w:fldCharType="begin"/>
          </w:r>
          <w:r>
            <w:instrText xml:space="preserve"> HYPERLINK \l "_Toc183682144" </w:instrText>
          </w:r>
          <w:r>
            <w:fldChar w:fldCharType="separate"/>
          </w:r>
          <w:r>
            <w:rPr>
              <w:rStyle w:val="31"/>
              <w:rFonts w:cs="黑体"/>
              <w:kern w:val="0"/>
              <w:lang w:bidi="ar"/>
            </w:rPr>
            <w:t>四、划定原则</w:t>
          </w:r>
          <w:r>
            <w:tab/>
          </w:r>
          <w:r>
            <w:fldChar w:fldCharType="begin"/>
          </w:r>
          <w:r>
            <w:instrText xml:space="preserve"> PAGEREF _Toc183682144 \h </w:instrText>
          </w:r>
          <w:r>
            <w:fldChar w:fldCharType="separate"/>
          </w:r>
          <w:r>
            <w:t>3</w:t>
          </w:r>
          <w:r>
            <w:fldChar w:fldCharType="end"/>
          </w:r>
          <w:r>
            <w:fldChar w:fldCharType="end"/>
          </w:r>
        </w:p>
        <w:p w14:paraId="76F78F29">
          <w:pPr>
            <w:pStyle w:val="20"/>
            <w:rPr>
              <w:rFonts w:asciiTheme="minorHAnsi" w:hAnsiTheme="minorHAnsi" w:eastAsiaTheme="minorEastAsia" w:cstheme="minorBidi"/>
              <w:sz w:val="21"/>
              <w:szCs w:val="22"/>
            </w:rPr>
          </w:pPr>
          <w:r>
            <w:fldChar w:fldCharType="begin"/>
          </w:r>
          <w:r>
            <w:instrText xml:space="preserve"> HYPERLINK \l "_Toc183682145" </w:instrText>
          </w:r>
          <w:r>
            <w:fldChar w:fldCharType="separate"/>
          </w:r>
          <w:r>
            <w:rPr>
              <w:rStyle w:val="31"/>
              <w:rFonts w:cs="黑体"/>
              <w:kern w:val="0"/>
              <w:lang w:bidi="ar"/>
            </w:rPr>
            <w:t>五、划定方法</w:t>
          </w:r>
          <w:r>
            <w:tab/>
          </w:r>
          <w:r>
            <w:fldChar w:fldCharType="begin"/>
          </w:r>
          <w:r>
            <w:instrText xml:space="preserve"> PAGEREF _Toc183682145 \h </w:instrText>
          </w:r>
          <w:r>
            <w:fldChar w:fldCharType="separate"/>
          </w:r>
          <w:r>
            <w:t>3</w:t>
          </w:r>
          <w:r>
            <w:fldChar w:fldCharType="end"/>
          </w:r>
          <w:r>
            <w:fldChar w:fldCharType="end"/>
          </w:r>
        </w:p>
        <w:p w14:paraId="4DB92A06">
          <w:pPr>
            <w:pStyle w:val="20"/>
            <w:rPr>
              <w:rFonts w:asciiTheme="minorHAnsi" w:hAnsiTheme="minorHAnsi" w:eastAsiaTheme="minorEastAsia" w:cstheme="minorBidi"/>
              <w:sz w:val="21"/>
              <w:szCs w:val="22"/>
            </w:rPr>
          </w:pPr>
          <w:r>
            <w:fldChar w:fldCharType="begin"/>
          </w:r>
          <w:r>
            <w:instrText xml:space="preserve"> HYPERLINK \l "_Toc183682146" </w:instrText>
          </w:r>
          <w:r>
            <w:fldChar w:fldCharType="separate"/>
          </w:r>
          <w:r>
            <w:rPr>
              <w:rStyle w:val="31"/>
              <w:rFonts w:cs="黑体"/>
              <w:kern w:val="0"/>
              <w:lang w:bidi="ar"/>
            </w:rPr>
            <w:t>六、划定结果</w:t>
          </w:r>
          <w:r>
            <w:tab/>
          </w:r>
          <w:r>
            <w:fldChar w:fldCharType="begin"/>
          </w:r>
          <w:r>
            <w:instrText xml:space="preserve"> PAGEREF _Toc183682146 \h </w:instrText>
          </w:r>
          <w:r>
            <w:fldChar w:fldCharType="separate"/>
          </w:r>
          <w:r>
            <w:t>4</w:t>
          </w:r>
          <w:r>
            <w:fldChar w:fldCharType="end"/>
          </w:r>
          <w:r>
            <w:fldChar w:fldCharType="end"/>
          </w:r>
        </w:p>
        <w:p w14:paraId="73F32566">
          <w:pPr>
            <w:pStyle w:val="20"/>
            <w:rPr>
              <w:rFonts w:asciiTheme="minorHAnsi" w:hAnsiTheme="minorHAnsi" w:eastAsiaTheme="minorEastAsia" w:cstheme="minorBidi"/>
              <w:sz w:val="21"/>
              <w:szCs w:val="22"/>
            </w:rPr>
          </w:pPr>
          <w:r>
            <w:fldChar w:fldCharType="begin"/>
          </w:r>
          <w:r>
            <w:instrText xml:space="preserve"> HYPERLINK \l "_Toc183682147" </w:instrText>
          </w:r>
          <w:r>
            <w:fldChar w:fldCharType="separate"/>
          </w:r>
          <w:r>
            <w:rPr>
              <w:rStyle w:val="31"/>
              <w:rFonts w:cs="黑体"/>
              <w:kern w:val="0"/>
              <w:lang w:bidi="ar"/>
            </w:rPr>
            <w:t>七、管控措施</w:t>
          </w:r>
          <w:r>
            <w:tab/>
          </w:r>
          <w:r>
            <w:fldChar w:fldCharType="begin"/>
          </w:r>
          <w:r>
            <w:instrText xml:space="preserve"> PAGEREF _Toc183682147 \h </w:instrText>
          </w:r>
          <w:r>
            <w:fldChar w:fldCharType="separate"/>
          </w:r>
          <w:r>
            <w:t>4</w:t>
          </w:r>
          <w:r>
            <w:fldChar w:fldCharType="end"/>
          </w:r>
          <w:r>
            <w:fldChar w:fldCharType="end"/>
          </w:r>
        </w:p>
        <w:p w14:paraId="1CA80100">
          <w:pPr>
            <w:pStyle w:val="20"/>
            <w:rPr>
              <w:rFonts w:asciiTheme="minorHAnsi" w:hAnsiTheme="minorHAnsi" w:eastAsiaTheme="minorEastAsia" w:cstheme="minorBidi"/>
              <w:sz w:val="21"/>
              <w:szCs w:val="22"/>
            </w:rPr>
          </w:pPr>
          <w:r>
            <w:fldChar w:fldCharType="begin"/>
          </w:r>
          <w:r>
            <w:instrText xml:space="preserve"> HYPERLINK \l "_Toc183682148" </w:instrText>
          </w:r>
          <w:r>
            <w:fldChar w:fldCharType="separate"/>
          </w:r>
          <w:r>
            <w:rPr>
              <w:rStyle w:val="31"/>
              <w:rFonts w:cs="黑体"/>
              <w:kern w:val="0"/>
              <w:lang w:bidi="ar"/>
            </w:rPr>
            <w:t>八、实施要求</w:t>
          </w:r>
          <w:r>
            <w:tab/>
          </w:r>
          <w:r>
            <w:fldChar w:fldCharType="begin"/>
          </w:r>
          <w:r>
            <w:instrText xml:space="preserve"> PAGEREF _Toc183682148 \h </w:instrText>
          </w:r>
          <w:r>
            <w:fldChar w:fldCharType="separate"/>
          </w:r>
          <w:r>
            <w:t>4</w:t>
          </w:r>
          <w:r>
            <w:fldChar w:fldCharType="end"/>
          </w:r>
          <w:r>
            <w:fldChar w:fldCharType="end"/>
          </w:r>
        </w:p>
        <w:p w14:paraId="4810E806">
          <w:pPr>
            <w:pStyle w:val="20"/>
            <w:rPr>
              <w:rFonts w:asciiTheme="minorHAnsi" w:hAnsiTheme="minorHAnsi" w:eastAsiaTheme="minorEastAsia" w:cstheme="minorBidi"/>
              <w:sz w:val="21"/>
              <w:szCs w:val="22"/>
            </w:rPr>
          </w:pPr>
          <w:r>
            <w:fldChar w:fldCharType="begin"/>
          </w:r>
          <w:r>
            <w:instrText xml:space="preserve"> HYPERLINK \l "_Toc183682149" </w:instrText>
          </w:r>
          <w:r>
            <w:fldChar w:fldCharType="separate"/>
          </w:r>
          <w:r>
            <w:rPr>
              <w:rStyle w:val="31"/>
              <w:rFonts w:cs="黑体"/>
              <w:kern w:val="0"/>
              <w:lang w:bidi="ar"/>
            </w:rPr>
            <w:t>附件1：朝阳区噪声敏感建筑物集中区域划定总分布图</w:t>
          </w:r>
          <w:r>
            <w:tab/>
          </w:r>
          <w:r>
            <w:fldChar w:fldCharType="begin"/>
          </w:r>
          <w:r>
            <w:instrText xml:space="preserve"> PAGEREF _Toc183682149 \h </w:instrText>
          </w:r>
          <w:r>
            <w:fldChar w:fldCharType="separate"/>
          </w:r>
          <w:r>
            <w:t>6</w:t>
          </w:r>
          <w:r>
            <w:fldChar w:fldCharType="end"/>
          </w:r>
          <w:r>
            <w:fldChar w:fldCharType="end"/>
          </w:r>
        </w:p>
        <w:p w14:paraId="58188FB0">
          <w:pPr>
            <w:pStyle w:val="20"/>
            <w:rPr>
              <w:rFonts w:ascii="Times New Roman" w:hAnsi="Times New Roman" w:cs="Times New Roman"/>
              <w:color w:val="000000" w:themeColor="text1"/>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Style w:val="31"/>
              <w:rFonts w:cs="黑体"/>
              <w:kern w:val="0"/>
              <w:lang w:bidi="ar"/>
            </w:rPr>
            <w:fldChar w:fldCharType="end"/>
          </w:r>
        </w:p>
      </w:sdtContent>
    </w:sdt>
    <w:p w14:paraId="10A00093">
      <w:pPr>
        <w:widowControl/>
        <w:spacing w:line="560" w:lineRule="exact"/>
        <w:ind w:firstLine="640" w:firstLineChars="200"/>
        <w:outlineLvl w:val="0"/>
        <w:rPr>
          <w:rFonts w:hint="eastAsia" w:ascii="黑体" w:hAnsi="黑体" w:eastAsia="黑体" w:cs="黑体"/>
          <w:color w:val="000000" w:themeColor="text1"/>
          <w:kern w:val="0"/>
          <w:sz w:val="32"/>
          <w:szCs w:val="32"/>
          <w:lang w:bidi="ar"/>
          <w14:textFill>
            <w14:solidFill>
              <w14:schemeClr w14:val="tx1"/>
            </w14:solidFill>
          </w14:textFill>
        </w:rPr>
        <w:sectPr>
          <w:footerReference r:id="rId4" w:type="default"/>
          <w:type w:val="continuous"/>
          <w:pgSz w:w="11906" w:h="16838"/>
          <w:pgMar w:top="1440" w:right="1800" w:bottom="1440" w:left="1800" w:header="851" w:footer="992" w:gutter="0"/>
          <w:pgNumType w:start="0"/>
          <w:cols w:space="425" w:num="1"/>
          <w:docGrid w:type="lines" w:linePitch="312" w:charSpace="0"/>
        </w:sectPr>
      </w:pPr>
      <w:bookmarkStart w:id="8" w:name="_Toc183682141"/>
    </w:p>
    <w:p w14:paraId="15443340">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一、前言</w:t>
      </w:r>
      <w:bookmarkEnd w:id="8"/>
    </w:p>
    <w:p w14:paraId="427C5A16">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为深入贯彻习近平总书记</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还自然以宁静、和谐、美丽</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的重要指示精神，落实《中华人民共和国噪声污染防治法》《“十四五”噪声污染防治行动计划》《北京市</w:t>
      </w:r>
      <w:r>
        <w:rPr>
          <w:rFonts w:ascii="仿宋_GB2312" w:hAnsi="仿宋_GB2312" w:eastAsia="仿宋_GB2312" w:cs="仿宋_GB2312"/>
          <w:color w:val="000000" w:themeColor="text1"/>
          <w:kern w:val="0"/>
          <w:sz w:val="32"/>
          <w:szCs w:val="32"/>
          <w:lang w:bidi="ar"/>
          <w14:textFill>
            <w14:solidFill>
              <w14:schemeClr w14:val="tx1"/>
            </w14:solidFill>
          </w14:textFill>
        </w:rPr>
        <w:t>环境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噪声</w:t>
      </w:r>
      <w:r>
        <w:rPr>
          <w:rFonts w:ascii="仿宋_GB2312" w:hAnsi="仿宋_GB2312" w:eastAsia="仿宋_GB2312" w:cs="仿宋_GB2312"/>
          <w:color w:val="000000" w:themeColor="text1"/>
          <w:kern w:val="0"/>
          <w:sz w:val="32"/>
          <w:szCs w:val="32"/>
          <w:lang w:bidi="ar"/>
          <w14:textFill>
            <w14:solidFill>
              <w14:schemeClr w14:val="tx1"/>
            </w14:solidFill>
          </w14:textFill>
        </w:rPr>
        <w:t>污染</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防治</w:t>
      </w:r>
      <w:r>
        <w:rPr>
          <w:rFonts w:ascii="仿宋_GB2312" w:hAnsi="仿宋_GB2312" w:eastAsia="仿宋_GB2312" w:cs="仿宋_GB2312"/>
          <w:color w:val="000000" w:themeColor="text1"/>
          <w:kern w:val="0"/>
          <w:sz w:val="32"/>
          <w:szCs w:val="32"/>
          <w:lang w:bidi="ar"/>
          <w14:textFill>
            <w14:solidFill>
              <w14:schemeClr w14:val="tx1"/>
            </w14:solidFill>
          </w14:textFill>
        </w:rPr>
        <w:t>工作方案</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（20</w:t>
      </w:r>
      <w:r>
        <w:rPr>
          <w:rFonts w:ascii="仿宋_GB2312" w:hAnsi="仿宋_GB2312" w:eastAsia="仿宋_GB2312" w:cs="仿宋_GB2312"/>
          <w:color w:val="000000" w:themeColor="text1"/>
          <w:kern w:val="0"/>
          <w:sz w:val="32"/>
          <w:szCs w:val="32"/>
          <w:lang w:bidi="ar"/>
          <w14:textFill>
            <w14:solidFill>
              <w14:schemeClr w14:val="tx1"/>
            </w14:solidFill>
          </w14:textFill>
        </w:rPr>
        <w:t>21-2025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年）</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《北京市朝阳区噪声污染防治三年行动计划（2023-2025年）》《推进美丽朝阳建设 持续深入打好污染防治攻坚战2024年行动计划》，改善城市声环境质量，强化噪声敏感建筑物声环境保护，进一步保障居民生活、学习和工作等场所的安静，根据朝阳区噪声管理工作实际，制定本方案。</w:t>
      </w:r>
    </w:p>
    <w:p w14:paraId="0B35DB7E">
      <w:pPr>
        <w:widowControl/>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9" w:name="_Toc183682142"/>
      <w:r>
        <w:rPr>
          <w:rFonts w:hint="eastAsia" w:ascii="黑体" w:hAnsi="黑体" w:eastAsia="黑体" w:cs="黑体"/>
          <w:color w:val="000000" w:themeColor="text1"/>
          <w:kern w:val="0"/>
          <w:sz w:val="32"/>
          <w:szCs w:val="32"/>
          <w:lang w:bidi="ar"/>
          <w14:textFill>
            <w14:solidFill>
              <w14:schemeClr w14:val="tx1"/>
            </w14:solidFill>
          </w14:textFill>
        </w:rPr>
        <w:t>二、划定依据</w:t>
      </w:r>
      <w:bookmarkEnd w:id="9"/>
      <w:r>
        <w:rPr>
          <w:rFonts w:hint="eastAsia" w:ascii="黑体" w:hAnsi="黑体" w:eastAsia="黑体" w:cs="黑体"/>
          <w:color w:val="000000" w:themeColor="text1"/>
          <w:kern w:val="0"/>
          <w:sz w:val="32"/>
          <w:szCs w:val="32"/>
          <w:lang w:bidi="ar"/>
          <w14:textFill>
            <w14:solidFill>
              <w14:schemeClr w14:val="tx1"/>
            </w14:solidFill>
          </w14:textFill>
        </w:rPr>
        <w:t xml:space="preserve"> </w:t>
      </w:r>
    </w:p>
    <w:p w14:paraId="3CA1A109">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1.《中华人民共和国噪声污染防治法》；</w:t>
      </w:r>
    </w:p>
    <w:p w14:paraId="2C2DA47A">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2.《声环境质量标准》(GB 3096—2008)；</w:t>
      </w:r>
    </w:p>
    <w:p w14:paraId="0974C980">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3.《声环境功能区划分技术规范》(GB/T 15190—2014)；</w:t>
      </w:r>
    </w:p>
    <w:p w14:paraId="0CBB6EA8">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4.《城市用地分类与</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规划</w:t>
      </w:r>
      <w:bookmarkStart w:id="36" w:name="_GoBack"/>
      <w:bookmarkEnd w:id="36"/>
      <w:r>
        <w:rPr>
          <w:rFonts w:hint="eastAsia" w:ascii="仿宋_GB2312" w:hAnsi="仿宋_GB2312" w:eastAsia="仿宋_GB2312" w:cs="仿宋_GB2312"/>
          <w:color w:val="000000" w:themeColor="text1"/>
          <w:kern w:val="0"/>
          <w:sz w:val="32"/>
          <w:szCs w:val="32"/>
          <w:lang w:bidi="ar"/>
          <w14:textFill>
            <w14:solidFill>
              <w14:schemeClr w14:val="tx1"/>
            </w14:solidFill>
          </w14:textFill>
        </w:rPr>
        <w:t>建设用地标准》(GB 50137—2011)；</w:t>
      </w:r>
    </w:p>
    <w:p w14:paraId="45A8C982">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5.《关于印发〈“十四五”噪声污染防治行动计划&gt;的通知》（环大气〔2023〕1号）；</w:t>
      </w:r>
    </w:p>
    <w:p w14:paraId="1A1F60B9">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6.《关于开展第一批噪声污染防治试点（噪声敏感建筑物集中区域划定）工作的通知》（环办便函〔2023〕156号）；</w:t>
      </w:r>
    </w:p>
    <w:p w14:paraId="7DD720B8">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7.</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《北京市朝阳区噪声污染防治三年行动计划（2023-2025年）》（朝生态文明办〔2023〕</w:t>
      </w:r>
      <w:r>
        <w:rPr>
          <w:rFonts w:ascii="仿宋_GB2312" w:hAnsi="仿宋_GB2312" w:eastAsia="仿宋_GB2312" w:cs="仿宋_GB2312"/>
          <w:color w:val="000000" w:themeColor="text1"/>
          <w:kern w:val="0"/>
          <w:sz w:val="32"/>
          <w:szCs w:val="32"/>
          <w:lang w:bidi="ar"/>
          <w14:textFill>
            <w14:solidFill>
              <w14:schemeClr w14:val="tx1"/>
            </w14:solidFill>
          </w14:textFill>
        </w:rPr>
        <w:t>9</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号）；</w:t>
      </w:r>
    </w:p>
    <w:p w14:paraId="07ABE1D0">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8.</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《关于印发&lt;朝阳区噪声敏感建筑物集中区域划定工作方案&gt;的通知》（朝生态文明办〔2023〕8号）；</w:t>
      </w:r>
    </w:p>
    <w:p w14:paraId="5016C60A">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9.《推进美丽朝阳建设 持续深入打好污染防治攻坚战2024年行动计划》（朝政办发〔2024〕3号）；</w:t>
      </w:r>
    </w:p>
    <w:p w14:paraId="7E3DE769">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10" w:name="_Toc183682143"/>
      <w:r>
        <w:rPr>
          <w:rFonts w:hint="eastAsia" w:ascii="黑体" w:hAnsi="黑体" w:eastAsia="黑体" w:cs="黑体"/>
          <w:color w:val="000000" w:themeColor="text1"/>
          <w:kern w:val="0"/>
          <w:sz w:val="32"/>
          <w:szCs w:val="32"/>
          <w:lang w:bidi="ar"/>
          <w14:textFill>
            <w14:solidFill>
              <w14:schemeClr w14:val="tx1"/>
            </w14:solidFill>
          </w14:textFill>
        </w:rPr>
        <w:t>三、术语和定义</w:t>
      </w:r>
      <w:bookmarkEnd w:id="10"/>
    </w:p>
    <w:p w14:paraId="78D55B30">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1、噪声敏感建筑物</w:t>
      </w:r>
    </w:p>
    <w:p w14:paraId="43597734">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指用于居住、科学研究、医疗卫生、文化教育、机关团体办公、社会福利等需要保持安静的建筑物。</w:t>
      </w:r>
    </w:p>
    <w:p w14:paraId="7FE06601">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2、噪声敏感建筑物集中区域</w:t>
      </w:r>
    </w:p>
    <w:p w14:paraId="40E46BB7">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指以用于居住、科学研究、医疗卫生、文化教育、机关团体办公、社会福利等的建筑物为主的区域。</w:t>
      </w:r>
    </w:p>
    <w:p w14:paraId="3928D778">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3、交通线路</w:t>
      </w:r>
    </w:p>
    <w:p w14:paraId="57D2E405">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包括GB 3096中规定的铁路（铁路专用线除外）、高速公路、一级公路、二级公路、城市快速路、城市主干路、城市次干路、城市轨道交通线路（地面段）、内河航道等交通干线；三级公路、四级公路、城市支路和街弄里巷等非交通干线。</w:t>
      </w:r>
    </w:p>
    <w:p w14:paraId="30F5F573">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4、最小划定单元</w:t>
      </w:r>
    </w:p>
    <w:p w14:paraId="365DC3E3">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用于居住、科学研究、医疗卫生、文化教育、机关团体办公、社会福利等需要保持安静的建筑物所在用地边界内的区域，如一栋建筑物、一个居住小区、一处办公场所等。最小划定单元的边界应为有明显的标志物，如围墙、围栏或相邻交通线路、公园绿地、</w:t>
      </w:r>
      <w:r>
        <w:rPr>
          <w:rFonts w:ascii="仿宋_GB2312" w:hAnsi="仿宋_GB2312" w:eastAsia="仿宋_GB2312" w:cs="仿宋_GB2312"/>
          <w:color w:val="000000" w:themeColor="text1"/>
          <w:kern w:val="0"/>
          <w:sz w:val="32"/>
          <w:szCs w:val="32"/>
          <w:lang w:bidi="ar"/>
          <w14:textFill>
            <w14:solidFill>
              <w14:schemeClr w14:val="tx1"/>
            </w14:solidFill>
          </w14:textFill>
        </w:rPr>
        <w:t>河流湖泊、自然地形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等的边界。</w:t>
      </w:r>
    </w:p>
    <w:p w14:paraId="607B38DA">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5、交通线路边界</w:t>
      </w:r>
    </w:p>
    <w:p w14:paraId="333D5D13">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参照GB/T 15190相关要求，为各级市政道路与人行道的交界线，无人行道的高架道路地面投影边界，各级公路的边界线，铁路交通用地边界线，城市轨道交通用地边界线，内河航道的河堤护栏或堤外坡角。</w:t>
      </w:r>
    </w:p>
    <w:p w14:paraId="2744C4E8">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11" w:name="_Toc183682144"/>
      <w:r>
        <w:rPr>
          <w:rFonts w:hint="eastAsia" w:ascii="黑体" w:hAnsi="黑体" w:eastAsia="黑体" w:cs="黑体"/>
          <w:color w:val="000000" w:themeColor="text1"/>
          <w:kern w:val="0"/>
          <w:sz w:val="32"/>
          <w:szCs w:val="32"/>
          <w:lang w:bidi="ar"/>
          <w14:textFill>
            <w14:solidFill>
              <w14:schemeClr w14:val="tx1"/>
            </w14:solidFill>
          </w14:textFill>
        </w:rPr>
        <w:t>四、划定原则</w:t>
      </w:r>
      <w:bookmarkEnd w:id="11"/>
    </w:p>
    <w:p w14:paraId="44A184C6">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1、现状优先。</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以用地、建筑物分类和分布现状为优先依据，结合国土空间规划、声环境功能区划和年度国土变更调查成果等确定。</w:t>
      </w:r>
    </w:p>
    <w:p w14:paraId="06F740F1">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2、边界清晰。</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充分利用交通干线、公园绿地、河流湖泊、自然地形等划定噪声敏感建筑物集中区域边界。</w:t>
      </w:r>
    </w:p>
    <w:p w14:paraId="7235E09E">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3、便于管理。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噪声敏感建筑物集中区域划定应便于城市噪声污染防治管理。区域宜整体连片。</w:t>
      </w:r>
    </w:p>
    <w:p w14:paraId="425B87B0">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b/>
          <w:bCs/>
          <w:color w:val="000000" w:themeColor="text1"/>
          <w:kern w:val="0"/>
          <w:sz w:val="32"/>
          <w:szCs w:val="32"/>
          <w:lang w:bidi="ar"/>
          <w14:textFill>
            <w14:solidFill>
              <w14:schemeClr w14:val="tx1"/>
            </w14:solidFill>
          </w14:textFill>
        </w:rPr>
        <w:t>4</w:t>
      </w: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、适时调整。</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根据区域城建开发、建筑物实际使用功能调整等情况，适时进行调整噪声敏感建筑物集中区域。</w:t>
      </w:r>
    </w:p>
    <w:p w14:paraId="35B7E208">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12" w:name="_Toc183682145"/>
      <w:r>
        <w:rPr>
          <w:rFonts w:hint="eastAsia" w:ascii="黑体" w:hAnsi="黑体" w:eastAsia="黑体" w:cs="黑体"/>
          <w:color w:val="000000" w:themeColor="text1"/>
          <w:kern w:val="0"/>
          <w:sz w:val="32"/>
          <w:szCs w:val="32"/>
          <w:lang w:bidi="ar"/>
          <w14:textFill>
            <w14:solidFill>
              <w14:schemeClr w14:val="tx1"/>
            </w14:solidFill>
          </w14:textFill>
        </w:rPr>
        <w:t>五、划定方法</w:t>
      </w:r>
      <w:bookmarkEnd w:id="12"/>
    </w:p>
    <w:p w14:paraId="69024425">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3" w:name="_Toc180594915"/>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1、资料收集</w:t>
      </w:r>
      <w:bookmarkEnd w:id="13"/>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w:t>
      </w:r>
      <w:bookmarkStart w:id="14" w:name="_Toc180594916"/>
      <w:r>
        <w:rPr>
          <w:rFonts w:hint="eastAsia" w:ascii="仿宋_GB2312" w:hAnsi="仿宋_GB2312" w:eastAsia="仿宋_GB2312" w:cs="仿宋_GB2312"/>
          <w:color w:val="000000" w:themeColor="text1"/>
          <w:kern w:val="0"/>
          <w:sz w:val="32"/>
          <w:szCs w:val="32"/>
          <w:lang w:bidi="ar"/>
          <w14:textFill>
            <w14:solidFill>
              <w14:schemeClr w14:val="tx1"/>
            </w14:solidFill>
          </w14:textFill>
        </w:rPr>
        <w:t>收集用地分类现状、建筑物现状、国土变更调查成果和遥感影像、基础地理信息数据和朝阳区噪声污染防治管理要求、声环境质量现状、工作底图等资料。</w:t>
      </w:r>
      <w:bookmarkEnd w:id="14"/>
    </w:p>
    <w:p w14:paraId="350AE12F">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5" w:name="_Toc180594917"/>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2、现场踏勘</w:t>
      </w:r>
      <w:bookmarkEnd w:id="15"/>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w:t>
      </w:r>
      <w:bookmarkStart w:id="16" w:name="_Toc180594918"/>
      <w:r>
        <w:rPr>
          <w:rFonts w:hint="eastAsia" w:ascii="仿宋_GB2312" w:hAnsi="仿宋_GB2312" w:eastAsia="仿宋_GB2312" w:cs="仿宋_GB2312"/>
          <w:color w:val="000000" w:themeColor="text1"/>
          <w:kern w:val="0"/>
          <w:sz w:val="32"/>
          <w:szCs w:val="32"/>
          <w:lang w:bidi="ar"/>
          <w14:textFill>
            <w14:solidFill>
              <w14:schemeClr w14:val="tx1"/>
            </w14:solidFill>
          </w14:textFill>
        </w:rPr>
        <w:t>对区划范围内所有建筑物分类、分布现状等开展现场调研，重点调查建筑物实际使用功能、建成及在用情况、所在用地分类、名称、用地边界等信息。</w:t>
      </w:r>
      <w:bookmarkEnd w:id="16"/>
    </w:p>
    <w:p w14:paraId="289A9681">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7" w:name="_Toc180594921"/>
      <w:r>
        <w:rPr>
          <w:rFonts w:hint="eastAsia" w:ascii="仿宋_GB2312" w:hAnsi="仿宋_GB2312" w:eastAsia="仿宋_GB2312" w:cs="仿宋_GB2312"/>
          <w:b/>
          <w:color w:val="000000" w:themeColor="text1"/>
          <w:kern w:val="0"/>
          <w:sz w:val="32"/>
          <w:szCs w:val="32"/>
          <w:lang w:bidi="ar"/>
          <w14:textFill>
            <w14:solidFill>
              <w14:schemeClr w14:val="tx1"/>
            </w14:solidFill>
          </w14:textFill>
        </w:rPr>
        <w:t>3、确定最小划定单元</w:t>
      </w:r>
      <w:bookmarkEnd w:id="17"/>
      <w:r>
        <w:rPr>
          <w:rFonts w:hint="eastAsia" w:ascii="仿宋_GB2312" w:hAnsi="仿宋_GB2312" w:eastAsia="仿宋_GB2312" w:cs="仿宋_GB2312"/>
          <w:b/>
          <w:color w:val="000000" w:themeColor="text1"/>
          <w:kern w:val="0"/>
          <w:sz w:val="32"/>
          <w:szCs w:val="32"/>
          <w:lang w:bidi="ar"/>
          <w14:textFill>
            <w14:solidFill>
              <w14:schemeClr w14:val="tx1"/>
            </w14:solidFill>
          </w14:textFill>
        </w:rPr>
        <w:t>。</w:t>
      </w:r>
      <w:bookmarkStart w:id="18" w:name="_Toc180594922"/>
      <w:r>
        <w:rPr>
          <w:rFonts w:hint="eastAsia" w:ascii="仿宋_GB2312" w:hAnsi="仿宋_GB2312" w:eastAsia="仿宋_GB2312" w:cs="仿宋_GB2312"/>
          <w:color w:val="000000" w:themeColor="text1"/>
          <w:kern w:val="0"/>
          <w:sz w:val="32"/>
          <w:szCs w:val="32"/>
          <w:lang w:bidi="ar"/>
          <w14:textFill>
            <w14:solidFill>
              <w14:schemeClr w14:val="tx1"/>
            </w14:solidFill>
          </w14:textFill>
        </w:rPr>
        <w:t>以交通干线或非交通干线、河流、湖泊、沟壑等明显线状地物为边界，逐个判断并标识最小划定单元。</w:t>
      </w:r>
      <w:bookmarkEnd w:id="18"/>
    </w:p>
    <w:p w14:paraId="4CB22AEA">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9" w:name="_Toc180594924"/>
      <w:r>
        <w:rPr>
          <w:rFonts w:hint="eastAsia" w:ascii="仿宋_GB2312" w:hAnsi="仿宋_GB2312" w:eastAsia="仿宋_GB2312" w:cs="仿宋_GB2312"/>
          <w:b/>
          <w:color w:val="000000" w:themeColor="text1"/>
          <w:kern w:val="0"/>
          <w:sz w:val="32"/>
          <w:szCs w:val="32"/>
          <w:lang w:bidi="ar"/>
          <w14:textFill>
            <w14:solidFill>
              <w14:schemeClr w14:val="tx1"/>
            </w14:solidFill>
          </w14:textFill>
        </w:rPr>
        <w:t>4、划定噪声敏感建筑物集中区域</w:t>
      </w:r>
      <w:bookmarkEnd w:id="19"/>
      <w:r>
        <w:rPr>
          <w:rFonts w:hint="eastAsia" w:ascii="仿宋_GB2312" w:hAnsi="仿宋_GB2312" w:eastAsia="仿宋_GB2312" w:cs="仿宋_GB2312"/>
          <w:b/>
          <w:color w:val="000000" w:themeColor="text1"/>
          <w:kern w:val="0"/>
          <w:sz w:val="32"/>
          <w:szCs w:val="32"/>
          <w:lang w:bidi="ar"/>
          <w14:textFill>
            <w14:solidFill>
              <w14:schemeClr w14:val="tx1"/>
            </w14:solidFill>
          </w14:textFill>
        </w:rPr>
        <w:t>。</w:t>
      </w:r>
      <w:bookmarkStart w:id="20" w:name="_Toc180594925"/>
      <w:bookmarkStart w:id="21" w:name="_Hlk180157713"/>
      <w:r>
        <w:rPr>
          <w:rFonts w:hint="eastAsia" w:ascii="仿宋_GB2312" w:hAnsi="仿宋_GB2312" w:eastAsia="仿宋_GB2312" w:cs="仿宋_GB2312"/>
          <w:color w:val="000000" w:themeColor="text1"/>
          <w:kern w:val="0"/>
          <w:sz w:val="32"/>
          <w:szCs w:val="32"/>
          <w:lang w:bidi="ar"/>
          <w14:textFill>
            <w14:solidFill>
              <w14:schemeClr w14:val="tx1"/>
            </w14:solidFill>
          </w14:textFill>
        </w:rPr>
        <w:t>将相邻的多个最小划定单元连片，在连片过程中可将相邻最小划定单元之间或周边的非噪声敏感建筑物纳入，形成由多个最小划定单元和部分非噪声敏感建筑物组成的闭合区域。</w:t>
      </w:r>
      <w:bookmarkEnd w:id="20"/>
    </w:p>
    <w:bookmarkEnd w:id="21"/>
    <w:p w14:paraId="23AD3D74">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22" w:name="_Hlk180157735"/>
      <w:r>
        <w:rPr>
          <w:rFonts w:hint="eastAsia" w:ascii="仿宋_GB2312" w:hAnsi="仿宋_GB2312" w:eastAsia="仿宋_GB2312" w:cs="仿宋_GB2312"/>
          <w:b/>
          <w:color w:val="000000" w:themeColor="text1"/>
          <w:kern w:val="0"/>
          <w:sz w:val="32"/>
          <w:szCs w:val="32"/>
          <w:lang w:bidi="ar"/>
          <w14:textFill>
            <w14:solidFill>
              <w14:schemeClr w14:val="tx1"/>
            </w14:solidFill>
          </w14:textFill>
        </w:rPr>
        <w:t>划定规则</w:t>
      </w:r>
      <w:r>
        <w:rPr>
          <w:rFonts w:ascii="仿宋_GB2312" w:hAnsi="仿宋_GB2312" w:eastAsia="仿宋_GB2312" w:cs="仿宋_GB2312"/>
          <w:b/>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连片后的闭合区域内最小划定单元面积占比应不小于</w:t>
      </w:r>
      <w:r>
        <w:rPr>
          <w:rFonts w:ascii="仿宋_GB2312" w:hAnsi="仿宋_GB2312" w:eastAsia="仿宋_GB2312" w:cs="仿宋_GB2312"/>
          <w:color w:val="000000" w:themeColor="text1"/>
          <w:kern w:val="0"/>
          <w:sz w:val="32"/>
          <w:szCs w:val="32"/>
          <w:lang w:bidi="ar"/>
          <w14:textFill>
            <w14:solidFill>
              <w14:schemeClr w14:val="tx1"/>
            </w14:solidFill>
          </w14:textFill>
        </w:rPr>
        <w:t>70%</w:t>
      </w:r>
      <w:bookmarkEnd w:id="22"/>
      <w:bookmarkStart w:id="23" w:name="_Hlk180158097"/>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bookmarkEnd w:id="23"/>
      <w:bookmarkStart w:id="24" w:name="_Toc180594926"/>
      <w:r>
        <w:rPr>
          <w:rFonts w:hint="eastAsia" w:ascii="仿宋_GB2312" w:hAnsi="仿宋_GB2312" w:eastAsia="仿宋_GB2312" w:cs="仿宋_GB2312"/>
          <w:color w:val="000000" w:themeColor="text1"/>
          <w:kern w:val="0"/>
          <w:sz w:val="32"/>
          <w:szCs w:val="32"/>
          <w:lang w:bidi="ar"/>
          <w14:textFill>
            <w14:solidFill>
              <w14:schemeClr w14:val="tx1"/>
            </w14:solidFill>
          </w14:textFill>
        </w:rPr>
        <w:t>原则上噪声敏感建筑物集中区域面积应不低于</w:t>
      </w:r>
      <w:r>
        <w:rPr>
          <w:rFonts w:ascii="仿宋_GB2312" w:hAnsi="仿宋_GB2312" w:eastAsia="仿宋_GB2312" w:cs="仿宋_GB2312"/>
          <w:color w:val="000000" w:themeColor="text1"/>
          <w:kern w:val="0"/>
          <w:sz w:val="32"/>
          <w:szCs w:val="32"/>
          <w:lang w:bidi="ar"/>
          <w14:textFill>
            <w14:solidFill>
              <w14:schemeClr w14:val="tx1"/>
            </w14:solidFill>
          </w14:textFill>
        </w:rPr>
        <w:t>0.1</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平方公里</w:t>
      </w:r>
      <w:bookmarkEnd w:id="24"/>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bookmarkStart w:id="25" w:name="_Toc180594927"/>
      <w:r>
        <w:rPr>
          <w:rFonts w:hint="eastAsia" w:ascii="仿宋_GB2312" w:hAnsi="仿宋_GB2312" w:eastAsia="仿宋_GB2312" w:cs="仿宋_GB2312"/>
          <w:color w:val="000000" w:themeColor="text1"/>
          <w:kern w:val="0"/>
          <w:sz w:val="32"/>
          <w:szCs w:val="32"/>
          <w:lang w:bidi="ar"/>
          <w14:textFill>
            <w14:solidFill>
              <w14:schemeClr w14:val="tx1"/>
            </w14:solidFill>
          </w14:textFill>
        </w:rPr>
        <w:t>尽量避免将交通干线划入噪声敏感建筑物集中区域内。</w:t>
      </w:r>
      <w:bookmarkEnd w:id="25"/>
      <w:r>
        <w:rPr>
          <w:rFonts w:ascii="仿宋_GB2312" w:hAnsi="仿宋_GB2312" w:eastAsia="仿宋_GB2312" w:cs="仿宋_GB2312"/>
          <w:color w:val="000000" w:themeColor="text1"/>
          <w:kern w:val="0"/>
          <w:sz w:val="32"/>
          <w:szCs w:val="32"/>
          <w:lang w:bidi="ar"/>
          <w14:textFill>
            <w14:solidFill>
              <w14:schemeClr w14:val="tx1"/>
            </w14:solidFill>
          </w14:textFill>
        </w:rPr>
        <w:t xml:space="preserve"> </w:t>
      </w:r>
    </w:p>
    <w:p w14:paraId="72580265">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26" w:name="_Toc183682146"/>
      <w:r>
        <w:rPr>
          <w:rFonts w:hint="eastAsia" w:ascii="黑体" w:hAnsi="黑体" w:eastAsia="黑体" w:cs="黑体"/>
          <w:color w:val="000000" w:themeColor="text1"/>
          <w:kern w:val="0"/>
          <w:sz w:val="32"/>
          <w:szCs w:val="32"/>
          <w:lang w:bidi="ar"/>
          <w14:textFill>
            <w14:solidFill>
              <w14:schemeClr w14:val="tx1"/>
            </w14:solidFill>
          </w14:textFill>
        </w:rPr>
        <w:t>六</w:t>
      </w:r>
      <w:r>
        <w:rPr>
          <w:rFonts w:ascii="黑体" w:hAnsi="黑体" w:eastAsia="黑体" w:cs="黑体"/>
          <w:color w:val="000000" w:themeColor="text1"/>
          <w:kern w:val="0"/>
          <w:sz w:val="32"/>
          <w:szCs w:val="32"/>
          <w:lang w:bidi="ar"/>
          <w14:textFill>
            <w14:solidFill>
              <w14:schemeClr w14:val="tx1"/>
            </w14:solidFill>
          </w14:textFill>
        </w:rPr>
        <w:t>、</w:t>
      </w:r>
      <w:r>
        <w:rPr>
          <w:rFonts w:hint="eastAsia" w:ascii="黑体" w:hAnsi="黑体" w:eastAsia="黑体" w:cs="黑体"/>
          <w:color w:val="000000" w:themeColor="text1"/>
          <w:kern w:val="0"/>
          <w:sz w:val="32"/>
          <w:szCs w:val="32"/>
          <w:lang w:bidi="ar"/>
          <w14:textFill>
            <w14:solidFill>
              <w14:schemeClr w14:val="tx1"/>
            </w14:solidFill>
          </w14:textFill>
        </w:rPr>
        <w:t>划定结果</w:t>
      </w:r>
      <w:bookmarkEnd w:id="26"/>
      <w:r>
        <w:rPr>
          <w:rFonts w:hint="eastAsia" w:ascii="黑体" w:hAnsi="黑体" w:eastAsia="黑体" w:cs="黑体"/>
          <w:color w:val="000000" w:themeColor="text1"/>
          <w:kern w:val="0"/>
          <w:sz w:val="32"/>
          <w:szCs w:val="32"/>
          <w:lang w:bidi="ar"/>
          <w14:textFill>
            <w14:solidFill>
              <w14:schemeClr w14:val="tx1"/>
            </w14:solidFill>
          </w14:textFill>
        </w:rPr>
        <w:t xml:space="preserve"> </w:t>
      </w:r>
    </w:p>
    <w:p w14:paraId="7229E198">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朝阳区总面积4</w:t>
      </w:r>
      <w:r>
        <w:rPr>
          <w:rFonts w:ascii="仿宋_GB2312" w:hAnsi="仿宋_GB2312" w:eastAsia="仿宋_GB2312" w:cs="仿宋_GB2312"/>
          <w:color w:val="000000" w:themeColor="text1"/>
          <w:kern w:val="0"/>
          <w:sz w:val="32"/>
          <w:szCs w:val="32"/>
          <w:lang w:bidi="ar"/>
          <w14:textFill>
            <w14:solidFill>
              <w14:schemeClr w14:val="tx1"/>
            </w14:solidFill>
          </w14:textFill>
        </w:rPr>
        <w:t>70.8</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平方公里，共划定370块噪声敏感建筑物集中区域，共计为120.7</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平方公里，占朝阳区总面积的25.6</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%，详见附件1。</w:t>
      </w:r>
    </w:p>
    <w:p w14:paraId="252B2AAA">
      <w:pPr>
        <w:widowControl/>
        <w:spacing w:line="560" w:lineRule="exact"/>
        <w:ind w:firstLine="640" w:firstLineChars="200"/>
        <w:outlineLvl w:val="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27" w:name="_Toc183682147"/>
      <w:bookmarkStart w:id="28" w:name="_Toc10996"/>
      <w:r>
        <w:rPr>
          <w:rFonts w:hint="eastAsia" w:ascii="黑体" w:hAnsi="黑体" w:eastAsia="黑体" w:cs="黑体"/>
          <w:color w:val="000000" w:themeColor="text1"/>
          <w:kern w:val="0"/>
          <w:sz w:val="32"/>
          <w:szCs w:val="32"/>
          <w:lang w:bidi="ar"/>
          <w14:textFill>
            <w14:solidFill>
              <w14:schemeClr w14:val="tx1"/>
            </w14:solidFill>
          </w14:textFill>
        </w:rPr>
        <w:t>七、管控措施</w:t>
      </w:r>
      <w:bookmarkEnd w:id="27"/>
      <w:bookmarkEnd w:id="28"/>
    </w:p>
    <w:p w14:paraId="62286882">
      <w:pPr>
        <w:widowControl/>
        <w:spacing w:line="560" w:lineRule="exact"/>
        <w:ind w:firstLine="640" w:firstLineChars="200"/>
        <w:rPr>
          <w:rFonts w:ascii="仿宋_GB2312" w:hAnsi="仿宋_GB2312" w:eastAsia="仿宋_GB2312" w:cs="仿宋_GB2312"/>
          <w:b/>
          <w:bCs/>
          <w:color w:val="000000" w:themeColor="text1"/>
          <w:kern w:val="0"/>
          <w:sz w:val="32"/>
          <w:szCs w:val="32"/>
          <w:lang w:eastAsia="zh" w:bidi="ar"/>
          <w14:textFill>
            <w14:solidFill>
              <w14:schemeClr w14:val="tx1"/>
            </w14:solidFill>
          </w14:textFill>
        </w:rPr>
      </w:pPr>
      <w:r>
        <w:rPr>
          <w:rFonts w:ascii="仿宋_GB2312" w:hAnsi="仿宋_GB2312" w:eastAsia="仿宋_GB2312" w:cs="仿宋_GB2312"/>
          <w:color w:val="000000" w:themeColor="text1"/>
          <w:kern w:val="0"/>
          <w:sz w:val="32"/>
          <w:szCs w:val="32"/>
          <w:lang w:eastAsia="zh" w:bidi="ar"/>
          <w14:textFill>
            <w14:solidFill>
              <w14:schemeClr w14:val="tx1"/>
            </w14:solidFill>
          </w14:textFill>
        </w:rPr>
        <w:t>1、噪声敏感建筑物集中区域的管理按照《中华人民共和国噪声污染防治法》第十四条、第三十五条、第四十一条、第四十二条、第四十三条、第四十五条、第四十六条、第六十四条、第七十条、第七十四条、第七十七条、第七十八条、第八十二条、第八十八条的规定执行。</w:t>
      </w:r>
    </w:p>
    <w:p w14:paraId="16008E3E">
      <w:pPr>
        <w:widowControl/>
        <w:spacing w:line="560" w:lineRule="exact"/>
        <w:ind w:firstLine="640" w:firstLineChars="200"/>
        <w:rPr>
          <w:rFonts w:ascii="仿宋_GB2312" w:hAnsi="仿宋_GB2312" w:eastAsia="仿宋_GB2312" w:cs="仿宋_GB2312"/>
          <w:color w:val="000000" w:themeColor="text1"/>
          <w:kern w:val="0"/>
          <w:sz w:val="32"/>
          <w:szCs w:val="32"/>
          <w:lang w:eastAsia="zh"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2、</w:t>
      </w:r>
      <w:r>
        <w:rPr>
          <w:rFonts w:ascii="仿宋_GB2312" w:hAnsi="仿宋_GB2312" w:eastAsia="仿宋_GB2312" w:cs="仿宋_GB2312"/>
          <w:color w:val="000000" w:themeColor="text1"/>
          <w:kern w:val="0"/>
          <w:sz w:val="32"/>
          <w:szCs w:val="32"/>
          <w:lang w:eastAsia="zh" w:bidi="ar"/>
          <w14:textFill>
            <w14:solidFill>
              <w14:schemeClr w14:val="tx1"/>
            </w14:solidFill>
          </w14:textFill>
        </w:rPr>
        <w:t>噪声敏感建筑物集中区域的噪声污染防治职责分工按照 《北京市人民政府办公厅关于印发〈中华人民共和国噪声污染防治法〉相关条款政府指定部门的通知》及《中共北京市朝阳区委生态文明建设委员会关于印发〈北京市朝阳区推动职能部门做好生态环境保护工作的实施方案〉的通知》执行</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w:t>
      </w:r>
    </w:p>
    <w:p w14:paraId="1C66DF85">
      <w:pPr>
        <w:widowControl/>
        <w:spacing w:line="560" w:lineRule="exact"/>
        <w:ind w:firstLine="640" w:firstLineChars="200"/>
        <w:outlineLvl w:val="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29" w:name="_Toc3849"/>
      <w:bookmarkStart w:id="30" w:name="_Toc183682148"/>
      <w:r>
        <w:rPr>
          <w:rFonts w:hint="eastAsia" w:ascii="黑体" w:hAnsi="黑体" w:eastAsia="黑体" w:cs="黑体"/>
          <w:color w:val="000000" w:themeColor="text1"/>
          <w:kern w:val="0"/>
          <w:sz w:val="32"/>
          <w:szCs w:val="32"/>
          <w:lang w:bidi="ar"/>
          <w14:textFill>
            <w14:solidFill>
              <w14:schemeClr w14:val="tx1"/>
            </w14:solidFill>
          </w14:textFill>
        </w:rPr>
        <w:t>八、实施要求</w:t>
      </w:r>
      <w:bookmarkEnd w:id="29"/>
      <w:bookmarkEnd w:id="30"/>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w:t>
      </w:r>
    </w:p>
    <w:p w14:paraId="0FE15339">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1、本方案由北京市朝阳区生态环境局负责解释。</w:t>
      </w:r>
    </w:p>
    <w:p w14:paraId="6D23D642">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2、本方案自发布之日起实施。</w:t>
      </w:r>
    </w:p>
    <w:p w14:paraId="777B3550">
      <w:pPr>
        <w:widowControl/>
        <w:spacing w:line="560" w:lineRule="exact"/>
        <w:ind w:firstLine="640" w:firstLineChars="200"/>
        <w:rPr>
          <w:rFonts w:ascii="仿宋_GB2312" w:hAnsi="仿宋_GB2312" w:eastAsia="仿宋_GB2312" w:cs="仿宋_GB2312"/>
          <w:color w:val="000000" w:themeColor="text1"/>
          <w:kern w:val="0"/>
          <w:sz w:val="32"/>
          <w:szCs w:val="32"/>
          <w:lang w:eastAsia="zh"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3、</w:t>
      </w:r>
      <w:r>
        <w:rPr>
          <w:rFonts w:ascii="仿宋_GB2312" w:hAnsi="仿宋_GB2312" w:eastAsia="仿宋_GB2312" w:cs="仿宋_GB2312"/>
          <w:color w:val="000000" w:themeColor="text1"/>
          <w:kern w:val="0"/>
          <w:sz w:val="32"/>
          <w:szCs w:val="32"/>
          <w:lang w:eastAsia="zh" w:bidi="ar"/>
          <w14:textFill>
            <w14:solidFill>
              <w14:schemeClr w14:val="tx1"/>
            </w14:solidFill>
          </w14:textFill>
        </w:rPr>
        <w:t>因建筑物属性、用地性质或规划发生根本变化，可实施动态修编。</w:t>
      </w:r>
    </w:p>
    <w:p w14:paraId="471D76BA">
      <w:pPr>
        <w:widowControl/>
        <w:spacing w:line="560" w:lineRule="exact"/>
        <w:rPr>
          <w:rFonts w:ascii="仿宋_GB2312" w:hAnsi="仿宋_GB2312" w:eastAsia="仿宋_GB2312" w:cs="仿宋_GB2312"/>
          <w:color w:val="000000" w:themeColor="text1"/>
          <w:kern w:val="0"/>
          <w:sz w:val="32"/>
          <w:szCs w:val="32"/>
          <w:lang w:bidi="ar"/>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189AB88">
      <w:pPr>
        <w:widowControl/>
        <w:spacing w:line="560" w:lineRule="exact"/>
        <w:outlineLvl w:val="0"/>
        <w:rPr>
          <w:rFonts w:ascii="黑体" w:hAnsi="黑体" w:eastAsia="黑体" w:cs="黑体"/>
          <w:color w:val="000000" w:themeColor="text1"/>
          <w:kern w:val="0"/>
          <w:sz w:val="32"/>
          <w:szCs w:val="32"/>
          <w:lang w:bidi="ar"/>
          <w14:textFill>
            <w14:solidFill>
              <w14:schemeClr w14:val="tx1"/>
            </w14:solidFill>
          </w14:textFill>
        </w:rPr>
      </w:pPr>
      <w:bookmarkStart w:id="31" w:name="_Toc183682149"/>
      <w:bookmarkStart w:id="32" w:name="OLE_LINK1"/>
      <w:r>
        <w:rPr>
          <w:rFonts w:hint="eastAsia" w:ascii="黑体" w:hAnsi="黑体" w:eastAsia="黑体" w:cs="黑体"/>
          <w:color w:val="000000" w:themeColor="text1"/>
          <w:kern w:val="0"/>
          <w:sz w:val="32"/>
          <w:szCs w:val="32"/>
          <w:lang w:bidi="ar"/>
          <w14:textFill>
            <w14:solidFill>
              <w14:schemeClr w14:val="tx1"/>
            </w14:solidFill>
          </w14:textFill>
        </w:rPr>
        <w:t>附件1：朝阳区噪声敏感建筑物集中区域划定总分布图</w:t>
      </w:r>
      <w:bookmarkEnd w:id="31"/>
    </w:p>
    <w:bookmarkEnd w:id="32"/>
    <w:p w14:paraId="146016BC">
      <w:pPr>
        <w:widowControl/>
        <w:jc w:val="cente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drawing>
          <wp:inline distT="0" distB="0" distL="0" distR="0">
            <wp:extent cx="6172200" cy="4375785"/>
            <wp:effectExtent l="0" t="0" r="0" b="5715"/>
            <wp:docPr id="826338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38046"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72200" cy="4375785"/>
                    </a:xfrm>
                    <a:prstGeom prst="rect">
                      <a:avLst/>
                    </a:prstGeom>
                    <a:noFill/>
                    <a:ln>
                      <a:noFill/>
                    </a:ln>
                  </pic:spPr>
                </pic:pic>
              </a:graphicData>
            </a:graphic>
          </wp:inline>
        </w:drawing>
      </w:r>
    </w:p>
    <w:p w14:paraId="6C484802">
      <w:pPr>
        <w:widowControl/>
        <w:jc w:val="center"/>
        <w:outlineLvl w:val="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33" w:name="_Toc183677857"/>
      <w:bookmarkStart w:id="34" w:name="_Toc182319880"/>
      <w:bookmarkStart w:id="35" w:name="_Toc183682150"/>
      <w:r>
        <w:rPr>
          <w:rFonts w:hint="eastAsia" w:ascii="仿宋_GB2312" w:hAnsi="仿宋_GB2312" w:eastAsia="仿宋_GB2312" w:cs="仿宋_GB2312"/>
          <w:color w:val="000000" w:themeColor="text1"/>
          <w:kern w:val="0"/>
          <w:sz w:val="32"/>
          <w:szCs w:val="32"/>
          <w:lang w:bidi="ar"/>
          <w14:textFill>
            <w14:solidFill>
              <w14:schemeClr w14:val="tx1"/>
            </w14:solidFill>
          </w14:textFill>
        </w:rPr>
        <w:t>附图</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朝阳区噪声敏感建筑物集中区域划定总分布图</w:t>
      </w:r>
      <w:bookmarkEnd w:id="33"/>
      <w:bookmarkEnd w:id="34"/>
      <w:bookmarkEnd w:id="35"/>
    </w:p>
    <w:sectPr>
      <w:pgSz w:w="16838" w:h="11906" w:orient="landscape"/>
      <w:pgMar w:top="1803" w:right="1440" w:bottom="1803" w:left="144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E3B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7F92">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3FFA2">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73FFA2">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A358">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80CDA">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780CDA">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0CDF0"/>
    <w:multiLevelType w:val="multilevel"/>
    <w:tmpl w:val="98F0CDF0"/>
    <w:lvl w:ilvl="0" w:tentative="0">
      <w:start w:val="1"/>
      <w:numFmt w:val="decimal"/>
      <w:suff w:val="space"/>
      <w:lvlText w:val="B.%1"/>
      <w:lvlJc w:val="left"/>
      <w:pPr>
        <w:ind w:left="0" w:firstLine="0"/>
      </w:pPr>
      <w:rPr>
        <w:rFonts w:hint="default" w:ascii="Times New Roman" w:hAnsi="Times New Roman" w:cs="Times New Roman"/>
        <w:b/>
        <w:i w:val="0"/>
        <w:sz w:val="21"/>
      </w:rPr>
    </w:lvl>
    <w:lvl w:ilvl="1" w:tentative="0">
      <w:start w:val="1"/>
      <w:numFmt w:val="decimal"/>
      <w:pStyle w:val="33"/>
      <w:suff w:val="nothing"/>
      <w:lvlText w:val="%1%2　"/>
      <w:lvlJc w:val="left"/>
      <w:pPr>
        <w:ind w:left="0" w:firstLine="0"/>
      </w:pPr>
      <w:rPr>
        <w:rFonts w:hint="default" w:ascii="黑体" w:hAnsi="黑体"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8526C39"/>
    <w:multiLevelType w:val="multilevel"/>
    <w:tmpl w:val="68526C3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5D7CDE"/>
    <w:rsid w:val="0000231B"/>
    <w:rsid w:val="00004A15"/>
    <w:rsid w:val="00013971"/>
    <w:rsid w:val="0006184A"/>
    <w:rsid w:val="00072726"/>
    <w:rsid w:val="00093635"/>
    <w:rsid w:val="00095A4F"/>
    <w:rsid w:val="000B3EE0"/>
    <w:rsid w:val="000E0617"/>
    <w:rsid w:val="000E2103"/>
    <w:rsid w:val="001066E2"/>
    <w:rsid w:val="001129A2"/>
    <w:rsid w:val="00130BDC"/>
    <w:rsid w:val="001352EA"/>
    <w:rsid w:val="00140A4D"/>
    <w:rsid w:val="00146C86"/>
    <w:rsid w:val="00152E18"/>
    <w:rsid w:val="0015683A"/>
    <w:rsid w:val="00156F1E"/>
    <w:rsid w:val="00166A60"/>
    <w:rsid w:val="00171C54"/>
    <w:rsid w:val="00175E0A"/>
    <w:rsid w:val="0018221E"/>
    <w:rsid w:val="001859CA"/>
    <w:rsid w:val="001B76FC"/>
    <w:rsid w:val="001C344C"/>
    <w:rsid w:val="001D0764"/>
    <w:rsid w:val="00203441"/>
    <w:rsid w:val="00221445"/>
    <w:rsid w:val="00232B6C"/>
    <w:rsid w:val="00272C1B"/>
    <w:rsid w:val="0027629F"/>
    <w:rsid w:val="00284094"/>
    <w:rsid w:val="00292AD1"/>
    <w:rsid w:val="00296C5E"/>
    <w:rsid w:val="002A0C9F"/>
    <w:rsid w:val="002B5A24"/>
    <w:rsid w:val="002B7874"/>
    <w:rsid w:val="002E0914"/>
    <w:rsid w:val="002F1959"/>
    <w:rsid w:val="002F45C5"/>
    <w:rsid w:val="00301411"/>
    <w:rsid w:val="0035523D"/>
    <w:rsid w:val="0037004C"/>
    <w:rsid w:val="003B2927"/>
    <w:rsid w:val="003C4AE3"/>
    <w:rsid w:val="003D290A"/>
    <w:rsid w:val="003D56CB"/>
    <w:rsid w:val="003D6306"/>
    <w:rsid w:val="003E0A53"/>
    <w:rsid w:val="003F1C77"/>
    <w:rsid w:val="00400328"/>
    <w:rsid w:val="00432C87"/>
    <w:rsid w:val="00433588"/>
    <w:rsid w:val="00436648"/>
    <w:rsid w:val="00437A7C"/>
    <w:rsid w:val="0045564B"/>
    <w:rsid w:val="004719D5"/>
    <w:rsid w:val="00477C9A"/>
    <w:rsid w:val="00491B11"/>
    <w:rsid w:val="0049463E"/>
    <w:rsid w:val="004A4A0C"/>
    <w:rsid w:val="004A75A7"/>
    <w:rsid w:val="004C505D"/>
    <w:rsid w:val="004D17B7"/>
    <w:rsid w:val="004F2957"/>
    <w:rsid w:val="004F5394"/>
    <w:rsid w:val="004F66B3"/>
    <w:rsid w:val="004F7284"/>
    <w:rsid w:val="00501B33"/>
    <w:rsid w:val="0052550A"/>
    <w:rsid w:val="005355A7"/>
    <w:rsid w:val="005449F7"/>
    <w:rsid w:val="00551BDA"/>
    <w:rsid w:val="00553A13"/>
    <w:rsid w:val="005A51A1"/>
    <w:rsid w:val="005C5713"/>
    <w:rsid w:val="005D5EBC"/>
    <w:rsid w:val="005D7CDE"/>
    <w:rsid w:val="005E2923"/>
    <w:rsid w:val="005F20FF"/>
    <w:rsid w:val="005F3183"/>
    <w:rsid w:val="0060026B"/>
    <w:rsid w:val="006147C5"/>
    <w:rsid w:val="00631346"/>
    <w:rsid w:val="006710F9"/>
    <w:rsid w:val="006B6BF8"/>
    <w:rsid w:val="006E1888"/>
    <w:rsid w:val="006F4D5B"/>
    <w:rsid w:val="00700D4C"/>
    <w:rsid w:val="00703B2B"/>
    <w:rsid w:val="00710001"/>
    <w:rsid w:val="00724420"/>
    <w:rsid w:val="007300E5"/>
    <w:rsid w:val="00750696"/>
    <w:rsid w:val="00756535"/>
    <w:rsid w:val="007716CA"/>
    <w:rsid w:val="007838F2"/>
    <w:rsid w:val="0079252E"/>
    <w:rsid w:val="007B090F"/>
    <w:rsid w:val="007C133F"/>
    <w:rsid w:val="007E4693"/>
    <w:rsid w:val="007F0DEF"/>
    <w:rsid w:val="0080554E"/>
    <w:rsid w:val="008178F2"/>
    <w:rsid w:val="0086510D"/>
    <w:rsid w:val="00872A1F"/>
    <w:rsid w:val="00876DE9"/>
    <w:rsid w:val="008850EC"/>
    <w:rsid w:val="00885BA8"/>
    <w:rsid w:val="00893762"/>
    <w:rsid w:val="008F4B68"/>
    <w:rsid w:val="00902070"/>
    <w:rsid w:val="009652F1"/>
    <w:rsid w:val="00977121"/>
    <w:rsid w:val="009772F7"/>
    <w:rsid w:val="00977B39"/>
    <w:rsid w:val="00982C6A"/>
    <w:rsid w:val="009A6CC8"/>
    <w:rsid w:val="009B5302"/>
    <w:rsid w:val="00A433A4"/>
    <w:rsid w:val="00A45980"/>
    <w:rsid w:val="00A54983"/>
    <w:rsid w:val="00A909E8"/>
    <w:rsid w:val="00AB40FD"/>
    <w:rsid w:val="00AB6CEB"/>
    <w:rsid w:val="00AC4364"/>
    <w:rsid w:val="00B00C7E"/>
    <w:rsid w:val="00B01C19"/>
    <w:rsid w:val="00B16C37"/>
    <w:rsid w:val="00B3410B"/>
    <w:rsid w:val="00B52702"/>
    <w:rsid w:val="00B94AEE"/>
    <w:rsid w:val="00BB6E7C"/>
    <w:rsid w:val="00BD7023"/>
    <w:rsid w:val="00BE5BE5"/>
    <w:rsid w:val="00BF205C"/>
    <w:rsid w:val="00BF4C8E"/>
    <w:rsid w:val="00C044EB"/>
    <w:rsid w:val="00C1775F"/>
    <w:rsid w:val="00C73DFC"/>
    <w:rsid w:val="00CA7AA6"/>
    <w:rsid w:val="00CB56D2"/>
    <w:rsid w:val="00CD599A"/>
    <w:rsid w:val="00CD789F"/>
    <w:rsid w:val="00D15C9A"/>
    <w:rsid w:val="00D23A8A"/>
    <w:rsid w:val="00D42A5E"/>
    <w:rsid w:val="00D60E44"/>
    <w:rsid w:val="00D63EF9"/>
    <w:rsid w:val="00D77D3C"/>
    <w:rsid w:val="00D834D4"/>
    <w:rsid w:val="00DA6454"/>
    <w:rsid w:val="00DC1670"/>
    <w:rsid w:val="00DE7EA4"/>
    <w:rsid w:val="00DF30A9"/>
    <w:rsid w:val="00E11F06"/>
    <w:rsid w:val="00E1255C"/>
    <w:rsid w:val="00E136A6"/>
    <w:rsid w:val="00E158C6"/>
    <w:rsid w:val="00E27913"/>
    <w:rsid w:val="00E315F4"/>
    <w:rsid w:val="00E331A5"/>
    <w:rsid w:val="00E40DB7"/>
    <w:rsid w:val="00E8411B"/>
    <w:rsid w:val="00E922E7"/>
    <w:rsid w:val="00EC1B56"/>
    <w:rsid w:val="00EC6839"/>
    <w:rsid w:val="00EE6D43"/>
    <w:rsid w:val="00F33B27"/>
    <w:rsid w:val="00F45980"/>
    <w:rsid w:val="00F5053A"/>
    <w:rsid w:val="00F6164F"/>
    <w:rsid w:val="00F81BC5"/>
    <w:rsid w:val="00F85995"/>
    <w:rsid w:val="00F92B3A"/>
    <w:rsid w:val="00FA44C6"/>
    <w:rsid w:val="00FC0C28"/>
    <w:rsid w:val="021A27AB"/>
    <w:rsid w:val="02AD2130"/>
    <w:rsid w:val="035D6DC5"/>
    <w:rsid w:val="0533186A"/>
    <w:rsid w:val="056E1FF2"/>
    <w:rsid w:val="084D33F5"/>
    <w:rsid w:val="089F1C5C"/>
    <w:rsid w:val="0AF838A6"/>
    <w:rsid w:val="0CE75D69"/>
    <w:rsid w:val="0D570D57"/>
    <w:rsid w:val="0DDF724E"/>
    <w:rsid w:val="115D0906"/>
    <w:rsid w:val="12A71037"/>
    <w:rsid w:val="14337FB3"/>
    <w:rsid w:val="158F160E"/>
    <w:rsid w:val="161B7FE9"/>
    <w:rsid w:val="18F97B72"/>
    <w:rsid w:val="1A504CCA"/>
    <w:rsid w:val="1E1D770F"/>
    <w:rsid w:val="1FEBC74F"/>
    <w:rsid w:val="203C4A5B"/>
    <w:rsid w:val="212B6403"/>
    <w:rsid w:val="251016A4"/>
    <w:rsid w:val="29167977"/>
    <w:rsid w:val="29FF732D"/>
    <w:rsid w:val="2FB040D9"/>
    <w:rsid w:val="30B524C4"/>
    <w:rsid w:val="32FFAD1A"/>
    <w:rsid w:val="354B08F2"/>
    <w:rsid w:val="3662139D"/>
    <w:rsid w:val="37E42938"/>
    <w:rsid w:val="37F5C5BB"/>
    <w:rsid w:val="3A3C0F72"/>
    <w:rsid w:val="3A6D30B9"/>
    <w:rsid w:val="3BAF5523"/>
    <w:rsid w:val="3BEF0E94"/>
    <w:rsid w:val="3DCC00F6"/>
    <w:rsid w:val="3DF69170"/>
    <w:rsid w:val="3F7BE130"/>
    <w:rsid w:val="3FB7699A"/>
    <w:rsid w:val="3FBF18D0"/>
    <w:rsid w:val="3FEDB46B"/>
    <w:rsid w:val="406F2670"/>
    <w:rsid w:val="40AF61D9"/>
    <w:rsid w:val="41FC71BB"/>
    <w:rsid w:val="42755D9F"/>
    <w:rsid w:val="437454B8"/>
    <w:rsid w:val="457916FF"/>
    <w:rsid w:val="46407088"/>
    <w:rsid w:val="468E6D5F"/>
    <w:rsid w:val="47CE6976"/>
    <w:rsid w:val="47CF0F0F"/>
    <w:rsid w:val="4D8D7550"/>
    <w:rsid w:val="4DD24032"/>
    <w:rsid w:val="4E4E24C1"/>
    <w:rsid w:val="5136745E"/>
    <w:rsid w:val="53AD0657"/>
    <w:rsid w:val="540422AE"/>
    <w:rsid w:val="558E68E4"/>
    <w:rsid w:val="55AE62B8"/>
    <w:rsid w:val="56EF9543"/>
    <w:rsid w:val="58DC1A8B"/>
    <w:rsid w:val="5B2042D5"/>
    <w:rsid w:val="5BD12D99"/>
    <w:rsid w:val="5C3FBCED"/>
    <w:rsid w:val="5DB22116"/>
    <w:rsid w:val="5EBF3633"/>
    <w:rsid w:val="5EF91180"/>
    <w:rsid w:val="5FF7CFA5"/>
    <w:rsid w:val="616D3B0D"/>
    <w:rsid w:val="618048FA"/>
    <w:rsid w:val="631C4707"/>
    <w:rsid w:val="63EB9CCF"/>
    <w:rsid w:val="64FDF33E"/>
    <w:rsid w:val="67EFE130"/>
    <w:rsid w:val="68B52940"/>
    <w:rsid w:val="6AE85CC0"/>
    <w:rsid w:val="6D084141"/>
    <w:rsid w:val="6F75EFAE"/>
    <w:rsid w:val="6FBEEAE4"/>
    <w:rsid w:val="7054034C"/>
    <w:rsid w:val="71CD1504"/>
    <w:rsid w:val="73F620C5"/>
    <w:rsid w:val="74F11C15"/>
    <w:rsid w:val="77B78775"/>
    <w:rsid w:val="78084939"/>
    <w:rsid w:val="78D42A7E"/>
    <w:rsid w:val="7AFE5C81"/>
    <w:rsid w:val="7B99362E"/>
    <w:rsid w:val="7C4C667C"/>
    <w:rsid w:val="7DBBBB44"/>
    <w:rsid w:val="7E10135E"/>
    <w:rsid w:val="7EBD412E"/>
    <w:rsid w:val="7EF71D11"/>
    <w:rsid w:val="7EFD9634"/>
    <w:rsid w:val="7F0569E9"/>
    <w:rsid w:val="7F3217A8"/>
    <w:rsid w:val="7F5F3B1A"/>
    <w:rsid w:val="7FED3189"/>
    <w:rsid w:val="9DA870A7"/>
    <w:rsid w:val="AB1F3574"/>
    <w:rsid w:val="ADA15E10"/>
    <w:rsid w:val="AFBAF15E"/>
    <w:rsid w:val="B72FA8C7"/>
    <w:rsid w:val="B75568BC"/>
    <w:rsid w:val="B9F92454"/>
    <w:rsid w:val="BBDE1C1B"/>
    <w:rsid w:val="BBF3A553"/>
    <w:rsid w:val="BDBCA48D"/>
    <w:rsid w:val="BEFDCA29"/>
    <w:rsid w:val="BF5E1F54"/>
    <w:rsid w:val="BFFBA548"/>
    <w:rsid w:val="CF5F4B43"/>
    <w:rsid w:val="CFDF59BE"/>
    <w:rsid w:val="CFDFBDEB"/>
    <w:rsid w:val="CFF3C313"/>
    <w:rsid w:val="D5FF3451"/>
    <w:rsid w:val="D8E56661"/>
    <w:rsid w:val="DA77E41F"/>
    <w:rsid w:val="DBBBF197"/>
    <w:rsid w:val="DBE7658C"/>
    <w:rsid w:val="DCCBF22C"/>
    <w:rsid w:val="DF3A6E96"/>
    <w:rsid w:val="DFF795D4"/>
    <w:rsid w:val="DFFE924E"/>
    <w:rsid w:val="E9BDD43B"/>
    <w:rsid w:val="EB4B1029"/>
    <w:rsid w:val="EB674075"/>
    <w:rsid w:val="EDDF5563"/>
    <w:rsid w:val="EE7F5A1D"/>
    <w:rsid w:val="EF3F5BB0"/>
    <w:rsid w:val="F57FA0C4"/>
    <w:rsid w:val="F5BA911E"/>
    <w:rsid w:val="F7FFA167"/>
    <w:rsid w:val="FA7BE59E"/>
    <w:rsid w:val="FA7ECFAB"/>
    <w:rsid w:val="FABF4FC9"/>
    <w:rsid w:val="FCF6EEDD"/>
    <w:rsid w:val="FDFF8875"/>
    <w:rsid w:val="FEB60D9C"/>
    <w:rsid w:val="FEFDB330"/>
    <w:rsid w:val="FEFF9FFC"/>
    <w:rsid w:val="FF579554"/>
    <w:rsid w:val="FF7F832A"/>
    <w:rsid w:val="FFD248CC"/>
    <w:rsid w:val="FFF60A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line="560" w:lineRule="exact"/>
      <w:ind w:left="641"/>
      <w:jc w:val="left"/>
      <w:outlineLvl w:val="1"/>
    </w:pPr>
    <w:rPr>
      <w:rFonts w:ascii="方正仿宋_GB2312" w:hAnsi="方正仿宋_GB2312" w:eastAsia="方正仿宋_GB2312" w:cs="Times New Roman"/>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160" w:line="278" w:lineRule="auto"/>
      <w:ind w:left="2520" w:leftChars="1200"/>
      <w:jc w:val="left"/>
    </w:pPr>
    <w:rPr>
      <w:sz w:val="22"/>
      <w14:ligatures w14:val="standardContextual"/>
    </w:rPr>
  </w:style>
  <w:style w:type="paragraph" w:styleId="12">
    <w:name w:val="annotation text"/>
    <w:basedOn w:val="1"/>
    <w:link w:val="35"/>
    <w:qFormat/>
    <w:uiPriority w:val="0"/>
    <w:pPr>
      <w:jc w:val="left"/>
    </w:pPr>
  </w:style>
  <w:style w:type="paragraph" w:styleId="13">
    <w:name w:val="toc 5"/>
    <w:basedOn w:val="1"/>
    <w:next w:val="1"/>
    <w:unhideWhenUsed/>
    <w:qFormat/>
    <w:uiPriority w:val="39"/>
    <w:pPr>
      <w:spacing w:after="160" w:line="278" w:lineRule="auto"/>
      <w:ind w:left="1680" w:leftChars="800"/>
      <w:jc w:val="left"/>
    </w:pPr>
    <w:rPr>
      <w:sz w:val="22"/>
      <w14:ligatures w14:val="standardContextual"/>
    </w:rPr>
  </w:style>
  <w:style w:type="paragraph" w:styleId="14">
    <w:name w:val="toc 3"/>
    <w:basedOn w:val="1"/>
    <w:next w:val="1"/>
    <w:unhideWhenUsed/>
    <w:qFormat/>
    <w:uiPriority w:val="39"/>
    <w:pPr>
      <w:spacing w:after="160" w:line="278" w:lineRule="auto"/>
      <w:ind w:left="840" w:leftChars="400"/>
      <w:jc w:val="left"/>
    </w:pPr>
    <w:rPr>
      <w:sz w:val="22"/>
      <w14:ligatures w14:val="standardContextual"/>
    </w:rPr>
  </w:style>
  <w:style w:type="paragraph" w:styleId="15">
    <w:name w:val="toc 8"/>
    <w:basedOn w:val="1"/>
    <w:next w:val="1"/>
    <w:unhideWhenUsed/>
    <w:qFormat/>
    <w:uiPriority w:val="39"/>
    <w:pPr>
      <w:spacing w:after="160" w:line="278" w:lineRule="auto"/>
      <w:ind w:left="2940" w:leftChars="1400"/>
      <w:jc w:val="left"/>
    </w:pPr>
    <w:rPr>
      <w:sz w:val="22"/>
      <w14:ligatures w14:val="standardContextual"/>
    </w:rPr>
  </w:style>
  <w:style w:type="paragraph" w:styleId="16">
    <w:name w:val="Date"/>
    <w:basedOn w:val="1"/>
    <w:next w:val="1"/>
    <w:link w:val="37"/>
    <w:qFormat/>
    <w:uiPriority w:val="0"/>
    <w:pPr>
      <w:ind w:left="100" w:leftChars="2500"/>
    </w:pPr>
  </w:style>
  <w:style w:type="paragraph" w:styleId="17">
    <w:name w:val="Balloon Text"/>
    <w:basedOn w:val="1"/>
    <w:link w:val="34"/>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link w:val="39"/>
    <w:qFormat/>
    <w:uiPriority w:val="0"/>
    <w:pP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spacing w:line="580" w:lineRule="exact"/>
      <w:jc w:val="center"/>
    </w:pPr>
    <w:rPr>
      <w:rFonts w:ascii="黑体" w:hAnsi="黑体" w:eastAsia="黑体" w:cs="宋体"/>
      <w:sz w:val="28"/>
      <w:szCs w:val="28"/>
    </w:rPr>
  </w:style>
  <w:style w:type="paragraph" w:styleId="21">
    <w:name w:val="toc 4"/>
    <w:basedOn w:val="1"/>
    <w:next w:val="1"/>
    <w:unhideWhenUsed/>
    <w:qFormat/>
    <w:uiPriority w:val="39"/>
    <w:pPr>
      <w:spacing w:after="160" w:line="278" w:lineRule="auto"/>
      <w:ind w:left="1260" w:leftChars="600"/>
      <w:jc w:val="left"/>
    </w:pPr>
    <w:rPr>
      <w:sz w:val="22"/>
      <w14:ligatures w14:val="standardContextual"/>
    </w:rPr>
  </w:style>
  <w:style w:type="paragraph" w:styleId="22">
    <w:name w:val="toc 6"/>
    <w:basedOn w:val="1"/>
    <w:next w:val="1"/>
    <w:unhideWhenUsed/>
    <w:qFormat/>
    <w:uiPriority w:val="39"/>
    <w:pPr>
      <w:spacing w:after="160" w:line="278" w:lineRule="auto"/>
      <w:ind w:left="2100" w:leftChars="1000"/>
      <w:jc w:val="left"/>
    </w:pPr>
    <w:rPr>
      <w:sz w:val="22"/>
      <w14:ligatures w14:val="standardContextual"/>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spacing w:after="160" w:line="278" w:lineRule="auto"/>
      <w:ind w:left="3360" w:leftChars="1600"/>
      <w:jc w:val="left"/>
    </w:pPr>
    <w:rPr>
      <w:sz w:val="22"/>
      <w14:ligatures w14:val="standardContextual"/>
    </w:rPr>
  </w:style>
  <w:style w:type="paragraph" w:styleId="25">
    <w:name w:val="Normal (Web)"/>
    <w:basedOn w:val="1"/>
    <w:qFormat/>
    <w:uiPriority w:val="0"/>
    <w:pPr>
      <w:spacing w:beforeAutospacing="1" w:afterAutospacing="1"/>
      <w:jc w:val="left"/>
    </w:pPr>
    <w:rPr>
      <w:rFonts w:cs="Times New Roman"/>
      <w:kern w:val="0"/>
      <w:sz w:val="24"/>
    </w:rPr>
  </w:style>
  <w:style w:type="paragraph" w:styleId="26">
    <w:name w:val="Title"/>
    <w:basedOn w:val="1"/>
    <w:next w:val="1"/>
    <w:link w:val="44"/>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2"/>
    <w:next w:val="12"/>
    <w:link w:val="36"/>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character" w:styleId="32">
    <w:name w:val="annotation reference"/>
    <w:basedOn w:val="30"/>
    <w:qFormat/>
    <w:uiPriority w:val="0"/>
    <w:rPr>
      <w:sz w:val="21"/>
      <w:szCs w:val="21"/>
    </w:rPr>
  </w:style>
  <w:style w:type="paragraph" w:customStyle="1" w:styleId="3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character" w:customStyle="1" w:styleId="34">
    <w:name w:val="批注框文本 字符"/>
    <w:basedOn w:val="30"/>
    <w:link w:val="17"/>
    <w:qFormat/>
    <w:uiPriority w:val="0"/>
    <w:rPr>
      <w:rFonts w:asciiTheme="minorHAnsi" w:hAnsiTheme="minorHAnsi" w:eastAsiaTheme="minorEastAsia" w:cstheme="minorBidi"/>
      <w:kern w:val="2"/>
      <w:sz w:val="18"/>
      <w:szCs w:val="18"/>
    </w:rPr>
  </w:style>
  <w:style w:type="character" w:customStyle="1" w:styleId="35">
    <w:name w:val="批注文字 字符"/>
    <w:basedOn w:val="30"/>
    <w:link w:val="12"/>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27"/>
    <w:qFormat/>
    <w:uiPriority w:val="0"/>
    <w:rPr>
      <w:rFonts w:asciiTheme="minorHAnsi" w:hAnsiTheme="minorHAnsi" w:eastAsiaTheme="minorEastAsia" w:cstheme="minorBidi"/>
      <w:b/>
      <w:bCs/>
      <w:kern w:val="2"/>
      <w:sz w:val="21"/>
      <w:szCs w:val="24"/>
    </w:rPr>
  </w:style>
  <w:style w:type="character" w:customStyle="1" w:styleId="37">
    <w:name w:val="日期 字符"/>
    <w:basedOn w:val="30"/>
    <w:link w:val="16"/>
    <w:qFormat/>
    <w:uiPriority w:val="0"/>
    <w:rPr>
      <w:rFonts w:asciiTheme="minorHAnsi" w:hAnsiTheme="minorHAnsi" w:eastAsiaTheme="minorEastAsia" w:cstheme="minorBidi"/>
      <w:kern w:val="2"/>
      <w:sz w:val="21"/>
      <w:szCs w:val="24"/>
    </w:rPr>
  </w:style>
  <w:style w:type="paragraph" w:customStyle="1" w:styleId="38">
    <w:name w:val="TOC 标题1"/>
    <w:basedOn w:val="2"/>
    <w:next w:val="1"/>
    <w:unhideWhenUsed/>
    <w:qFormat/>
    <w:uiPriority w:val="39"/>
    <w:pPr>
      <w:keepNext/>
      <w:keepLines/>
      <w:widowControl/>
      <w:numPr>
        <w:numId w:val="0"/>
      </w:numPr>
      <w:spacing w:before="240" w:beforeAutospacing="0" w:afterAutospacing="0" w:line="259" w:lineRule="auto"/>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39">
    <w:name w:val="页眉 字符"/>
    <w:basedOn w:val="30"/>
    <w:link w:val="19"/>
    <w:qFormat/>
    <w:uiPriority w:val="0"/>
    <w:rPr>
      <w:rFonts w:asciiTheme="minorHAnsi" w:hAnsiTheme="minorHAnsi" w:eastAsiaTheme="minorEastAsia" w:cstheme="minorBidi"/>
      <w:kern w:val="2"/>
      <w:sz w:val="18"/>
      <w:szCs w:val="18"/>
    </w:rPr>
  </w:style>
  <w:style w:type="character" w:customStyle="1" w:styleId="40">
    <w:name w:val="页脚 字符"/>
    <w:basedOn w:val="30"/>
    <w:link w:val="18"/>
    <w:qFormat/>
    <w:uiPriority w:val="99"/>
    <w:rPr>
      <w:rFonts w:asciiTheme="minorHAnsi" w:hAnsiTheme="minorHAnsi" w:eastAsiaTheme="minorEastAsia" w:cstheme="minorBidi"/>
      <w:kern w:val="2"/>
      <w:sz w:val="18"/>
      <w:szCs w:val="18"/>
    </w:rPr>
  </w:style>
  <w:style w:type="paragraph" w:customStyle="1" w:styleId="41">
    <w:name w:val="前言、引言标题"/>
    <w:basedOn w:val="1"/>
    <w:qFormat/>
    <w:uiPriority w:val="0"/>
    <w:pPr>
      <w:spacing w:after="160" w:line="278" w:lineRule="auto"/>
    </w:pPr>
  </w:style>
  <w:style w:type="paragraph" w:customStyle="1" w:styleId="4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4">
    <w:name w:val="标题 字符"/>
    <w:basedOn w:val="30"/>
    <w:link w:val="26"/>
    <w:qFormat/>
    <w:uiPriority w:val="0"/>
    <w:rPr>
      <w:rFonts w:asciiTheme="majorHAnsi" w:hAnsiTheme="majorHAnsi" w:eastAsiaTheme="majorEastAsia" w:cstheme="majorBidi"/>
      <w:b/>
      <w:bCs/>
      <w:kern w:val="2"/>
      <w:sz w:val="32"/>
      <w:szCs w:val="32"/>
    </w:rPr>
  </w:style>
  <w:style w:type="paragraph" w:styleId="45">
    <w:name w:val="List Paragraph"/>
    <w:basedOn w:val="1"/>
    <w:unhideWhenUsed/>
    <w:qFormat/>
    <w:uiPriority w:val="99"/>
    <w:pPr>
      <w:ind w:firstLine="420" w:firstLineChars="200"/>
    </w:pPr>
  </w:style>
  <w:style w:type="paragraph" w:customStyle="1" w:styleId="46">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E702A-28FA-410D-B661-7489F8609C0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2120</Words>
  <Characters>2243</Characters>
  <Lines>20</Lines>
  <Paragraphs>5</Paragraphs>
  <TotalTime>9</TotalTime>
  <ScaleCrop>false</ScaleCrop>
  <LinksUpToDate>false</LinksUpToDate>
  <CharactersWithSpaces>2284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2024-10-22T17:18:00Z</dcterms:created>
  <dc:creator>lenovo</dc:creator>
  <cp:lastModifiedBy>孙彤</cp:lastModifiedBy>
  <dcterms:modified xsi:type="dcterms:W3CDTF">2024-11-29T09:06:45Z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3D2B7EBB1FD94CC387EA53B3C5CD25B4_13</vt:lpwstr>
  </property>
</Properties>
</file>