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uppressAutoHyphens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sz w:val="44"/>
          <w:szCs w:val="44"/>
        </w:rPr>
        <w:t>关于《</w:t>
      </w:r>
      <w:r>
        <w:rPr>
          <w:rFonts w:hint="eastAsia" w:ascii="方正小标宋简体" w:eastAsia="方正小标宋简体"/>
          <w:sz w:val="44"/>
          <w:szCs w:val="44"/>
        </w:rPr>
        <w:t>北京城市副中心打造全域场景创新之城</w:t>
      </w:r>
    </w:p>
    <w:p>
      <w:pPr>
        <w:suppressAutoHyphens/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实施方案</w:t>
      </w:r>
      <w:r>
        <w:rPr>
          <w:rFonts w:hint="eastAsia" w:ascii="方正小标宋简体" w:hAnsi="华文中宋" w:eastAsia="方正小标宋简体" w:cs="宋体"/>
          <w:bCs/>
          <w:sz w:val="44"/>
          <w:szCs w:val="44"/>
        </w:rPr>
        <w:t>》（征求意见稿）的起草说明</w:t>
      </w:r>
      <w:bookmarkEnd w:id="0"/>
    </w:p>
    <w:p>
      <w:pPr>
        <w:pStyle w:val="8"/>
        <w:spacing w:after="0"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为优化副中心产业结构，培育特色优势产业集群，促进全区产业提档升级，重塑招商体系，探索招商育商新模式，特制定本《实施方案》。</w:t>
      </w:r>
    </w:p>
    <w:p>
      <w:pPr>
        <w:widowControl/>
        <w:suppressAutoHyphens/>
        <w:adjustRightInd w:val="0"/>
        <w:snapToGrid w:val="0"/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《实施方案》共分为总体要求、重点任务、保障措施3部分。</w:t>
      </w:r>
    </w:p>
    <w:p>
      <w:pPr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（一）总体要求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指导思想。</w:t>
      </w:r>
      <w:r>
        <w:rPr>
          <w:rFonts w:hint="eastAsia" w:eastAsia="仿宋_GB2312"/>
          <w:sz w:val="32"/>
          <w:szCs w:val="32"/>
        </w:rPr>
        <w:t>深入答好市委“二十年之问”，认真落实区委“11311”工作体系，以场景创新赋能副中心高质量发展为主线，构建“434”全域场景创新工作总体架构，聚焦科技创新、重大项目、政策机制、消费创新四类场景，部署经济发展、社会治理、城市建设三类重点任务，完善全区域、全领域、全社会、全流程场景创新“四全”工作体系，导入科创资源、重塑招商体系、赋能企业发展、促进产业集聚，打造新城市、新科技、新产业、新生活高度融合的未来城市场景蓝图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基本原则。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创新引领，发挥场景创新串联科创资源与产业集群作用。坚持特色突出，挖掘四类场景，突出千亿固投和文旅消费两大优势，变城市建设红利和历史文化积淀为招商育商资源。坚持供需联动，机会能力双向发展，推动资源有效协同，实现“双找双引”。坚持全域协同，通过“四全”工作体系，实现高效率、高水平、高质量协同创新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发展目标。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一年见成效、两年树标杆、三年全提升”工作思路，分步骤、分阶段推进场景创新工作。实施“场景双百”行动，每年挖掘场景机会不少于100项，推介场景能力不少于100项。2025年，服务链接不少于300家企业，完善工作机制，打通工作流程，场景开放应用初见成效，打响副中心场景品牌；2026年，服务链接不少于400家企业，累计打造不少于10个具有副中心特色的标杆场景，通过树标杆、评典型，显著提升社会参与度；2027年，服务链接不少于500家企业，实现场景招商育商，提升治理效能，推动形成“全区域开放、全领域赋能、全社会参与、全流程协同”的场景创新生态，全面提升场景创新能力和应用水平，以场景创新支撑引领副中心产业高质量发展。</w:t>
      </w:r>
    </w:p>
    <w:p>
      <w:pPr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（二）重点任务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围绕场景创新赋能经济、社会、城市三大领域部署16项重点建设任务。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一是场景创新赋能经济高质量发展，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围绕数字经济、现代金融、先进制造、商务服务、文化旅游、现代种业、建筑业等主导产业，主动为优质企业谋项目、对资源、拓市场，将场景创新变成招商育商、企业发展的“助推器”。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二是场景创新赋能社会高效能治理，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智慧政府、数字化社区、智慧医疗、智慧教育、智慧交通、智慧应急等社会治理领域，以场景为“小切口”，动员行业部门主动挖掘业务痛点、释放场景机会、导入科创资源，让更多优质企业参与副中心社会治理场景建设，增加企业粘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三是场景创新赋能城市高水平建设，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副中心千亿固投项目特色，通过政策制度创新，将场景思维嵌入企业招商、土地供给、项目谋划、审批流程、建设实施、服务运营等全流程。突出标杆效应，围绕文化示范、消费示范、产业示范、科技示范等四类示范，打造大运河文化新IP、文旅国际消费新IP、张家湾多形态产业示范区、高线公园前沿科技集成展示会客厅等一批场景创新示范区。</w:t>
      </w:r>
    </w:p>
    <w:p>
      <w:pPr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（三）保障措施</w:t>
      </w:r>
    </w:p>
    <w:p>
      <w:pPr>
        <w:pStyle w:val="2"/>
        <w:spacing w:line="560" w:lineRule="exac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为保证全域场景创新之城建设工程各项任务顺利实施，从加强组织领导、开放要素空间、强化政策保障、组织宣传推广等方面制定保障措施，确保全域场景创新之城建设各项任务与目标顺利完成。</w:t>
      </w:r>
    </w:p>
    <w:p>
      <w:pPr>
        <w:widowControl/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三、发布方式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《实施方案》拟以通州区政府办名义印发。文件出台后，我委将切实做好落实工作，以场景工作为抓手不断增强产业发展内生动力，进一步提升场景工作对产业高质量发展的支撑作用，尽快在副中心培育形成代表新质生产力发展方向的产业集群。</w:t>
      </w:r>
    </w:p>
    <w:p>
      <w:pPr>
        <w:spacing w:line="560" w:lineRule="exact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北京市通州区发展和改革委员会</w:t>
      </w:r>
    </w:p>
    <w:p>
      <w:pPr>
        <w:pStyle w:val="8"/>
        <w:spacing w:after="0" w:line="560" w:lineRule="exact"/>
        <w:ind w:left="0" w:leftChars="0" w:firstLine="5120" w:firstLineChars="16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2024年11月19日</w:t>
      </w:r>
    </w:p>
    <w:sectPr>
      <w:footerReference r:id="rId3" w:type="default"/>
      <w:pgSz w:w="11906" w:h="16838"/>
      <w:pgMar w:top="2098" w:right="1474" w:bottom="1984" w:left="1587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8418A9"/>
    <w:rsid w:val="000A3096"/>
    <w:rsid w:val="00260589"/>
    <w:rsid w:val="00277B62"/>
    <w:rsid w:val="0035527F"/>
    <w:rsid w:val="004670FA"/>
    <w:rsid w:val="0058032A"/>
    <w:rsid w:val="006227B3"/>
    <w:rsid w:val="00680CB6"/>
    <w:rsid w:val="006F5B00"/>
    <w:rsid w:val="007A3F65"/>
    <w:rsid w:val="00836A9C"/>
    <w:rsid w:val="0085297F"/>
    <w:rsid w:val="008B08A3"/>
    <w:rsid w:val="008C6C07"/>
    <w:rsid w:val="00991F65"/>
    <w:rsid w:val="00A3047A"/>
    <w:rsid w:val="00A54E3E"/>
    <w:rsid w:val="00A6578E"/>
    <w:rsid w:val="00A756A1"/>
    <w:rsid w:val="00AE6E14"/>
    <w:rsid w:val="00B22260"/>
    <w:rsid w:val="00BF216F"/>
    <w:rsid w:val="00CC6B7C"/>
    <w:rsid w:val="00D21716"/>
    <w:rsid w:val="00E6569A"/>
    <w:rsid w:val="00F0675E"/>
    <w:rsid w:val="00FD56DE"/>
    <w:rsid w:val="0265517B"/>
    <w:rsid w:val="03FA4198"/>
    <w:rsid w:val="0434059C"/>
    <w:rsid w:val="0661143D"/>
    <w:rsid w:val="074C44D7"/>
    <w:rsid w:val="079E600F"/>
    <w:rsid w:val="07C571F6"/>
    <w:rsid w:val="09D42B00"/>
    <w:rsid w:val="0B8B10F9"/>
    <w:rsid w:val="11066F74"/>
    <w:rsid w:val="11A966D3"/>
    <w:rsid w:val="11B82D60"/>
    <w:rsid w:val="14BE147F"/>
    <w:rsid w:val="14C431BE"/>
    <w:rsid w:val="154F64A6"/>
    <w:rsid w:val="167B2B32"/>
    <w:rsid w:val="17401688"/>
    <w:rsid w:val="1B760F06"/>
    <w:rsid w:val="1B944942"/>
    <w:rsid w:val="1F29747E"/>
    <w:rsid w:val="203851D6"/>
    <w:rsid w:val="206621F5"/>
    <w:rsid w:val="24F37D92"/>
    <w:rsid w:val="277F7645"/>
    <w:rsid w:val="295827FE"/>
    <w:rsid w:val="30262A1E"/>
    <w:rsid w:val="3057608E"/>
    <w:rsid w:val="31900A96"/>
    <w:rsid w:val="31AE4FB0"/>
    <w:rsid w:val="32E91F96"/>
    <w:rsid w:val="3A08289D"/>
    <w:rsid w:val="3FD37D33"/>
    <w:rsid w:val="45C23FAF"/>
    <w:rsid w:val="45E4379A"/>
    <w:rsid w:val="468E118E"/>
    <w:rsid w:val="49DF720C"/>
    <w:rsid w:val="4B6B1C7D"/>
    <w:rsid w:val="4E1F2324"/>
    <w:rsid w:val="50756F26"/>
    <w:rsid w:val="515F6A8F"/>
    <w:rsid w:val="51DB5060"/>
    <w:rsid w:val="570D29FA"/>
    <w:rsid w:val="5B5E009C"/>
    <w:rsid w:val="5C3A36E2"/>
    <w:rsid w:val="5DDB2690"/>
    <w:rsid w:val="5E01153E"/>
    <w:rsid w:val="636A3A64"/>
    <w:rsid w:val="64D437F0"/>
    <w:rsid w:val="667C7971"/>
    <w:rsid w:val="67600D68"/>
    <w:rsid w:val="67EA6C47"/>
    <w:rsid w:val="68446ABC"/>
    <w:rsid w:val="6AD71222"/>
    <w:rsid w:val="6B894600"/>
    <w:rsid w:val="6D2A4160"/>
    <w:rsid w:val="6E2D37B4"/>
    <w:rsid w:val="718E0B33"/>
    <w:rsid w:val="71A804F2"/>
    <w:rsid w:val="72B923BC"/>
    <w:rsid w:val="798418A9"/>
    <w:rsid w:val="FF49B58F"/>
    <w:rsid w:val="FFDD8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index 9"/>
    <w:basedOn w:val="1"/>
    <w:next w:val="1"/>
    <w:qFormat/>
    <w:uiPriority w:val="0"/>
    <w:pPr>
      <w:ind w:left="3360"/>
      <w:jc w:val="left"/>
    </w:p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 2"/>
    <w:basedOn w:val="3"/>
    <w:next w:val="1"/>
    <w:qFormat/>
    <w:uiPriority w:val="0"/>
    <w:pPr>
      <w:adjustRightInd w:val="0"/>
      <w:spacing w:line="360" w:lineRule="atLeast"/>
      <w:ind w:firstLine="420" w:firstLineChars="200"/>
      <w:textAlignment w:val="baseline"/>
    </w:pPr>
    <w:rPr>
      <w:rFonts w:ascii="Calibri" w:hAnsi="Calibri"/>
    </w:rPr>
  </w:style>
  <w:style w:type="character" w:styleId="11">
    <w:name w:val="Strong"/>
    <w:qFormat/>
    <w:uiPriority w:val="0"/>
    <w:rPr>
      <w:b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225</Words>
  <Characters>1287</Characters>
  <Lines>10</Lines>
  <Paragraphs>3</Paragraphs>
  <TotalTime>78</TotalTime>
  <ScaleCrop>false</ScaleCrop>
  <LinksUpToDate>false</LinksUpToDate>
  <CharactersWithSpaces>1509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2024-10-25T11:54:00Z</dcterms:created>
  <dc:creator>马凌霞</dc:creator>
  <cp:lastModifiedBy>user</cp:lastModifiedBy>
  <cp:lastPrinted>2023-12-13T10:48:00Z</cp:lastPrinted>
  <dcterms:modified xsi:type="dcterms:W3CDTF">2024-11-20T13:44:15Z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