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bookmarkStart w:id="0" w:name="_GoBack"/>
      <w:bookmarkEnd w:id="0"/>
    </w:p>
    <w:p>
      <w:pPr>
        <w:spacing w:line="560" w:lineRule="exact"/>
        <w:jc w:val="center"/>
        <w:outlineLvl w:val="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石景山区人形机器人产业发展</w:t>
      </w:r>
    </w:p>
    <w:p>
      <w:pPr>
        <w:spacing w:line="560" w:lineRule="exact"/>
        <w:jc w:val="center"/>
        <w:outlineLvl w:val="0"/>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支持办法</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试行</w:t>
      </w:r>
      <w:r>
        <w:rPr>
          <w:rFonts w:hint="eastAsia" w:ascii="方正小标宋简体" w:hAnsi="方正小标宋简体" w:eastAsia="方正小标宋简体" w:cs="方正小标宋简体"/>
          <w:color w:val="auto"/>
          <w:sz w:val="44"/>
          <w:szCs w:val="44"/>
          <w:highlight w:val="none"/>
          <w:lang w:eastAsia="zh-CN"/>
        </w:rPr>
        <w:t>）</w:t>
      </w:r>
    </w:p>
    <w:p>
      <w:pPr>
        <w:spacing w:line="600" w:lineRule="exact"/>
        <w:rPr>
          <w:rFonts w:ascii="仿宋_GB2312" w:hAnsi="Times New Roman" w:eastAsia="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 xml:space="preserve">第一条 </w:t>
      </w:r>
      <w:r>
        <w:rPr>
          <w:rFonts w:hint="eastAsia" w:ascii="仿宋_GB2312" w:hAnsi="仿宋_GB2312" w:eastAsia="仿宋_GB2312" w:cs="仿宋_GB2312"/>
          <w:color w:val="auto"/>
          <w:sz w:val="32"/>
          <w:szCs w:val="32"/>
          <w:highlight w:val="none"/>
        </w:rPr>
        <w:t>为牢牢把握人形机器人产业发展</w:t>
      </w:r>
      <w:r>
        <w:rPr>
          <w:rFonts w:hint="eastAsia" w:ascii="仿宋_GB2312" w:hAnsi="仿宋_GB2312" w:eastAsia="仿宋_GB2312" w:cs="仿宋_GB2312"/>
          <w:color w:val="auto"/>
          <w:sz w:val="32"/>
          <w:szCs w:val="32"/>
          <w:highlight w:val="none"/>
          <w:lang w:val="en-US" w:eastAsia="zh-CN"/>
        </w:rPr>
        <w:t>机遇</w:t>
      </w:r>
      <w:r>
        <w:rPr>
          <w:rFonts w:hint="eastAsia" w:ascii="仿宋_GB2312" w:hAnsi="仿宋_GB2312" w:eastAsia="仿宋_GB2312" w:cs="仿宋_GB2312"/>
          <w:color w:val="auto"/>
          <w:sz w:val="32"/>
          <w:szCs w:val="32"/>
          <w:highlight w:val="none"/>
        </w:rPr>
        <w:t>，高质量建设产业基地，加快形成新质生产力，根据国家工业和信息化部《人形机器人创新发展指导意见》《北京市机器人产业创新发展行动方案（2023—2025年）》《石景山区人形机器人产业发展行动计划（2024—2025年）》等文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结合区域实际，</w:t>
      </w:r>
      <w:r>
        <w:rPr>
          <w:rFonts w:hint="eastAsia" w:ascii="仿宋_GB2312" w:hAnsi="仿宋_GB2312" w:eastAsia="仿宋_GB2312" w:cs="仿宋_GB2312"/>
          <w:color w:val="auto"/>
          <w:sz w:val="32"/>
          <w:szCs w:val="32"/>
          <w:highlight w:val="none"/>
        </w:rPr>
        <w:t>制定本办法。</w:t>
      </w:r>
    </w:p>
    <w:p>
      <w:pPr>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 xml:space="preserve">第二条 </w:t>
      </w:r>
      <w:r>
        <w:rPr>
          <w:rFonts w:hint="eastAsia" w:ascii="仿宋_GB2312" w:hAnsi="仿宋_GB2312" w:eastAsia="仿宋_GB2312" w:cs="仿宋_GB2312"/>
          <w:b w:val="0"/>
          <w:bCs/>
          <w:color w:val="auto"/>
          <w:sz w:val="32"/>
          <w:szCs w:val="32"/>
          <w:highlight w:val="none"/>
        </w:rPr>
        <w:t>本办法支持在石景山区依法合规开展经营活动的企事业单位、社会组织、高等学校、科研院所以及创业服务机构等各类法人机构。</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sz w:val="32"/>
          <w:szCs w:val="32"/>
          <w:highlight w:val="none"/>
        </w:rPr>
        <w:t>第三条</w:t>
      </w:r>
      <w:r>
        <w:rPr>
          <w:rFonts w:hint="eastAsia" w:ascii="仿宋_GB2312" w:hAnsi="仿宋_GB2312" w:eastAsia="仿宋_GB2312" w:cs="仿宋_GB2312"/>
          <w:b/>
          <w:color w:val="auto"/>
          <w:sz w:val="32"/>
          <w:szCs w:val="32"/>
          <w:highlight w:val="none"/>
          <w:lang w:val="en-US" w:eastAsia="zh-CN"/>
        </w:rPr>
        <w:t xml:space="preserve"> 支持前沿</w:t>
      </w:r>
      <w:r>
        <w:rPr>
          <w:rFonts w:hint="eastAsia" w:ascii="仿宋_GB2312" w:hAnsi="仿宋_GB2312" w:eastAsia="仿宋_GB2312" w:cs="仿宋_GB2312"/>
          <w:b/>
          <w:color w:val="auto"/>
          <w:sz w:val="32"/>
          <w:szCs w:val="32"/>
          <w:highlight w:val="none"/>
        </w:rPr>
        <w:t>技术</w:t>
      </w:r>
      <w:r>
        <w:rPr>
          <w:rFonts w:hint="eastAsia" w:ascii="仿宋_GB2312" w:hAnsi="仿宋_GB2312" w:eastAsia="仿宋_GB2312" w:cs="仿宋_GB2312"/>
          <w:b/>
          <w:color w:val="auto"/>
          <w:sz w:val="32"/>
          <w:szCs w:val="32"/>
          <w:highlight w:val="none"/>
          <w:lang w:val="en-US" w:eastAsia="zh-CN"/>
        </w:rPr>
        <w:t>研发</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围绕人形</w:t>
      </w:r>
      <w:r>
        <w:rPr>
          <w:rFonts w:hint="eastAsia" w:ascii="仿宋_GB2312" w:hAnsi="仿宋_GB2312" w:eastAsia="仿宋_GB2312" w:cs="仿宋_GB2312"/>
          <w:color w:val="auto"/>
          <w:sz w:val="32"/>
          <w:szCs w:val="32"/>
          <w:highlight w:val="none"/>
        </w:rPr>
        <w:t>机器人</w:t>
      </w:r>
      <w:r>
        <w:rPr>
          <w:rFonts w:hint="eastAsia" w:ascii="仿宋_GB2312" w:hAnsi="仿宋_GB2312" w:eastAsia="仿宋_GB2312" w:cs="仿宋_GB2312"/>
          <w:color w:val="auto"/>
          <w:sz w:val="32"/>
          <w:szCs w:val="32"/>
          <w:highlight w:val="none"/>
          <w:lang w:val="en-US" w:eastAsia="zh-CN"/>
        </w:rPr>
        <w:t>“大脑、小脑、肢体、本体”关键技术和核心部组件，加强</w:t>
      </w:r>
      <w:r>
        <w:rPr>
          <w:rFonts w:hint="eastAsia" w:ascii="仿宋_GB2312" w:hAnsi="仿宋_GB2312" w:eastAsia="仿宋_GB2312" w:cs="仿宋_GB2312"/>
          <w:color w:val="auto"/>
          <w:sz w:val="32"/>
          <w:szCs w:val="32"/>
          <w:highlight w:val="none"/>
        </w:rPr>
        <w:t>多模态大模型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运动控制算法、专用算力芯片、智能传感器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仿生轻量化机械臂及灵巧手等</w:t>
      </w:r>
      <w:r>
        <w:rPr>
          <w:rFonts w:hint="eastAsia" w:ascii="仿宋_GB2312" w:hAnsi="仿宋_GB2312" w:eastAsia="仿宋_GB2312" w:cs="仿宋_GB2312"/>
          <w:color w:val="auto"/>
          <w:sz w:val="32"/>
          <w:szCs w:val="32"/>
          <w:highlight w:val="none"/>
          <w:lang w:val="en-US" w:eastAsia="zh-CN"/>
        </w:rPr>
        <w:t>前沿技术布局</w:t>
      </w:r>
      <w:r>
        <w:rPr>
          <w:rFonts w:hint="eastAsia" w:ascii="仿宋_GB2312" w:hAnsi="仿宋_GB2312" w:eastAsia="仿宋_GB2312" w:cs="仿宋_GB2312"/>
          <w:color w:val="auto"/>
          <w:sz w:val="32"/>
          <w:szCs w:val="32"/>
          <w:highlight w:val="none"/>
        </w:rPr>
        <w:t>。对获得市级</w:t>
      </w:r>
      <w:r>
        <w:rPr>
          <w:rFonts w:hint="eastAsia" w:ascii="仿宋_GB2312" w:hAnsi="仿宋_GB2312" w:eastAsia="仿宋_GB2312" w:cs="仿宋_GB2312"/>
          <w:color w:val="auto"/>
          <w:sz w:val="32"/>
          <w:szCs w:val="32"/>
          <w:highlight w:val="none"/>
          <w:lang w:val="en-US" w:eastAsia="zh-CN"/>
        </w:rPr>
        <w:t>及以上</w:t>
      </w:r>
      <w:r>
        <w:rPr>
          <w:rFonts w:hint="eastAsia" w:ascii="仿宋_GB2312" w:hAnsi="仿宋_GB2312" w:eastAsia="仿宋_GB2312" w:cs="仿宋_GB2312"/>
          <w:color w:val="auto"/>
          <w:sz w:val="32"/>
          <w:szCs w:val="32"/>
          <w:highlight w:val="none"/>
        </w:rPr>
        <w:t>支持</w:t>
      </w:r>
      <w:r>
        <w:rPr>
          <w:rFonts w:hint="eastAsia" w:ascii="仿宋_GB2312" w:hAnsi="仿宋_GB2312" w:eastAsia="仿宋_GB2312" w:cs="仿宋_GB2312"/>
          <w:color w:val="auto"/>
          <w:sz w:val="32"/>
          <w:szCs w:val="32"/>
          <w:highlight w:val="none"/>
          <w:lang w:val="en-US" w:eastAsia="zh-CN"/>
        </w:rPr>
        <w:t>的项目，按照支持</w:t>
      </w:r>
      <w:r>
        <w:rPr>
          <w:rFonts w:hint="eastAsia" w:ascii="仿宋_GB2312" w:hAnsi="仿宋_GB2312" w:eastAsia="仿宋_GB2312" w:cs="仿宋_GB2312"/>
          <w:color w:val="auto"/>
          <w:sz w:val="32"/>
          <w:szCs w:val="32"/>
          <w:highlight w:val="none"/>
        </w:rPr>
        <w:t>资金30%</w:t>
      </w:r>
      <w:r>
        <w:rPr>
          <w:rFonts w:hint="eastAsia" w:ascii="仿宋_GB2312" w:hAnsi="仿宋_GB2312" w:eastAsia="仿宋_GB2312" w:cs="仿宋_GB2312"/>
          <w:color w:val="auto"/>
          <w:sz w:val="32"/>
          <w:szCs w:val="32"/>
          <w:highlight w:val="none"/>
          <w:lang w:val="en-US" w:eastAsia="zh-CN"/>
        </w:rPr>
        <w:t>予以补助</w:t>
      </w:r>
      <w:r>
        <w:rPr>
          <w:rFonts w:hint="eastAsia" w:ascii="仿宋_GB2312" w:hAnsi="仿宋_GB2312" w:eastAsia="仿宋_GB2312" w:cs="仿宋_GB2312"/>
          <w:color w:val="auto"/>
          <w:sz w:val="32"/>
          <w:szCs w:val="32"/>
          <w:highlight w:val="none"/>
        </w:rPr>
        <w:t>，最高</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00万元；</w:t>
      </w:r>
      <w:r>
        <w:rPr>
          <w:rFonts w:hint="eastAsia" w:ascii="仿宋_GB2312" w:hAnsi="仿宋_GB2312" w:eastAsia="仿宋_GB2312" w:cs="仿宋_GB2312"/>
          <w:color w:val="auto"/>
          <w:sz w:val="32"/>
          <w:szCs w:val="32"/>
          <w:highlight w:val="none"/>
          <w:lang w:eastAsia="zh-CN"/>
        </w:rPr>
        <w:t>对于</w:t>
      </w:r>
      <w:r>
        <w:rPr>
          <w:rFonts w:hint="eastAsia" w:ascii="仿宋_GB2312" w:hAnsi="仿宋_GB2312" w:eastAsia="仿宋_GB2312" w:cs="仿宋_GB2312"/>
          <w:color w:val="auto"/>
          <w:sz w:val="32"/>
          <w:szCs w:val="32"/>
          <w:highlight w:val="none"/>
          <w:lang w:val="en-US" w:eastAsia="zh-CN"/>
        </w:rPr>
        <w:t>经认定的</w:t>
      </w:r>
      <w:r>
        <w:rPr>
          <w:rFonts w:hint="eastAsia" w:ascii="仿宋_GB2312" w:hAnsi="仿宋_GB2312" w:eastAsia="仿宋_GB2312" w:cs="仿宋_GB2312"/>
          <w:color w:val="auto"/>
          <w:sz w:val="32"/>
          <w:szCs w:val="32"/>
          <w:highlight w:val="none"/>
          <w:lang w:eastAsia="zh-CN"/>
        </w:rPr>
        <w:t>区级重点项目，</w:t>
      </w: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val="en-US" w:eastAsia="zh-CN"/>
        </w:rPr>
        <w:t>技术攻关研发</w:t>
      </w:r>
      <w:r>
        <w:rPr>
          <w:rFonts w:hint="eastAsia" w:ascii="仿宋_GB2312" w:hAnsi="仿宋_GB2312" w:eastAsia="仿宋_GB2312" w:cs="仿宋_GB2312"/>
          <w:color w:val="auto"/>
          <w:sz w:val="32"/>
          <w:szCs w:val="32"/>
          <w:highlight w:val="none"/>
        </w:rPr>
        <w:t>投入</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0%予</w:t>
      </w:r>
      <w:r>
        <w:rPr>
          <w:rFonts w:hint="eastAsia" w:ascii="仿宋_GB2312" w:hAnsi="仿宋_GB2312" w:eastAsia="仿宋_GB2312" w:cs="仿宋_GB2312"/>
          <w:color w:val="auto"/>
          <w:sz w:val="32"/>
          <w:szCs w:val="32"/>
          <w:highlight w:val="none"/>
          <w:lang w:eastAsia="zh-CN"/>
        </w:rPr>
        <w:t>以</w:t>
      </w:r>
      <w:r>
        <w:rPr>
          <w:rFonts w:hint="eastAsia" w:ascii="仿宋_GB2312" w:hAnsi="仿宋_GB2312" w:eastAsia="仿宋_GB2312" w:cs="仿宋_GB2312"/>
          <w:color w:val="auto"/>
          <w:sz w:val="32"/>
          <w:szCs w:val="32"/>
          <w:highlight w:val="none"/>
        </w:rPr>
        <w:t>支持，最高</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00万元。</w:t>
      </w:r>
    </w:p>
    <w:p>
      <w:pPr>
        <w:numPr>
          <w:ilvl w:val="255"/>
          <w:numId w:val="0"/>
        </w:numPr>
        <w:spacing w:line="560" w:lineRule="exact"/>
        <w:ind w:firstLine="642" w:firstLineChars="200"/>
        <w:rPr>
          <w:rFonts w:hint="default"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第</w:t>
      </w:r>
      <w:r>
        <w:rPr>
          <w:rFonts w:hint="eastAsia" w:ascii="仿宋_GB2312" w:hAnsi="仿宋_GB2312" w:eastAsia="仿宋_GB2312" w:cs="仿宋_GB2312"/>
          <w:b/>
          <w:color w:val="auto"/>
          <w:sz w:val="32"/>
          <w:szCs w:val="32"/>
          <w:highlight w:val="none"/>
          <w:lang w:eastAsia="zh-CN"/>
        </w:rPr>
        <w:t>四</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b/>
          <w:color w:val="auto"/>
          <w:sz w:val="32"/>
          <w:szCs w:val="32"/>
          <w:highlight w:val="none"/>
          <w:lang w:val="en-US" w:eastAsia="zh-CN"/>
        </w:rPr>
        <w:t>加强</w:t>
      </w:r>
      <w:r>
        <w:rPr>
          <w:rFonts w:hint="eastAsia" w:ascii="仿宋_GB2312" w:hAnsi="仿宋_GB2312" w:eastAsia="仿宋_GB2312" w:cs="仿宋_GB2312"/>
          <w:b/>
          <w:bCs/>
          <w:color w:val="auto"/>
          <w:sz w:val="32"/>
          <w:szCs w:val="32"/>
          <w:highlight w:val="none"/>
          <w:lang w:val="en-US" w:eastAsia="zh-CN"/>
        </w:rPr>
        <w:t>关键技术攻关。</w:t>
      </w:r>
      <w:r>
        <w:rPr>
          <w:rFonts w:hint="eastAsia" w:ascii="仿宋_GB2312" w:hAnsi="仿宋_GB2312" w:eastAsia="仿宋_GB2312" w:cs="仿宋_GB2312"/>
          <w:b w:val="0"/>
          <w:bCs w:val="0"/>
          <w:color w:val="auto"/>
          <w:sz w:val="32"/>
          <w:szCs w:val="32"/>
          <w:highlight w:val="none"/>
          <w:lang w:val="en-US" w:eastAsia="zh-CN"/>
        </w:rPr>
        <w:t>支持通过“揭榜挂帅”方式</w:t>
      </w:r>
      <w:r>
        <w:rPr>
          <w:rFonts w:hint="eastAsia" w:ascii="仿宋_GB2312" w:hAnsi="仿宋_GB2312" w:eastAsia="仿宋_GB2312" w:cs="仿宋_GB2312"/>
          <w:color w:val="auto"/>
          <w:sz w:val="32"/>
          <w:szCs w:val="32"/>
          <w:highlight w:val="none"/>
          <w:lang w:val="en-US" w:eastAsia="zh-CN"/>
        </w:rPr>
        <w:t>攻关</w:t>
      </w:r>
      <w:r>
        <w:rPr>
          <w:rFonts w:hint="eastAsia" w:ascii="仿宋_GB2312" w:hAnsi="仿宋_GB2312" w:eastAsia="仿宋_GB2312" w:cs="仿宋_GB2312"/>
          <w:b w:val="0"/>
          <w:color w:val="auto"/>
          <w:sz w:val="32"/>
          <w:szCs w:val="32"/>
          <w:highlight w:val="none"/>
        </w:rPr>
        <w:t>力传感器</w:t>
      </w:r>
      <w:r>
        <w:rPr>
          <w:rFonts w:hint="eastAsia" w:ascii="仿宋_GB2312" w:hAnsi="仿宋_GB2312" w:eastAsia="仿宋_GB2312" w:cs="仿宋_GB2312"/>
          <w:b w:val="0"/>
          <w:bCs w:val="0"/>
          <w:color w:val="auto"/>
          <w:sz w:val="32"/>
          <w:szCs w:val="32"/>
          <w:highlight w:val="none"/>
          <w:lang w:val="en-US" w:eastAsia="zh-CN"/>
        </w:rPr>
        <w:t>、微机电</w:t>
      </w:r>
      <w:r>
        <w:rPr>
          <w:rFonts w:hint="eastAsia" w:ascii="仿宋_GB2312" w:hAnsi="仿宋_GB2312" w:eastAsia="仿宋_GB2312" w:cs="仿宋_GB2312"/>
          <w:b w:val="0"/>
          <w:color w:val="auto"/>
          <w:sz w:val="32"/>
          <w:szCs w:val="32"/>
          <w:highlight w:val="none"/>
        </w:rPr>
        <w:t>姿态传感器</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color w:val="auto"/>
          <w:sz w:val="32"/>
          <w:szCs w:val="32"/>
          <w:highlight w:val="none"/>
        </w:rPr>
        <w:t>触觉传感器</w:t>
      </w:r>
      <w:r>
        <w:rPr>
          <w:rFonts w:hint="eastAsia" w:ascii="仿宋_GB2312" w:hAnsi="仿宋_GB2312" w:eastAsia="仿宋_GB2312" w:cs="仿宋_GB2312"/>
          <w:b w:val="0"/>
          <w:bCs w:val="0"/>
          <w:color w:val="auto"/>
          <w:sz w:val="32"/>
          <w:szCs w:val="32"/>
          <w:highlight w:val="none"/>
          <w:lang w:val="en-US" w:eastAsia="zh-CN"/>
        </w:rPr>
        <w:t>、</w:t>
      </w:r>
      <w:r>
        <w:rPr>
          <w:rFonts w:eastAsia="仿宋_GB2312"/>
          <w:bCs/>
          <w:color w:val="auto"/>
          <w:sz w:val="32"/>
          <w:szCs w:val="32"/>
          <w:highlight w:val="none"/>
          <w:lang w:bidi="ar"/>
        </w:rPr>
        <w:t>高功率密度集成</w:t>
      </w:r>
      <w:r>
        <w:rPr>
          <w:rFonts w:hint="eastAsia" w:eastAsia="仿宋_GB2312"/>
          <w:bCs/>
          <w:color w:val="auto"/>
          <w:sz w:val="32"/>
          <w:szCs w:val="32"/>
          <w:highlight w:val="none"/>
          <w:lang w:val="en-US" w:eastAsia="zh-CN" w:bidi="ar"/>
        </w:rPr>
        <w:t>关节</w:t>
      </w:r>
      <w:r>
        <w:rPr>
          <w:rFonts w:hint="eastAsia" w:ascii="仿宋_GB2312" w:hAnsi="仿宋_GB2312" w:eastAsia="仿宋_GB2312" w:cs="仿宋_GB2312"/>
          <w:b w:val="0"/>
          <w:color w:val="auto"/>
          <w:sz w:val="32"/>
          <w:szCs w:val="32"/>
          <w:highlight w:val="none"/>
          <w:lang w:val="en-US" w:eastAsia="zh-CN"/>
        </w:rPr>
        <w:t>等相关</w:t>
      </w:r>
      <w:r>
        <w:rPr>
          <w:rFonts w:hint="eastAsia" w:ascii="仿宋_GB2312" w:hAnsi="仿宋_GB2312" w:eastAsia="仿宋_GB2312" w:cs="仿宋_GB2312"/>
          <w:color w:val="auto"/>
          <w:sz w:val="32"/>
          <w:szCs w:val="32"/>
          <w:highlight w:val="none"/>
        </w:rPr>
        <w:t>技术</w:t>
      </w:r>
      <w:r>
        <w:rPr>
          <w:rFonts w:hint="eastAsia" w:ascii="仿宋_GB2312" w:hAnsi="仿宋_GB2312" w:eastAsia="仿宋_GB2312" w:cs="仿宋_GB2312"/>
          <w:color w:val="auto"/>
          <w:sz w:val="32"/>
          <w:szCs w:val="32"/>
          <w:highlight w:val="none"/>
          <w:lang w:val="en-US" w:eastAsia="zh-CN"/>
        </w:rPr>
        <w:t>，对于参与国家级、省级以上揭榜任务的企业，给予每项最高50万元奖励，每家最高不超过100万元；对于参与区级揭榜任务的企业，给予每项最高20万元奖励，每家最高不超过50万元。</w:t>
      </w:r>
      <w:r>
        <w:rPr>
          <w:rFonts w:hint="eastAsia" w:ascii="仿宋_GB2312" w:hAnsi="仿宋_GB2312" w:eastAsia="仿宋_GB2312" w:cs="仿宋_GB2312"/>
          <w:b/>
          <w:color w:val="auto"/>
          <w:sz w:val="32"/>
          <w:szCs w:val="32"/>
          <w:highlight w:val="none"/>
        </w:rPr>
        <w:br w:type="textWrapping"/>
      </w:r>
      <w:r>
        <w:rPr>
          <w:rFonts w:hint="eastAsia" w:ascii="仿宋_GB2312" w:hAnsi="仿宋_GB2312" w:eastAsia="仿宋_GB2312" w:cs="仿宋_GB2312"/>
          <w:b/>
          <w:color w:val="auto"/>
          <w:sz w:val="32"/>
          <w:szCs w:val="32"/>
          <w:highlight w:val="none"/>
          <w:lang w:val="en-US" w:eastAsia="zh-CN"/>
        </w:rPr>
        <w:t xml:space="preserve">    第五条 支持建设共性技术平台。</w:t>
      </w:r>
      <w:r>
        <w:rPr>
          <w:rFonts w:hint="eastAsia" w:ascii="仿宋_GB2312" w:hAnsi="仿宋_GB2312" w:eastAsia="仿宋_GB2312" w:cs="仿宋_GB2312"/>
          <w:color w:val="auto"/>
          <w:sz w:val="32"/>
          <w:szCs w:val="32"/>
          <w:highlight w:val="none"/>
          <w:lang w:eastAsia="zh-CN"/>
        </w:rPr>
        <w:t>建设具身数据</w:t>
      </w:r>
      <w:r>
        <w:rPr>
          <w:rFonts w:hint="eastAsia" w:ascii="仿宋_GB2312" w:hAnsi="仿宋_GB2312" w:eastAsia="仿宋_GB2312" w:cs="仿宋_GB2312"/>
          <w:color w:val="auto"/>
          <w:sz w:val="32"/>
          <w:szCs w:val="32"/>
          <w:highlight w:val="none"/>
          <w:lang w:val="en-US" w:eastAsia="zh-CN"/>
        </w:rPr>
        <w:t>采集训练</w:t>
      </w:r>
      <w:r>
        <w:rPr>
          <w:rFonts w:hint="eastAsia" w:ascii="仿宋_GB2312" w:hAnsi="仿宋_GB2312" w:eastAsia="仿宋_GB2312" w:cs="仿宋_GB2312"/>
          <w:color w:val="auto"/>
          <w:sz w:val="32"/>
          <w:szCs w:val="32"/>
          <w:highlight w:val="none"/>
          <w:lang w:eastAsia="zh-CN"/>
        </w:rPr>
        <w:t>、小试中试“</w:t>
      </w:r>
      <w:r>
        <w:rPr>
          <w:rFonts w:hint="eastAsia" w:ascii="仿宋_GB2312" w:hAnsi="仿宋_GB2312" w:eastAsia="仿宋_GB2312" w:cs="仿宋_GB2312"/>
          <w:color w:val="auto"/>
          <w:sz w:val="32"/>
          <w:szCs w:val="32"/>
          <w:highlight w:val="none"/>
          <w:lang w:val="en-US" w:eastAsia="zh-CN"/>
        </w:rPr>
        <w:t>示范产线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等共性技术服务平台</w:t>
      </w:r>
      <w:r>
        <w:rPr>
          <w:rFonts w:hint="eastAsia" w:ascii="仿宋_GB2312" w:hAnsi="仿宋_GB2312" w:eastAsia="仿宋_GB2312" w:cs="仿宋_GB2312"/>
          <w:color w:val="auto"/>
          <w:sz w:val="32"/>
          <w:szCs w:val="32"/>
          <w:highlight w:val="none"/>
          <w:lang w:eastAsia="zh-CN"/>
        </w:rPr>
        <w:t>，对获得市级</w:t>
      </w:r>
      <w:r>
        <w:rPr>
          <w:rFonts w:hint="eastAsia" w:ascii="仿宋_GB2312" w:hAnsi="仿宋_GB2312" w:eastAsia="仿宋_GB2312" w:cs="仿宋_GB2312"/>
          <w:color w:val="auto"/>
          <w:sz w:val="32"/>
          <w:szCs w:val="32"/>
          <w:highlight w:val="none"/>
          <w:lang w:val="en-US" w:eastAsia="zh-CN"/>
        </w:rPr>
        <w:t>及以上</w:t>
      </w:r>
      <w:r>
        <w:rPr>
          <w:rFonts w:hint="eastAsia" w:ascii="仿宋_GB2312" w:hAnsi="仿宋_GB2312" w:eastAsia="仿宋_GB2312" w:cs="仿宋_GB2312"/>
          <w:color w:val="auto"/>
          <w:sz w:val="32"/>
          <w:szCs w:val="32"/>
          <w:highlight w:val="none"/>
          <w:lang w:eastAsia="zh-CN"/>
        </w:rPr>
        <w:t>支持的</w:t>
      </w:r>
      <w:r>
        <w:rPr>
          <w:rFonts w:hint="eastAsia" w:ascii="仿宋_GB2312" w:hAnsi="仿宋_GB2312" w:eastAsia="仿宋_GB2312" w:cs="仿宋_GB2312"/>
          <w:color w:val="auto"/>
          <w:sz w:val="32"/>
          <w:szCs w:val="32"/>
          <w:highlight w:val="none"/>
          <w:lang w:val="en-US" w:eastAsia="zh-CN"/>
        </w:rPr>
        <w:t>平台</w:t>
      </w:r>
      <w:r>
        <w:rPr>
          <w:rFonts w:hint="eastAsia" w:ascii="仿宋_GB2312" w:hAnsi="仿宋_GB2312" w:eastAsia="仿宋_GB2312" w:cs="仿宋_GB2312"/>
          <w:color w:val="auto"/>
          <w:sz w:val="32"/>
          <w:szCs w:val="32"/>
          <w:highlight w:val="none"/>
          <w:lang w:eastAsia="zh-CN"/>
        </w:rPr>
        <w:t>，按照不超过市级支持资金30%予以补助，最高</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lang w:eastAsia="zh-CN"/>
        </w:rPr>
        <w:t>00万元；对</w:t>
      </w:r>
      <w:r>
        <w:rPr>
          <w:rFonts w:hint="eastAsia" w:ascii="仿宋_GB2312" w:hAnsi="仿宋_GB2312" w:eastAsia="仿宋_GB2312" w:cs="仿宋_GB2312"/>
          <w:color w:val="auto"/>
          <w:sz w:val="32"/>
          <w:szCs w:val="32"/>
          <w:highlight w:val="none"/>
          <w:lang w:val="en-US" w:eastAsia="zh-CN"/>
        </w:rPr>
        <w:t>经认定的</w:t>
      </w:r>
      <w:r>
        <w:rPr>
          <w:rFonts w:hint="eastAsia" w:ascii="仿宋_GB2312" w:hAnsi="仿宋_GB2312" w:eastAsia="仿宋_GB2312" w:cs="仿宋_GB2312"/>
          <w:color w:val="auto"/>
          <w:sz w:val="32"/>
          <w:szCs w:val="32"/>
          <w:highlight w:val="none"/>
          <w:lang w:eastAsia="zh-CN"/>
        </w:rPr>
        <w:t>区级重点</w:t>
      </w:r>
      <w:r>
        <w:rPr>
          <w:rFonts w:hint="eastAsia" w:ascii="仿宋_GB2312" w:hAnsi="仿宋_GB2312" w:eastAsia="仿宋_GB2312" w:cs="仿宋_GB2312"/>
          <w:color w:val="auto"/>
          <w:sz w:val="32"/>
          <w:szCs w:val="32"/>
          <w:highlight w:val="none"/>
          <w:lang w:val="en-US" w:eastAsia="zh-CN"/>
        </w:rPr>
        <w:t>服务平台</w:t>
      </w:r>
      <w:r>
        <w:rPr>
          <w:rFonts w:hint="eastAsia" w:ascii="仿宋_GB2312" w:hAnsi="仿宋_GB2312" w:eastAsia="仿宋_GB2312" w:cs="仿宋_GB2312"/>
          <w:color w:val="auto"/>
          <w:sz w:val="32"/>
          <w:szCs w:val="32"/>
          <w:highlight w:val="none"/>
          <w:lang w:eastAsia="zh-CN"/>
        </w:rPr>
        <w:t>，按照不超过总投资30%予以补助，最高</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00万元。</w:t>
      </w:r>
    </w:p>
    <w:p>
      <w:pPr>
        <w:numPr>
          <w:ilvl w:val="255"/>
          <w:numId w:val="0"/>
        </w:numPr>
        <w:spacing w:line="560" w:lineRule="exact"/>
        <w:ind w:firstLine="642"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sz w:val="32"/>
          <w:szCs w:val="32"/>
          <w:highlight w:val="none"/>
          <w:lang w:val="en-US" w:eastAsia="zh-CN"/>
        </w:rPr>
        <w:t xml:space="preserve">第六条 </w:t>
      </w:r>
      <w:r>
        <w:rPr>
          <w:rFonts w:hint="eastAsia" w:ascii="仿宋_GB2312" w:hAnsi="仿宋_GB2312" w:eastAsia="仿宋_GB2312" w:cs="仿宋_GB2312"/>
          <w:b/>
          <w:color w:val="auto"/>
          <w:sz w:val="32"/>
          <w:szCs w:val="32"/>
          <w:highlight w:val="none"/>
        </w:rPr>
        <w:t>支持打造</w:t>
      </w:r>
      <w:r>
        <w:rPr>
          <w:rFonts w:hint="eastAsia" w:ascii="仿宋_GB2312" w:hAnsi="仿宋_GB2312" w:eastAsia="仿宋_GB2312" w:cs="仿宋_GB2312"/>
          <w:b/>
          <w:color w:val="auto"/>
          <w:sz w:val="32"/>
          <w:szCs w:val="32"/>
          <w:highlight w:val="none"/>
          <w:lang w:val="en-US" w:eastAsia="zh-CN"/>
        </w:rPr>
        <w:t>产业</w:t>
      </w:r>
      <w:r>
        <w:rPr>
          <w:rFonts w:hint="eastAsia" w:ascii="仿宋_GB2312" w:hAnsi="仿宋_GB2312" w:eastAsia="仿宋_GB2312" w:cs="仿宋_GB2312"/>
          <w:b/>
          <w:color w:val="auto"/>
          <w:sz w:val="32"/>
          <w:szCs w:val="32"/>
          <w:highlight w:val="none"/>
          <w:lang w:eastAsia="zh-CN"/>
        </w:rPr>
        <w:t>服务</w:t>
      </w:r>
      <w:r>
        <w:rPr>
          <w:rFonts w:hint="eastAsia" w:ascii="仿宋_GB2312" w:hAnsi="仿宋_GB2312" w:eastAsia="仿宋_GB2312" w:cs="仿宋_GB2312"/>
          <w:b/>
          <w:color w:val="auto"/>
          <w:sz w:val="32"/>
          <w:szCs w:val="32"/>
          <w:highlight w:val="none"/>
        </w:rPr>
        <w:t>平台。</w:t>
      </w:r>
      <w:r>
        <w:rPr>
          <w:rFonts w:hint="eastAsia" w:ascii="仿宋_GB2312" w:hAnsi="仿宋_GB2312" w:eastAsia="仿宋_GB2312" w:cs="仿宋_GB2312"/>
          <w:bCs/>
          <w:i w:val="0"/>
          <w:caps w:val="0"/>
          <w:color w:val="auto"/>
          <w:spacing w:val="0"/>
          <w:kern w:val="2"/>
          <w:sz w:val="32"/>
          <w:szCs w:val="32"/>
          <w:highlight w:val="none"/>
          <w:shd w:val="clear"/>
          <w:lang w:val="en-US" w:eastAsia="zh-CN" w:bidi="ar"/>
        </w:rPr>
        <w:t>对于新认定或新迁入的国家级或市级人形机器人相关重点实验室，经评定，按其研发及办公场地实际应用面积予以最高100%补贴支持，补贴面积不超过4000平方米，连续支持不超过三年；予以每年不超过500万元运营经费支持，连续支持不超过三年。</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 支持创新成果转化。</w:t>
      </w:r>
      <w:r>
        <w:rPr>
          <w:rFonts w:hint="eastAsia" w:ascii="仿宋_GB2312" w:hAnsi="仿宋_GB2312" w:eastAsia="仿宋_GB2312" w:cs="仿宋_GB2312"/>
          <w:color w:val="auto"/>
          <w:sz w:val="32"/>
          <w:szCs w:val="32"/>
          <w:highlight w:val="none"/>
        </w:rPr>
        <w:t>对获得市级首次试用的创新产品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首台（套）</w:t>
      </w:r>
      <w:r>
        <w:rPr>
          <w:rFonts w:hint="eastAsia" w:ascii="仿宋_GB2312" w:hAnsi="仿宋_GB2312" w:eastAsia="仿宋_GB2312" w:cs="仿宋_GB2312"/>
          <w:color w:val="auto"/>
          <w:sz w:val="32"/>
          <w:szCs w:val="32"/>
          <w:highlight w:val="none"/>
        </w:rPr>
        <w:t>奖励支持的企业，按照市级资金50%</w:t>
      </w:r>
      <w:r>
        <w:rPr>
          <w:rFonts w:hint="eastAsia" w:ascii="仿宋_GB2312" w:hAnsi="仿宋_GB2312" w:eastAsia="仿宋_GB2312" w:cs="仿宋_GB2312"/>
          <w:color w:val="auto"/>
          <w:sz w:val="32"/>
          <w:szCs w:val="32"/>
          <w:highlight w:val="none"/>
          <w:lang w:eastAsia="zh-CN"/>
        </w:rPr>
        <w:t>予以</w:t>
      </w:r>
      <w:r>
        <w:rPr>
          <w:rFonts w:hint="eastAsia" w:ascii="仿宋_GB2312" w:hAnsi="仿宋_GB2312" w:eastAsia="仿宋_GB2312" w:cs="仿宋_GB2312"/>
          <w:color w:val="auto"/>
          <w:sz w:val="32"/>
          <w:szCs w:val="32"/>
          <w:highlight w:val="none"/>
          <w:lang w:val="en-US" w:eastAsia="zh-CN"/>
        </w:rPr>
        <w:t>奖励</w:t>
      </w:r>
      <w:r>
        <w:rPr>
          <w:rFonts w:hint="eastAsia" w:ascii="仿宋_GB2312" w:hAnsi="仿宋_GB2312" w:eastAsia="仿宋_GB2312" w:cs="仿宋_GB2312"/>
          <w:color w:val="auto"/>
          <w:sz w:val="32"/>
          <w:szCs w:val="32"/>
          <w:highlight w:val="none"/>
        </w:rPr>
        <w:t>，最高100万元；</w:t>
      </w:r>
      <w:r>
        <w:rPr>
          <w:rFonts w:hint="eastAsia" w:ascii="仿宋_GB2312" w:hAnsi="仿宋_GB2312" w:eastAsia="仿宋_GB2312" w:cs="仿宋_GB2312"/>
          <w:color w:val="auto"/>
          <w:sz w:val="32"/>
          <w:szCs w:val="32"/>
          <w:highlight w:val="none"/>
          <w:lang w:val="en-US" w:eastAsia="zh-CN"/>
        </w:rPr>
        <w:t>支持高校院所人形机器人领域技术成果转化，对技术交易输出方按合同实际成交额30%给予补助，最高300万元。</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w:t>
      </w:r>
      <w:r>
        <w:rPr>
          <w:rFonts w:hint="eastAsia" w:ascii="仿宋_GB2312" w:hAnsi="仿宋_GB2312" w:eastAsia="仿宋_GB2312" w:cs="仿宋_GB2312"/>
          <w:b/>
          <w:color w:val="auto"/>
          <w:sz w:val="32"/>
          <w:szCs w:val="32"/>
          <w:highlight w:val="none"/>
          <w:lang w:val="en-US" w:eastAsia="zh-CN"/>
        </w:rPr>
        <w:t>八</w:t>
      </w:r>
      <w:r>
        <w:rPr>
          <w:rFonts w:hint="eastAsia" w:ascii="仿宋_GB2312" w:hAnsi="仿宋_GB2312" w:eastAsia="仿宋_GB2312" w:cs="仿宋_GB2312"/>
          <w:b/>
          <w:color w:val="auto"/>
          <w:sz w:val="32"/>
          <w:szCs w:val="32"/>
          <w:highlight w:val="none"/>
        </w:rPr>
        <w:t>条 支持场景示范应用。</w:t>
      </w:r>
      <w:r>
        <w:rPr>
          <w:rFonts w:hint="eastAsia" w:ascii="仿宋_GB2312" w:hAnsi="仿宋_GB2312" w:eastAsia="仿宋_GB2312" w:cs="仿宋_GB2312"/>
          <w:b w:val="0"/>
          <w:bCs/>
          <w:color w:val="auto"/>
          <w:sz w:val="32"/>
          <w:szCs w:val="32"/>
          <w:highlight w:val="none"/>
          <w:lang w:val="en-US" w:eastAsia="zh-CN"/>
        </w:rPr>
        <w:t>鼓励围绕消费金融、特种、应急、工业、医疗、养老、物流、商业、建筑等领域打造一批示范性强、影响力大的应用场景</w:t>
      </w:r>
      <w:r>
        <w:rPr>
          <w:rFonts w:hint="eastAsia" w:ascii="仿宋_GB2312" w:hAnsi="仿宋_GB2312" w:eastAsia="仿宋_GB2312" w:cs="仿宋_GB2312"/>
          <w:bCs/>
          <w:color w:val="auto"/>
          <w:sz w:val="32"/>
          <w:szCs w:val="32"/>
          <w:highlight w:val="none"/>
        </w:rPr>
        <w:t>。对获得市级应用场景支持的</w:t>
      </w:r>
      <w:r>
        <w:rPr>
          <w:rFonts w:hint="eastAsia" w:ascii="仿宋_GB2312" w:hAnsi="仿宋_GB2312" w:eastAsia="仿宋_GB2312" w:cs="仿宋_GB2312"/>
          <w:bCs/>
          <w:color w:val="auto"/>
          <w:sz w:val="32"/>
          <w:szCs w:val="32"/>
          <w:highlight w:val="none"/>
          <w:lang w:val="en-US" w:eastAsia="zh-CN"/>
        </w:rPr>
        <w:t>企业</w:t>
      </w:r>
      <w:r>
        <w:rPr>
          <w:rFonts w:hint="eastAsia" w:ascii="仿宋_GB2312" w:hAnsi="仿宋_GB2312" w:eastAsia="仿宋_GB2312" w:cs="仿宋_GB2312"/>
          <w:bCs/>
          <w:color w:val="auto"/>
          <w:sz w:val="32"/>
          <w:szCs w:val="32"/>
          <w:highlight w:val="none"/>
        </w:rPr>
        <w:t>，按照市级支持资金30%予以补助，最高</w:t>
      </w:r>
      <w:r>
        <w:rPr>
          <w:rFonts w:hint="eastAsia" w:ascii="仿宋_GB2312" w:hAnsi="仿宋_GB2312" w:eastAsia="仿宋_GB2312" w:cs="仿宋_GB2312"/>
          <w:bCs/>
          <w:color w:val="auto"/>
          <w:sz w:val="32"/>
          <w:szCs w:val="32"/>
          <w:highlight w:val="none"/>
          <w:lang w:val="en-US" w:eastAsia="zh-CN"/>
        </w:rPr>
        <w:t>6</w:t>
      </w:r>
      <w:r>
        <w:rPr>
          <w:rFonts w:hint="eastAsia" w:ascii="仿宋_GB2312" w:hAnsi="仿宋_GB2312" w:eastAsia="仿宋_GB2312" w:cs="仿宋_GB2312"/>
          <w:bCs/>
          <w:color w:val="auto"/>
          <w:sz w:val="32"/>
          <w:szCs w:val="32"/>
          <w:highlight w:val="none"/>
        </w:rPr>
        <w:t>00万元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对区级应用场景重大项目，按照不超过项目投资30%予以支持，最高</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00万元</w:t>
      </w:r>
      <w:r>
        <w:rPr>
          <w:rFonts w:hint="eastAsia" w:ascii="仿宋_GB2312" w:hAnsi="仿宋_GB2312" w:eastAsia="仿宋_GB2312" w:cs="仿宋_GB2312"/>
          <w:bCs/>
          <w:color w:val="auto"/>
          <w:sz w:val="32"/>
          <w:szCs w:val="32"/>
          <w:highlight w:val="none"/>
          <w:lang w:eastAsia="zh-CN"/>
        </w:rPr>
        <w:t>。</w:t>
      </w:r>
    </w:p>
    <w:p>
      <w:pPr>
        <w:widowControl/>
        <w:spacing w:line="560" w:lineRule="exact"/>
        <w:ind w:firstLine="642" w:firstLineChars="200"/>
        <w:jc w:val="both"/>
        <w:rPr>
          <w:rFonts w:hint="eastAsia" w:ascii="仿宋_GB2312" w:hAnsi="仿宋_GB2312" w:eastAsia="仿宋_GB2312" w:cs="仿宋_GB2312"/>
          <w:i w:val="0"/>
          <w:caps w:val="0"/>
          <w:color w:val="auto"/>
          <w:spacing w:val="0"/>
          <w:kern w:val="2"/>
          <w:sz w:val="32"/>
          <w:szCs w:val="32"/>
          <w:highlight w:val="none"/>
          <w:shd w:val="clear"/>
          <w:lang w:val="en-US" w:eastAsia="zh-CN" w:bidi="ar"/>
        </w:rPr>
      </w:pPr>
      <w:r>
        <w:rPr>
          <w:rFonts w:hint="eastAsia" w:ascii="仿宋_GB2312" w:hAnsi="仿宋_GB2312" w:eastAsia="仿宋_GB2312" w:cs="仿宋_GB2312"/>
          <w:b/>
          <w:color w:val="auto"/>
          <w:sz w:val="32"/>
          <w:szCs w:val="32"/>
          <w:highlight w:val="none"/>
        </w:rPr>
        <w:t>第</w:t>
      </w:r>
      <w:r>
        <w:rPr>
          <w:rFonts w:hint="eastAsia" w:ascii="仿宋_GB2312" w:hAnsi="仿宋_GB2312" w:eastAsia="仿宋_GB2312" w:cs="仿宋_GB2312"/>
          <w:b/>
          <w:color w:val="auto"/>
          <w:sz w:val="32"/>
          <w:szCs w:val="32"/>
          <w:highlight w:val="none"/>
          <w:lang w:val="en-US" w:eastAsia="zh-CN"/>
        </w:rPr>
        <w:t>九</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b/>
          <w:color w:val="auto"/>
          <w:sz w:val="32"/>
          <w:szCs w:val="32"/>
          <w:highlight w:val="none"/>
          <w:lang w:val="en-US" w:eastAsia="zh-CN"/>
        </w:rPr>
        <w:t>支持产业运营</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val="0"/>
          <w:bCs/>
          <w:color w:val="auto"/>
          <w:sz w:val="32"/>
          <w:szCs w:val="32"/>
          <w:highlight w:val="none"/>
        </w:rPr>
        <w:t>支持人形机器人产业基地运营机构提升专业服务能力，根据运营服务成效，经评审，予以</w:t>
      </w:r>
      <w:r>
        <w:rPr>
          <w:rFonts w:hint="eastAsia" w:ascii="仿宋_GB2312" w:hAnsi="仿宋_GB2312" w:eastAsia="仿宋_GB2312" w:cs="仿宋_GB2312"/>
          <w:b w:val="0"/>
          <w:bCs/>
          <w:color w:val="auto"/>
          <w:sz w:val="32"/>
          <w:szCs w:val="32"/>
          <w:highlight w:val="none"/>
          <w:lang w:eastAsia="zh-CN"/>
        </w:rPr>
        <w:t>年度运营经费支持，每年不超过</w:t>
      </w:r>
      <w:r>
        <w:rPr>
          <w:rFonts w:hint="eastAsia" w:ascii="仿宋_GB2312" w:hAnsi="仿宋_GB2312" w:eastAsia="仿宋_GB2312" w:cs="仿宋_GB2312"/>
          <w:b w:val="0"/>
          <w:bCs/>
          <w:color w:val="auto"/>
          <w:sz w:val="32"/>
          <w:szCs w:val="32"/>
          <w:highlight w:val="none"/>
          <w:lang w:val="en-US" w:eastAsia="zh-CN"/>
        </w:rPr>
        <w:t>1500万</w:t>
      </w:r>
      <w:r>
        <w:rPr>
          <w:rFonts w:hint="eastAsia" w:ascii="仿宋_GB2312" w:hAnsi="仿宋_GB2312" w:eastAsia="仿宋_GB2312" w:cs="仿宋_GB2312"/>
          <w:b w:val="0"/>
          <w:bCs/>
          <w:color w:val="auto"/>
          <w:sz w:val="32"/>
          <w:szCs w:val="32"/>
          <w:highlight w:val="none"/>
        </w:rPr>
        <w:t>，支持周期一般不超过3年。</w:t>
      </w:r>
    </w:p>
    <w:p>
      <w:pPr>
        <w:pStyle w:val="4"/>
        <w:spacing w:line="560" w:lineRule="exact"/>
        <w:ind w:firstLine="642" w:firstLineChars="20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第</w:t>
      </w:r>
      <w:r>
        <w:rPr>
          <w:rFonts w:hint="eastAsia" w:ascii="仿宋_GB2312" w:hAnsi="仿宋_GB2312" w:eastAsia="仿宋_GB2312" w:cs="仿宋_GB2312"/>
          <w:b/>
          <w:color w:val="auto"/>
          <w:sz w:val="32"/>
          <w:szCs w:val="32"/>
          <w:highlight w:val="none"/>
          <w:lang w:val="en-US" w:eastAsia="zh-CN"/>
        </w:rPr>
        <w:t>十</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b/>
          <w:color w:val="auto"/>
          <w:sz w:val="32"/>
          <w:szCs w:val="32"/>
          <w:highlight w:val="none"/>
          <w:lang w:val="en-US" w:eastAsia="zh-CN"/>
        </w:rPr>
        <w:t>加强</w:t>
      </w:r>
      <w:r>
        <w:rPr>
          <w:rFonts w:hint="eastAsia" w:ascii="仿宋_GB2312" w:hAnsi="仿宋_GB2312" w:eastAsia="仿宋_GB2312" w:cs="仿宋_GB2312"/>
          <w:b/>
          <w:color w:val="auto"/>
          <w:sz w:val="32"/>
          <w:szCs w:val="32"/>
          <w:highlight w:val="none"/>
        </w:rPr>
        <w:t>资本支撑。</w:t>
      </w:r>
      <w:r>
        <w:rPr>
          <w:rFonts w:hint="eastAsia" w:ascii="仿宋_GB2312" w:hAnsi="仿宋_GB2312" w:eastAsia="仿宋_GB2312" w:cs="仿宋_GB2312"/>
          <w:b w:val="0"/>
          <w:bCs/>
          <w:color w:val="auto"/>
          <w:sz w:val="32"/>
          <w:szCs w:val="32"/>
          <w:highlight w:val="none"/>
        </w:rPr>
        <w:t>设立石景山区人形机器人产业专项基金，联动市级政府</w:t>
      </w:r>
      <w:r>
        <w:rPr>
          <w:rFonts w:hint="eastAsia" w:ascii="仿宋_GB2312" w:hAnsi="仿宋_GB2312" w:eastAsia="仿宋_GB2312" w:cs="仿宋_GB2312"/>
          <w:b w:val="0"/>
          <w:bCs/>
          <w:color w:val="auto"/>
          <w:sz w:val="32"/>
          <w:szCs w:val="32"/>
          <w:highlight w:val="none"/>
          <w:lang w:val="en-US" w:eastAsia="zh-CN"/>
        </w:rPr>
        <w:t>投资</w:t>
      </w:r>
      <w:r>
        <w:rPr>
          <w:rFonts w:hint="eastAsia" w:ascii="仿宋_GB2312" w:hAnsi="仿宋_GB2312" w:eastAsia="仿宋_GB2312" w:cs="仿宋_GB2312"/>
          <w:b w:val="0"/>
          <w:bCs/>
          <w:color w:val="auto"/>
          <w:sz w:val="32"/>
          <w:szCs w:val="32"/>
          <w:highlight w:val="none"/>
        </w:rPr>
        <w:t>基金，坚持投早、投小、投硬科技，吸引社会资本以股权投资等方式参与产业孵化和企业培育，支持企业上市和融资发展，对获得市级政府</w:t>
      </w:r>
      <w:r>
        <w:rPr>
          <w:rFonts w:hint="eastAsia" w:ascii="仿宋_GB2312" w:hAnsi="仿宋_GB2312" w:eastAsia="仿宋_GB2312" w:cs="仿宋_GB2312"/>
          <w:b w:val="0"/>
          <w:bCs/>
          <w:color w:val="auto"/>
          <w:sz w:val="32"/>
          <w:szCs w:val="32"/>
          <w:highlight w:val="none"/>
          <w:lang w:val="en-US" w:eastAsia="zh-CN"/>
        </w:rPr>
        <w:t>投资</w:t>
      </w:r>
      <w:r>
        <w:rPr>
          <w:rFonts w:hint="eastAsia" w:ascii="仿宋_GB2312" w:hAnsi="仿宋_GB2312" w:eastAsia="仿宋_GB2312" w:cs="仿宋_GB2312"/>
          <w:b w:val="0"/>
          <w:bCs/>
          <w:color w:val="auto"/>
          <w:sz w:val="32"/>
          <w:szCs w:val="32"/>
          <w:highlight w:val="none"/>
        </w:rPr>
        <w:t>基金</w:t>
      </w:r>
      <w:r>
        <w:rPr>
          <w:rFonts w:hint="eastAsia" w:ascii="仿宋_GB2312" w:hAnsi="仿宋_GB2312" w:eastAsia="仿宋_GB2312" w:cs="仿宋_GB2312"/>
          <w:b w:val="0"/>
          <w:bCs/>
          <w:color w:val="auto"/>
          <w:sz w:val="32"/>
          <w:szCs w:val="32"/>
          <w:highlight w:val="none"/>
          <w:lang w:val="en-US" w:eastAsia="zh-CN"/>
        </w:rPr>
        <w:t>支持</w:t>
      </w:r>
      <w:r>
        <w:rPr>
          <w:rFonts w:hint="eastAsia" w:ascii="仿宋_GB2312" w:hAnsi="仿宋_GB2312" w:eastAsia="仿宋_GB2312" w:cs="仿宋_GB2312"/>
          <w:b w:val="0"/>
          <w:bCs/>
          <w:color w:val="auto"/>
          <w:sz w:val="32"/>
          <w:szCs w:val="32"/>
          <w:highlight w:val="none"/>
        </w:rPr>
        <w:t>的企业，区级基金</w:t>
      </w:r>
      <w:r>
        <w:rPr>
          <w:rFonts w:hint="eastAsia" w:ascii="仿宋_GB2312" w:hAnsi="仿宋_GB2312" w:eastAsia="仿宋_GB2312" w:cs="仿宋_GB2312"/>
          <w:b w:val="0"/>
          <w:bCs/>
          <w:color w:val="auto"/>
          <w:sz w:val="32"/>
          <w:szCs w:val="32"/>
          <w:highlight w:val="none"/>
          <w:lang w:val="en-US" w:eastAsia="zh-CN"/>
        </w:rPr>
        <w:t>优先</w:t>
      </w:r>
      <w:r>
        <w:rPr>
          <w:rFonts w:hint="eastAsia" w:ascii="仿宋_GB2312" w:hAnsi="仿宋_GB2312" w:eastAsia="仿宋_GB2312" w:cs="仿宋_GB2312"/>
          <w:b w:val="0"/>
          <w:bCs/>
          <w:color w:val="auto"/>
          <w:sz w:val="32"/>
          <w:szCs w:val="32"/>
          <w:highlight w:val="none"/>
          <w:lang w:eastAsia="zh-CN"/>
        </w:rPr>
        <w:t>予以</w:t>
      </w:r>
      <w:r>
        <w:rPr>
          <w:rFonts w:hint="eastAsia" w:ascii="仿宋_GB2312" w:hAnsi="仿宋_GB2312" w:eastAsia="仿宋_GB2312" w:cs="仿宋_GB2312"/>
          <w:b w:val="0"/>
          <w:bCs/>
          <w:color w:val="auto"/>
          <w:sz w:val="32"/>
          <w:szCs w:val="32"/>
          <w:highlight w:val="none"/>
        </w:rPr>
        <w:t>支持。</w:t>
      </w:r>
    </w:p>
    <w:p>
      <w:pPr>
        <w:pStyle w:val="4"/>
        <w:spacing w:line="560" w:lineRule="exact"/>
        <w:ind w:firstLine="642" w:firstLineChars="20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第</w:t>
      </w:r>
      <w:r>
        <w:rPr>
          <w:rFonts w:hint="eastAsia" w:ascii="仿宋_GB2312" w:hAnsi="仿宋_GB2312" w:eastAsia="仿宋_GB2312" w:cs="仿宋_GB2312"/>
          <w:b/>
          <w:color w:val="auto"/>
          <w:sz w:val="32"/>
          <w:szCs w:val="32"/>
          <w:highlight w:val="none"/>
          <w:lang w:val="en-US" w:eastAsia="zh-CN"/>
        </w:rPr>
        <w:t>十一</w:t>
      </w:r>
      <w:r>
        <w:rPr>
          <w:rFonts w:hint="eastAsia" w:ascii="仿宋_GB2312" w:hAnsi="仿宋_GB2312" w:eastAsia="仿宋_GB2312" w:cs="仿宋_GB2312"/>
          <w:b/>
          <w:color w:val="auto"/>
          <w:sz w:val="32"/>
          <w:szCs w:val="32"/>
          <w:highlight w:val="none"/>
        </w:rPr>
        <w:t>条 支持人才引育。</w:t>
      </w:r>
      <w:r>
        <w:rPr>
          <w:rFonts w:hint="eastAsia" w:ascii="仿宋_GB2312" w:hAnsi="仿宋_GB2312" w:eastAsia="仿宋_GB2312" w:cs="仿宋_GB2312"/>
          <w:b w:val="0"/>
          <w:bCs/>
          <w:color w:val="auto"/>
          <w:sz w:val="32"/>
          <w:szCs w:val="32"/>
          <w:highlight w:val="none"/>
          <w:lang w:val="en-US" w:eastAsia="zh-CN"/>
        </w:rPr>
        <w:t>加大人才引进力度，鼓励人形机器人领域高精尖人才团队落地发展。用好“景贤计划”，</w:t>
      </w:r>
      <w:r>
        <w:rPr>
          <w:rFonts w:hint="eastAsia" w:ascii="仿宋_GB2312" w:hAnsi="仿宋_GB2312" w:eastAsia="仿宋_GB2312" w:cs="仿宋_GB2312"/>
          <w:b w:val="0"/>
          <w:bCs w:val="0"/>
          <w:color w:val="auto"/>
          <w:sz w:val="32"/>
          <w:szCs w:val="48"/>
          <w:highlight w:val="none"/>
          <w:lang w:eastAsia="zh-CN"/>
        </w:rPr>
        <w:t>针对人才落户、</w:t>
      </w:r>
      <w:r>
        <w:rPr>
          <w:rFonts w:hint="eastAsia" w:ascii="仿宋_GB2312" w:hAnsi="仿宋_GB2312" w:eastAsia="仿宋_GB2312" w:cs="仿宋_GB2312"/>
          <w:b w:val="0"/>
          <w:bCs w:val="0"/>
          <w:color w:val="auto"/>
          <w:sz w:val="32"/>
          <w:szCs w:val="48"/>
          <w:highlight w:val="none"/>
          <w:lang w:val="en-US" w:eastAsia="zh-CN"/>
        </w:rPr>
        <w:t>住房</w:t>
      </w:r>
      <w:r>
        <w:rPr>
          <w:rFonts w:hint="eastAsia" w:ascii="仿宋_GB2312" w:hAnsi="仿宋_GB2312" w:eastAsia="仿宋_GB2312" w:cs="仿宋_GB2312"/>
          <w:b w:val="0"/>
          <w:bCs w:val="0"/>
          <w:color w:val="auto"/>
          <w:sz w:val="32"/>
          <w:szCs w:val="48"/>
          <w:highlight w:val="none"/>
          <w:lang w:eastAsia="zh-CN"/>
        </w:rPr>
        <w:t>、子女教育等给予服务保障。</w:t>
      </w:r>
    </w:p>
    <w:p>
      <w:pPr>
        <w:pStyle w:val="4"/>
        <w:spacing w:line="560" w:lineRule="exact"/>
        <w:ind w:firstLine="642" w:firstLineChars="200"/>
        <w:rPr>
          <w:rFonts w:hint="default"/>
          <w:lang w:val="en-US" w:eastAsia="zh-CN"/>
        </w:rPr>
      </w:pPr>
      <w:r>
        <w:rPr>
          <w:rFonts w:hint="eastAsia" w:ascii="仿宋_GB2312" w:hAnsi="仿宋_GB2312" w:eastAsia="仿宋_GB2312" w:cs="仿宋_GB2312"/>
          <w:b/>
          <w:bCs w:val="0"/>
          <w:color w:val="auto"/>
          <w:sz w:val="32"/>
          <w:szCs w:val="32"/>
          <w:highlight w:val="none"/>
          <w:lang w:val="en-US" w:eastAsia="zh-CN"/>
        </w:rPr>
        <w:t>第十二条</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6"/>
          <w:highlight w:val="none"/>
        </w:rPr>
        <w:t>优化服务环境。</w:t>
      </w:r>
      <w:r>
        <w:rPr>
          <w:rFonts w:hint="eastAsia" w:ascii="仿宋_GB2312" w:hAnsi="仿宋_GB2312" w:eastAsia="仿宋_GB2312" w:cs="仿宋_GB2312"/>
          <w:b w:val="0"/>
          <w:bCs w:val="0"/>
          <w:color w:val="auto"/>
          <w:sz w:val="32"/>
          <w:szCs w:val="32"/>
          <w:highlight w:val="none"/>
          <w:lang w:eastAsia="zh-CN"/>
        </w:rPr>
        <w:t>支持为人形机器人领域企业配备服务管家。提升服务精准性，扩大服务覆盖面，为产业发展营造良好营商环境。</w:t>
      </w:r>
    </w:p>
    <w:p>
      <w:pPr>
        <w:keepNext w:val="0"/>
        <w:keepLines w:val="0"/>
        <w:pageBreakBefore w:val="0"/>
        <w:kinsoku/>
        <w:wordWrap/>
        <w:overflowPunct/>
        <w:topLinePunct w:val="0"/>
        <w:autoSpaceDE/>
        <w:autoSpaceDN/>
        <w:bidi w:val="0"/>
        <w:adjustRightInd/>
        <w:snapToGrid/>
        <w:spacing w:line="560" w:lineRule="exact"/>
        <w:ind w:firstLine="642"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中所称补贴、奖励等资金按照“从优不重复”原则支持，享受本办法支持的单位，不再同时享受本区其他同一类型的政策奖励。由石景山园管委会区科委发布申报通知，申报单位按照申报通知提交申报书及相关证明材料。</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（一）有以下情况之一者不予支持：</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1.申请不符合申报通知规定条件的；</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2.超过规定期限的；</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3.提交的材料弄虚作假的；</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4.近两年被列为失信被执行人或被列入政府采购严重违法失信行为记录名单的；</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5.近两年受到行政处罚的。</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（二）石景山园管委会区科委组织专家评审，给出评审意见，按“三重一大”要求审议后，形成拟支持名单和资金，报区政府审议批准后，由区财政局拨付。</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val="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获得支持的申报单位应接受区财政局、石景山园管委会区科委的监督检查，并接受审计部门的审计检查。如出现弄虚作假骗取资金支持的，应在石景山园管委会区科委要求的期限内原路径退回支持资金，且三年内不予受理申请</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contextualSpacing w:val="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highlight w:val="none"/>
          <w:lang w:eastAsia="zh-CN"/>
        </w:rPr>
        <w:t>第十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本办法由</w:t>
      </w:r>
      <w:r>
        <w:rPr>
          <w:rFonts w:hint="default" w:ascii="Times New Roman" w:hAnsi="Times New Roman" w:eastAsia="仿宋_GB2312" w:cs="Times New Roman"/>
          <w:sz w:val="32"/>
          <w:szCs w:val="32"/>
        </w:rPr>
        <w:t>中关村科技园区石景山园管理委员会北京市石景山区科学技术委员会</w:t>
      </w:r>
      <w:r>
        <w:rPr>
          <w:rFonts w:hint="eastAsia" w:ascii="仿宋_GB2312" w:hAnsi="仿宋_GB2312" w:eastAsia="仿宋_GB2312" w:cs="仿宋_GB2312"/>
          <w:color w:val="auto"/>
          <w:sz w:val="32"/>
          <w:szCs w:val="32"/>
          <w:highlight w:val="none"/>
          <w:lang w:eastAsia="zh-CN"/>
        </w:rPr>
        <w:t>负责解释，自发布之日起生效。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长城小标宋体">
    <w:altName w:val="方正小标宋简体"/>
    <w:panose1 w:val="02010609010101010101"/>
    <w:charset w:val="00"/>
    <w:family w:val="moder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5491F"/>
    <w:rsid w:val="BBEF0FC6"/>
    <w:rsid w:val="BF75491F"/>
    <w:rsid w:val="EFFF0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3"/>
    <w:next w:val="1"/>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paragraph" w:styleId="3">
    <w:name w:val="heading 5"/>
    <w:basedOn w:val="1"/>
    <w:next w:val="1"/>
    <w:qFormat/>
    <w:uiPriority w:val="0"/>
    <w:pPr>
      <w:ind w:left="1400" w:hanging="400"/>
      <w:outlineLvl w:val="4"/>
    </w:pPr>
    <w:rPr>
      <w:rFonts w:ascii="Calibri" w:hAnsi="Calibri" w:eastAsia="宋体"/>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index heading"/>
    <w:basedOn w:val="1"/>
    <w:next w:val="5"/>
    <w:qFormat/>
    <w:uiPriority w:val="99"/>
    <w:rPr>
      <w:rFonts w:ascii="Arial" w:hAnsi="Arial"/>
      <w:b/>
    </w:rPr>
  </w:style>
  <w:style w:type="paragraph" w:styleId="5">
    <w:name w:val="index 1"/>
    <w:basedOn w:val="1"/>
    <w:next w:val="1"/>
    <w:qFormat/>
    <w:uiPriority w:val="99"/>
  </w:style>
  <w:style w:type="paragraph" w:styleId="6">
    <w:name w:val="Body Text First Indent 2"/>
    <w:basedOn w:val="1"/>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2024-11-09T04:43:00Z</dcterms:created>
  <dc:creator>uos</dc:creator>
  <cp:lastModifiedBy>uos</cp:lastModifiedBy>
  <dcterms:modified xsi:type="dcterms:W3CDTF">2024-11-08T12:54:10Z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98C4E7114B9CAB18F7962D673778209F_41</vt:lpwstr>
  </property>
</Properties>
</file>