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40B54"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 w14:paraId="2758FE2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朝阳区关于规范支持零工市场</w:t>
      </w:r>
    </w:p>
    <w:p w14:paraId="7F608A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建设的实施办法</w:t>
      </w:r>
    </w:p>
    <w:p w14:paraId="3B8C1CA0">
      <w:pPr>
        <w:spacing w:line="620" w:lineRule="exact"/>
        <w:jc w:val="center"/>
        <w:rPr>
          <w:rFonts w:ascii="黑体" w:hAnsi="黑体" w:eastAsia="黑体"/>
          <w:sz w:val="36"/>
          <w:szCs w:val="36"/>
        </w:rPr>
      </w:pPr>
    </w:p>
    <w:p w14:paraId="0D0BA7FC">
      <w:pPr>
        <w:spacing w:beforeLines="50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总则</w:t>
      </w:r>
    </w:p>
    <w:p w14:paraId="723256F6">
      <w:pPr>
        <w:spacing w:line="560" w:lineRule="exact"/>
        <w:ind w:firstLine="630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为深入贯彻落实人力资源社会保障部、民政部等五部委《关于加强零工市场建设完善求职招聘服务的意见》（人社部发</w:t>
      </w:r>
      <w:r>
        <w:rPr>
          <w:rFonts w:hint="eastAsia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38号）、人力资源社会保障部《关于加强零工市场规范化建设的通知》（人社部发</w:t>
      </w:r>
      <w:r>
        <w:rPr>
          <w:rFonts w:hint="eastAsia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65号）和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北京市人力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《关于规范建设零工市场的指导意见》（京人社部就发</w:t>
      </w:r>
      <w:r>
        <w:rPr>
          <w:rFonts w:hint="eastAsia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6号）等文件要求，促进零工市场规范健康发展，充分发挥市场配置人力资源的有效作用，</w:t>
      </w:r>
      <w:r>
        <w:rPr>
          <w:rFonts w:ascii="仿宋_GB2312" w:hAnsi="仿宋_GB2312" w:eastAsia="仿宋_GB2312" w:cs="仿宋_GB2312"/>
          <w:sz w:val="32"/>
          <w:szCs w:val="32"/>
        </w:rPr>
        <w:t>支持多渠道灵活就业，提高劳动者就业水平。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结合朝阳区实际，特制订本办法。</w:t>
      </w:r>
    </w:p>
    <w:p w14:paraId="7246BCD7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服务规范</w:t>
      </w:r>
    </w:p>
    <w:p w14:paraId="01DD9C5F">
      <w:pPr>
        <w:spacing w:line="560" w:lineRule="exact"/>
        <w:ind w:firstLine="630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第二条  </w:t>
      </w:r>
      <w:r>
        <w:rPr>
          <w:rFonts w:ascii="仿宋_GB2312" w:hAnsi="仿宋_GB2312" w:eastAsia="仿宋_GB2312" w:cs="仿宋_GB2312"/>
          <w:sz w:val="32"/>
          <w:szCs w:val="32"/>
        </w:rPr>
        <w:t>零工市场为用工主体和零工人员提供就业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服务。重点提供：零工供求信息撮合服务；培训需求信息收集服务；就业技能培训和就业创业培训信息推介等服务；权益维护指引服务等。</w:t>
      </w:r>
      <w:r>
        <w:rPr>
          <w:rFonts w:ascii="仿宋_GB2312" w:hAnsi="仿宋_GB2312" w:eastAsia="仿宋_GB2312" w:cs="仿宋_GB2312"/>
          <w:sz w:val="32"/>
          <w:szCs w:val="32"/>
        </w:rPr>
        <w:t>零工市场纳入本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公共就业服务范畴。</w:t>
      </w:r>
    </w:p>
    <w:p w14:paraId="5332DCB8">
      <w:pPr>
        <w:pStyle w:val="2"/>
        <w:spacing w:line="560" w:lineRule="exact"/>
        <w:ind w:firstLine="626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第三条  </w:t>
      </w:r>
      <w:r>
        <w:rPr>
          <w:rFonts w:ascii="仿宋_GB2312" w:hAnsi="仿宋_GB2312" w:eastAsia="仿宋_GB2312" w:cs="仿宋_GB2312"/>
          <w:sz w:val="32"/>
          <w:szCs w:val="32"/>
        </w:rPr>
        <w:t>坚持市场与公共服务统筹、线上与线下服务互补</w:t>
      </w:r>
      <w:r>
        <w:rPr>
          <w:rFonts w:hint="eastAsia" w:ascii="仿宋_GB2312" w:hAnsi="仿宋_GB2312" w:eastAsia="仿宋_GB2312" w:cs="仿宋_GB2312"/>
          <w:sz w:val="32"/>
          <w:szCs w:val="32"/>
        </w:rPr>
        <w:t>，打造以区级综合性零工市场为中心、43个街乡为辐射、社区园区广泛布点的朝阳区“1+43+N”零工市场就业服务体系。区级、街乡公共就业服务机构设立</w:t>
      </w:r>
      <w:r>
        <w:rPr>
          <w:rFonts w:ascii="仿宋_GB2312" w:hAnsi="仿宋_GB2312" w:eastAsia="仿宋_GB2312" w:cs="仿宋_GB2312"/>
          <w:sz w:val="32"/>
          <w:szCs w:val="32"/>
        </w:rPr>
        <w:t>零工服务专区或窗口，为零工人员提供“一站式”服务。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多渠道布点零工市场（驿站），</w:t>
      </w:r>
      <w:r>
        <w:rPr>
          <w:rFonts w:ascii="仿宋_GB2312" w:hAnsi="仿宋_GB2312" w:eastAsia="仿宋_GB2312" w:cs="仿宋_GB2312"/>
          <w:sz w:val="32"/>
          <w:szCs w:val="32"/>
        </w:rPr>
        <w:t>充分利用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社区（村）</w:t>
      </w:r>
      <w:r>
        <w:rPr>
          <w:rFonts w:ascii="仿宋_GB2312" w:hAnsi="仿宋_GB2312" w:eastAsia="仿宋_GB2312" w:cs="仿宋_GB2312"/>
          <w:sz w:val="32"/>
          <w:szCs w:val="32"/>
        </w:rPr>
        <w:t>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党群服务中心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、园区街区等各类场地资源，开设</w:t>
      </w:r>
      <w:r>
        <w:rPr>
          <w:rFonts w:ascii="仿宋_GB2312" w:hAnsi="仿宋_GB2312" w:eastAsia="仿宋_GB2312" w:cs="仿宋_GB2312"/>
          <w:sz w:val="32"/>
          <w:szCs w:val="32"/>
        </w:rPr>
        <w:t>零工</w:t>
      </w:r>
      <w:r>
        <w:rPr>
          <w:rFonts w:eastAsia="仿宋_GB2312"/>
          <w:sz w:val="32"/>
          <w:szCs w:val="32"/>
        </w:rPr>
        <w:t>对接服务专区或分时分区共享场地设施，</w:t>
      </w:r>
      <w:r>
        <w:rPr>
          <w:rFonts w:hint="eastAsia" w:eastAsia="仿宋_GB2312"/>
          <w:sz w:val="32"/>
          <w:szCs w:val="32"/>
        </w:rPr>
        <w:t>就近就便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提供零工撮合服务。</w:t>
      </w:r>
    </w:p>
    <w:p w14:paraId="1C776401">
      <w:pPr>
        <w:spacing w:line="560" w:lineRule="exact"/>
        <w:ind w:firstLine="630" w:firstLineChars="196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第四条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规范零工市场建设，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零工市场服务场所应配置满足需求的场地区域、设施设备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及标识，</w:t>
      </w:r>
      <w:r>
        <w:rPr>
          <w:rFonts w:ascii="仿宋_GB2312" w:hAnsi="仿宋_GB2312" w:eastAsia="仿宋_GB2312" w:cs="仿宋_GB2312"/>
          <w:sz w:val="32"/>
          <w:szCs w:val="32"/>
        </w:rPr>
        <w:t>能够容纳一定数量人员开展对接洽谈活动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。建立健全工作规章制度，统一业务流程和服务标准，主动公开服务项目、</w:t>
      </w:r>
      <w:r>
        <w:rPr>
          <w:rFonts w:ascii="仿宋_GB2312" w:hAnsi="仿宋_GB2312" w:eastAsia="仿宋_GB2312" w:cs="仿宋_GB2312"/>
          <w:sz w:val="32"/>
          <w:szCs w:val="32"/>
        </w:rPr>
        <w:t>规章制度、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办事指南、服务热线和投诉举报渠道等事项。加强专兼职工作人员队伍建设，明确工作岗位职责，</w:t>
      </w:r>
      <w:r>
        <w:rPr>
          <w:rFonts w:ascii="仿宋_GB2312" w:hAnsi="仿宋_GB2312" w:eastAsia="仿宋_GB2312" w:cs="仿宋_GB2312"/>
          <w:sz w:val="32"/>
          <w:szCs w:val="32"/>
        </w:rPr>
        <w:t>开展常态化能力培养，规范服务行为。</w:t>
      </w:r>
    </w:p>
    <w:p w14:paraId="681D03ED">
      <w:pPr>
        <w:spacing w:line="560" w:lineRule="exact"/>
        <w:ind w:firstLine="630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零工市场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应大力开发适合城乡就业困难人员的用工任务，积极帮助就业困难人员和重点群体通过零工方式实现就业增收。</w:t>
      </w:r>
      <w:r>
        <w:rPr>
          <w:rFonts w:ascii="仿宋_GB2312" w:hAnsi="仿宋_GB2312" w:eastAsia="仿宋_GB2312" w:cs="仿宋_GB2312"/>
          <w:sz w:val="32"/>
          <w:szCs w:val="32"/>
        </w:rPr>
        <w:t>可与职业培训机构、职业院校等合作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向零工人员提供市场急需、紧缺用工的培训信息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、教程等</w:t>
      </w:r>
      <w:r>
        <w:rPr>
          <w:rFonts w:ascii="仿宋_GB2312" w:hAnsi="仿宋_GB2312" w:eastAsia="仿宋_GB2312" w:cs="仿宋_GB2312"/>
          <w:sz w:val="32"/>
          <w:szCs w:val="32"/>
        </w:rPr>
        <w:t>，增强劳动者就业能力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。可逐步</w:t>
      </w:r>
      <w:r>
        <w:rPr>
          <w:rFonts w:ascii="仿宋_GB2312" w:hAnsi="仿宋_GB2312" w:eastAsia="仿宋_GB2312" w:cs="仿宋_GB2312"/>
          <w:sz w:val="32"/>
          <w:szCs w:val="32"/>
        </w:rPr>
        <w:t>开辟劳动维权、争议纠纷调解通道，引入法律援助服务，有效维护市场供求双方的合法权益。</w:t>
      </w:r>
    </w:p>
    <w:p w14:paraId="5E52BB6A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支持发展数智零工市场，</w:t>
      </w:r>
      <w:r>
        <w:rPr>
          <w:rFonts w:ascii="Times New Roman" w:hAnsi="Times New Roman" w:eastAsia="仿宋_GB2312"/>
          <w:sz w:val="32"/>
          <w:szCs w:val="32"/>
        </w:rPr>
        <w:t>适应新业态、新行业发展趋势，</w:t>
      </w:r>
      <w:r>
        <w:rPr>
          <w:rFonts w:hint="eastAsia" w:ascii="Times New Roman" w:hAnsi="Times New Roman" w:eastAsia="仿宋_GB231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搭建线上供求匹配平台</w:t>
      </w:r>
      <w:r>
        <w:rPr>
          <w:rFonts w:hint="eastAsia" w:ascii="Times New Roman" w:hAnsi="Times New Roman" w:eastAsia="仿宋_GB2312"/>
          <w:sz w:val="32"/>
          <w:szCs w:val="32"/>
        </w:rPr>
        <w:t>。支持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提供线上求职、招聘登记、应聘报名、在线交流对接、结果确认等 “一网通办”服务，</w:t>
      </w:r>
      <w:r>
        <w:rPr>
          <w:rFonts w:ascii="Times New Roman" w:hAnsi="Times New Roman" w:eastAsia="仿宋_GB2312"/>
          <w:sz w:val="32"/>
          <w:szCs w:val="32"/>
        </w:rPr>
        <w:t>为灵活就业人员和用工主体提供便捷高效服务。</w:t>
      </w:r>
    </w:p>
    <w:p w14:paraId="33FE8DB4">
      <w:pPr>
        <w:spacing w:line="560" w:lineRule="exact"/>
        <w:ind w:firstLine="630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零工市场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信息审核力度，确保供求信息真实有效。健全信息更新制度，明确发布时效和撤销清理规则。加大信息安全管理，杜绝信息泄露和违法使用。增强信息采集应用，做好零工人员信息、用工任务、匹配结果信息、报酬价位信息等数据整理归集工作。</w:t>
      </w:r>
    </w:p>
    <w:p w14:paraId="3E0C71CA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建设和补贴标准</w:t>
      </w:r>
    </w:p>
    <w:p w14:paraId="5A8BC4BA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第八条  </w:t>
      </w:r>
      <w:r>
        <w:rPr>
          <w:rFonts w:hint="eastAsia" w:ascii="仿宋_GB2312" w:hAnsi="黑体" w:eastAsia="仿宋_GB2312"/>
          <w:sz w:val="32"/>
          <w:szCs w:val="32"/>
        </w:rPr>
        <w:t>积极</w:t>
      </w:r>
      <w:r>
        <w:rPr>
          <w:rFonts w:hint="eastAsia" w:ascii="Times New Roman" w:hAnsi="Times New Roman" w:eastAsia="仿宋_GB2312"/>
          <w:sz w:val="32"/>
          <w:szCs w:val="32"/>
        </w:rPr>
        <w:t>鼓励人力资源服务机构参与零工市场建设和运营管理，依法依规提供招聘求职对接服务。</w:t>
      </w:r>
      <w:r>
        <w:rPr>
          <w:rFonts w:hint="eastAsia" w:ascii="仿宋_GB2312" w:hAnsi="黑体" w:eastAsia="仿宋_GB2312"/>
          <w:sz w:val="32"/>
          <w:szCs w:val="32"/>
        </w:rPr>
        <w:t>满足以下条件的，经朝阳</w:t>
      </w:r>
      <w:r>
        <w:rPr>
          <w:rFonts w:ascii="仿宋_GB2312" w:hAnsi="黑体" w:eastAsia="仿宋_GB2312"/>
          <w:sz w:val="32"/>
          <w:szCs w:val="32"/>
        </w:rPr>
        <w:t>区</w:t>
      </w:r>
      <w:r>
        <w:rPr>
          <w:rFonts w:hint="eastAsia" w:ascii="仿宋_GB2312" w:hAnsi="黑体" w:eastAsia="仿宋_GB2312"/>
          <w:sz w:val="32"/>
          <w:szCs w:val="32"/>
        </w:rPr>
        <w:t>人力社保局核准，可认定为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朝阳区**零工市场（驿站）（附件1）。</w:t>
      </w:r>
    </w:p>
    <w:p w14:paraId="0755654B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朝阳区零工人员聚集、服务需求集中区域建立零工市场（驿站），具备专门、固定的服务场地，设置遮风避雨、防暑防寒等基础设置设备，配备专职或兼职人员开展工作，具备建立健全的工作规章制度、服务内容、服务标准等；</w:t>
      </w:r>
    </w:p>
    <w:p w14:paraId="05B0BBC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（二）同步搭建线上供求匹配平台</w:t>
      </w:r>
      <w:r>
        <w:rPr>
          <w:rFonts w:hint="eastAsia" w:ascii="Times New Roman" w:hAnsi="Times New Roman" w:eastAsia="仿宋_GB2312"/>
          <w:sz w:val="32"/>
          <w:szCs w:val="32"/>
        </w:rPr>
        <w:t>，可在线开展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求职、招聘等零工就业服务，并可实现线上服务成果追踪统计；</w:t>
      </w:r>
    </w:p>
    <w:p w14:paraId="4C3C92B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sz w:val="32"/>
          <w:szCs w:val="32"/>
        </w:rPr>
        <w:t>开展零工市场建设和运营管理的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机构，应为灵活用工服务业态被评定为朝阳区B级及以上的人力资源机构（含其下属分、子公司），并具有灵活用工领域成功实施经验，针对零工人员提供信息撮合、供求对接服务均应为免费服务。</w:t>
      </w:r>
    </w:p>
    <w:p w14:paraId="3502694C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第九条 </w:t>
      </w:r>
      <w:r>
        <w:rPr>
          <w:rFonts w:hint="eastAsia" w:ascii="仿宋_GB2312" w:hAnsi="黑体" w:eastAsia="仿宋_GB2312"/>
          <w:sz w:val="32"/>
          <w:szCs w:val="32"/>
        </w:rPr>
        <w:t xml:space="preserve"> 经认定的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**零工市场（驿站），年度内发布在京就业岗位累计需求人数不少于5000人、成功提供撮合服务不少于1000个次（服务以时长计算的，按照8小时=1个次计算），经区人力社保局审核通过，可按20万元/年标准予以运营经费补贴。</w:t>
      </w:r>
    </w:p>
    <w:p w14:paraId="4B410E48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第十条  </w:t>
      </w:r>
      <w:r>
        <w:rPr>
          <w:rFonts w:hint="eastAsia" w:ascii="仿宋_GB2312" w:hAnsi="黑体" w:eastAsia="仿宋_GB2312"/>
          <w:sz w:val="32"/>
          <w:szCs w:val="32"/>
        </w:rPr>
        <w:t>鼓励</w:t>
      </w:r>
      <w:r>
        <w:rPr>
          <w:rFonts w:hint="eastAsia" w:ascii="Times New Roman" w:hAnsi="Times New Roman" w:eastAsia="仿宋_GB2312"/>
          <w:sz w:val="32"/>
          <w:szCs w:val="32"/>
        </w:rPr>
        <w:t>零工市场提升撮合服务实效。</w:t>
      </w:r>
      <w:r>
        <w:rPr>
          <w:rFonts w:hint="eastAsia" w:ascii="仿宋_GB2312" w:hAnsi="黑体" w:eastAsia="仿宋_GB2312"/>
          <w:sz w:val="32"/>
          <w:szCs w:val="32"/>
        </w:rPr>
        <w:t>符合运营经费补贴标准的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零工市场（驿站），年度内成功提供撮合服务5000个次的，可给予10万元就业服务补贴。在此基础上，撮合服务每达到5000个次，给予10万元就业服务补贴。同一人力资源机构1个自然年度内享受就业服务补贴最高不超过50万元。     </w:t>
      </w:r>
    </w:p>
    <w:p w14:paraId="6F918159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资金申请、拨付和管理</w:t>
      </w:r>
    </w:p>
    <w:p w14:paraId="165583E4">
      <w:pPr>
        <w:spacing w:line="560" w:lineRule="exact"/>
        <w:ind w:firstLine="643" w:firstLineChars="200"/>
        <w:jc w:val="left"/>
        <w:rPr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第十一条  </w:t>
      </w:r>
      <w:r>
        <w:rPr>
          <w:rFonts w:hint="eastAsia" w:ascii="仿宋_GB2312" w:hAnsi="黑体" w:eastAsia="仿宋_GB2312"/>
          <w:bCs/>
          <w:sz w:val="32"/>
          <w:szCs w:val="32"/>
        </w:rPr>
        <w:t>符合补贴标准的朝阳区零工市</w:t>
      </w:r>
      <w:r>
        <w:rPr>
          <w:rFonts w:hint="eastAsia" w:ascii="仿宋_GB2312" w:hAnsi="黑体" w:eastAsia="仿宋_GB2312"/>
          <w:sz w:val="32"/>
          <w:szCs w:val="32"/>
        </w:rPr>
        <w:t>场（驿站），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人力资源机构</w:t>
      </w:r>
      <w:r>
        <w:rPr>
          <w:rFonts w:hint="eastAsia" w:ascii="仿宋_GB2312" w:eastAsia="仿宋_GB2312"/>
          <w:sz w:val="32"/>
          <w:szCs w:val="32"/>
        </w:rPr>
        <w:t>按年度向区人力社保局申请运营经费补贴、就业服务补贴，</w:t>
      </w:r>
      <w:r>
        <w:rPr>
          <w:rFonts w:hint="eastAsia" w:ascii="仿宋_GB2312" w:hAnsi="黑体" w:eastAsia="仿宋_GB2312"/>
          <w:sz w:val="32"/>
          <w:szCs w:val="32"/>
        </w:rPr>
        <w:t>应于每年4月30日前提交完成上年度补贴申请材料。</w:t>
      </w:r>
    </w:p>
    <w:p w14:paraId="6B596A22">
      <w:pPr>
        <w:spacing w:line="56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 运营经费补贴需提交材料包括：</w:t>
      </w:r>
    </w:p>
    <w:p w14:paraId="44D8A308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黑体" w:eastAsia="仿宋_GB2312"/>
          <w:sz w:val="32"/>
          <w:szCs w:val="32"/>
        </w:rPr>
        <w:t>**年度朝阳区**零工市场（驿站）运营经费补贴申请报告（附件2）；</w:t>
      </w:r>
    </w:p>
    <w:p w14:paraId="7CE39119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黑体" w:eastAsia="仿宋_GB2312"/>
          <w:sz w:val="32"/>
          <w:szCs w:val="32"/>
        </w:rPr>
        <w:t>发布岗位（任务）明细表（附件4）；</w:t>
      </w:r>
    </w:p>
    <w:p w14:paraId="3444E33C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（三）撮合服务成功人员花名册，支付凭证佐证（线上转账记录、银行卡等）（附件5）；</w:t>
      </w:r>
    </w:p>
    <w:p w14:paraId="2B09038C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（四）区人力社保局要求提交的其他材料。</w:t>
      </w:r>
    </w:p>
    <w:p w14:paraId="696258D7">
      <w:pPr>
        <w:pStyle w:val="2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第十三条  </w:t>
      </w:r>
      <w:r>
        <w:rPr>
          <w:rFonts w:hint="eastAsia" w:ascii="仿宋_GB2312" w:eastAsia="仿宋_GB2312"/>
          <w:sz w:val="32"/>
          <w:szCs w:val="32"/>
        </w:rPr>
        <w:t>就业服务补贴需提交材料包括：</w:t>
      </w:r>
    </w:p>
    <w:p w14:paraId="546825FA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黑体" w:eastAsia="仿宋_GB2312"/>
          <w:sz w:val="32"/>
          <w:szCs w:val="32"/>
        </w:rPr>
        <w:t>**年度朝阳区**零工市场（驿站）就业服务补贴申请报告（附件3）；</w:t>
      </w:r>
    </w:p>
    <w:p w14:paraId="56F2ED13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（二）撮合服务成功人员花名册，支付凭证佐证（线上转账记录、银行卡等）（附件5）；</w:t>
      </w:r>
    </w:p>
    <w:p w14:paraId="26BB80B0">
      <w:pPr>
        <w:pStyle w:val="2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（三）区人力社保局要求提交的其他材料。</w:t>
      </w:r>
    </w:p>
    <w:p w14:paraId="0DCAC03D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第十四条  </w:t>
      </w:r>
      <w:r>
        <w:rPr>
          <w:rFonts w:hint="eastAsia" w:ascii="仿宋_GB2312" w:hAnsi="黑体" w:eastAsia="仿宋_GB2312"/>
          <w:sz w:val="32"/>
          <w:szCs w:val="32"/>
        </w:rPr>
        <w:t>区人力社保局负责受理、审核材料及相关情况，将补贴信息进行公示。公示无异议后及时拨付补贴资金，并将申请材料妥善保存备查。</w:t>
      </w:r>
    </w:p>
    <w:p w14:paraId="6E9EE7FA"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第十五条  </w:t>
      </w:r>
      <w:r>
        <w:rPr>
          <w:rFonts w:hint="eastAsia" w:ascii="仿宋_GB2312" w:hAnsi="黑体" w:eastAsia="仿宋_GB2312"/>
          <w:sz w:val="32"/>
          <w:szCs w:val="32"/>
        </w:rPr>
        <w:t>申请补贴的人力资源机构应对所提交材料的真实性承担法律责任，并按要求配合区级人社部门开展核查工作。补贴对象以欺诈、伪造证明材料或其他手段骗取补贴的，一经查实，由区级人社部门取消补贴</w:t>
      </w:r>
      <w:r>
        <w:rPr>
          <w:rFonts w:ascii="仿宋_GB2312" w:hAnsi="黑体" w:eastAsia="仿宋_GB2312"/>
          <w:sz w:val="32"/>
          <w:szCs w:val="32"/>
        </w:rPr>
        <w:t>享受资格</w:t>
      </w:r>
      <w:r>
        <w:rPr>
          <w:rFonts w:hint="eastAsia" w:ascii="仿宋_GB2312" w:hAnsi="黑体" w:eastAsia="仿宋_GB2312"/>
          <w:sz w:val="32"/>
          <w:szCs w:val="32"/>
        </w:rPr>
        <w:t>，追回资金；</w:t>
      </w:r>
      <w:r>
        <w:rPr>
          <w:rFonts w:ascii="仿宋_GB2312" w:hAnsi="黑体" w:eastAsia="仿宋_GB2312"/>
          <w:sz w:val="32"/>
          <w:szCs w:val="32"/>
        </w:rPr>
        <w:t>情节严重的，依法予以处</w:t>
      </w:r>
      <w:r>
        <w:rPr>
          <w:rFonts w:hint="eastAsia" w:ascii="仿宋_GB2312" w:hAnsi="黑体" w:eastAsia="仿宋_GB2312"/>
          <w:sz w:val="32"/>
          <w:szCs w:val="32"/>
        </w:rPr>
        <w:t>罚</w:t>
      </w:r>
      <w:r>
        <w:rPr>
          <w:rFonts w:ascii="仿宋_GB2312" w:hAnsi="黑体" w:eastAsia="仿宋_GB2312"/>
          <w:sz w:val="32"/>
          <w:szCs w:val="32"/>
        </w:rPr>
        <w:t>；涉嫌犯罪的，移送司法机关。</w:t>
      </w:r>
    </w:p>
    <w:p w14:paraId="15AE5997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附则</w:t>
      </w:r>
    </w:p>
    <w:p w14:paraId="199C4EA7">
      <w:pPr>
        <w:spacing w:line="56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第十六条  </w:t>
      </w:r>
      <w:r>
        <w:rPr>
          <w:rFonts w:hint="eastAsia" w:ascii="仿宋_GB2312" w:hAnsi="黑体" w:eastAsia="仿宋_GB2312"/>
          <w:sz w:val="32"/>
          <w:szCs w:val="32"/>
        </w:rPr>
        <w:t xml:space="preserve">本办法自政策发布之日起执行。政策有效期截至2026年12月31日，申请有效期截至2027年4月30日。本办法由区人力资源社会保障局负责解释。 </w:t>
      </w:r>
    </w:p>
    <w:p w14:paraId="7FEAEBFA">
      <w:pPr>
        <w:pStyle w:val="2"/>
      </w:pPr>
      <w:r>
        <w:br w:type="page"/>
      </w:r>
    </w:p>
    <w:p w14:paraId="375CF2C5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5FB75AB3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6BDD060E">
      <w:pPr>
        <w:spacing w:line="560" w:lineRule="exact"/>
        <w:ind w:right="66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 关于认定为朝阳区**零工市场（驿站）申请报告</w:t>
      </w:r>
      <w:r>
        <w:rPr>
          <w:rFonts w:hint="eastAsia" w:ascii="仿宋_GB2312" w:hAnsi="黑体" w:eastAsia="仿宋_GB2312"/>
          <w:sz w:val="32"/>
          <w:szCs w:val="32"/>
        </w:rPr>
        <w:t>（模板）</w:t>
      </w:r>
    </w:p>
    <w:p w14:paraId="24B7C369">
      <w:pPr>
        <w:pStyle w:val="2"/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14:paraId="73034267"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一、零工市场（驿站）选址建设情况；</w:t>
      </w:r>
    </w:p>
    <w:p w14:paraId="2E574FEB"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二、零工市场（驿站）场地、设施基本情况，人员配备情况，工作规章制度、服务内容、服务标准等；</w:t>
      </w:r>
    </w:p>
    <w:p w14:paraId="167FC81D"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三、线上平台搭建情况；</w:t>
      </w:r>
    </w:p>
    <w:p w14:paraId="0D5E0A2D"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四、建设机构基本情况及其灵活用工领域成功实施经验案例等；</w:t>
      </w:r>
    </w:p>
    <w:p w14:paraId="72EAB9C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依据《朝阳区关于规范支持零工市场建设的实施办法》，现申请认定为朝阳区**零工市场（驿站）。</w:t>
      </w:r>
    </w:p>
    <w:p w14:paraId="23FFFB11">
      <w:pPr>
        <w:pStyle w:val="2"/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妥否，请批示。</w:t>
      </w:r>
    </w:p>
    <w:p w14:paraId="66A70AD2">
      <w:pPr>
        <w:pStyle w:val="2"/>
        <w:spacing w:line="560" w:lineRule="exact"/>
        <w:rPr>
          <w:sz w:val="32"/>
          <w:szCs w:val="32"/>
        </w:rPr>
      </w:pPr>
    </w:p>
    <w:p w14:paraId="4D59B8EE">
      <w:pPr>
        <w:widowControl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br w:type="page"/>
      </w:r>
    </w:p>
    <w:p w14:paraId="3D539E0D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29243E10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22E3B6D9"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**年度朝阳区**零工市场（驿站）运营经费补贴申请报告</w:t>
      </w:r>
      <w:r>
        <w:rPr>
          <w:rFonts w:hint="eastAsia" w:ascii="仿宋_GB2312" w:hAnsi="黑体" w:eastAsia="仿宋_GB2312"/>
          <w:sz w:val="32"/>
          <w:szCs w:val="32"/>
        </w:rPr>
        <w:t>（模板）</w:t>
      </w:r>
    </w:p>
    <w:p w14:paraId="46C8D9E8">
      <w:pPr>
        <w:spacing w:line="560" w:lineRule="exact"/>
      </w:pPr>
    </w:p>
    <w:p w14:paraId="2D6DF21E">
      <w:pPr>
        <w:pStyle w:val="2"/>
        <w:spacing w:line="56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朝阳区**零工市场（驿站）年度内在京就业岗位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发布情况及撮合成功情况（附件4、附件5）。现依据《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朝阳区关于规范支持零工市场建设的实施意见》，申请</w:t>
      </w:r>
      <w:r>
        <w:rPr>
          <w:rFonts w:hint="eastAsia" w:ascii="仿宋_GB2312" w:eastAsia="仿宋_GB2312"/>
          <w:sz w:val="32"/>
          <w:szCs w:val="32"/>
        </w:rPr>
        <w:t>运营经费补贴20万元。</w:t>
      </w:r>
    </w:p>
    <w:p w14:paraId="7A881D52">
      <w:pPr>
        <w:pStyle w:val="2"/>
        <w:spacing w:line="560" w:lineRule="exact"/>
        <w:ind w:firstLine="62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妥否，请批示。</w:t>
      </w:r>
    </w:p>
    <w:p w14:paraId="4CC9F55F">
      <w:pPr>
        <w:pStyle w:val="2"/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14:paraId="26D37DCB">
      <w:pPr>
        <w:pStyle w:val="2"/>
        <w:ind w:firstLine="630"/>
      </w:pPr>
    </w:p>
    <w:p w14:paraId="2FEF7F42">
      <w:pPr>
        <w:pStyle w:val="2"/>
      </w:pPr>
    </w:p>
    <w:p w14:paraId="08CD2DED"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br w:type="page"/>
      </w:r>
    </w:p>
    <w:p w14:paraId="4E45D580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 w14:paraId="7EAB8AD5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3E13BA78"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**年度朝阳区**零工市场（驿站）就业服务补贴申请报告</w:t>
      </w:r>
      <w:r>
        <w:rPr>
          <w:rFonts w:hint="eastAsia" w:ascii="仿宋_GB2312" w:hAnsi="黑体" w:eastAsia="仿宋_GB2312"/>
          <w:sz w:val="32"/>
          <w:szCs w:val="32"/>
        </w:rPr>
        <w:t>（模板）</w:t>
      </w:r>
    </w:p>
    <w:p w14:paraId="3EA5482F">
      <w:pPr>
        <w:spacing w:line="560" w:lineRule="exact"/>
      </w:pPr>
    </w:p>
    <w:p w14:paraId="0CA7A808"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朝阳区**零工市场（驿站）年度内撮合成功情况（附件5）。现依据《朝阳区关于规范支持零工市场建设的实施意见》，申请</w:t>
      </w:r>
      <w:r>
        <w:rPr>
          <w:rFonts w:hint="eastAsia" w:ascii="仿宋_GB2312" w:eastAsia="仿宋_GB2312"/>
          <w:sz w:val="32"/>
          <w:szCs w:val="32"/>
        </w:rPr>
        <w:t>就业服务补贴**万元。</w:t>
      </w:r>
    </w:p>
    <w:p w14:paraId="2570637F">
      <w:pPr>
        <w:pStyle w:val="2"/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妥否，请批示。</w:t>
      </w:r>
    </w:p>
    <w:p w14:paraId="7523E701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047090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 w14:paraId="4F25C7FA"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发布岗位任务明细表（样式）</w:t>
      </w:r>
    </w:p>
    <w:p w14:paraId="4F7278C4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 xml:space="preserve">申请单位全称（盖章）：                          统一社会信用代码：                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94"/>
        <w:gridCol w:w="2843"/>
        <w:gridCol w:w="1985"/>
        <w:gridCol w:w="3685"/>
        <w:gridCol w:w="1418"/>
      </w:tblGrid>
      <w:tr w14:paraId="7EB41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7" w:type="dxa"/>
            <w:vAlign w:val="center"/>
          </w:tcPr>
          <w:p w14:paraId="3E131319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794" w:type="dxa"/>
            <w:vAlign w:val="center"/>
          </w:tcPr>
          <w:p w14:paraId="62B39404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岗位（任务）名称</w:t>
            </w:r>
          </w:p>
        </w:tc>
        <w:tc>
          <w:tcPr>
            <w:tcW w:w="2843" w:type="dxa"/>
            <w:vAlign w:val="center"/>
          </w:tcPr>
          <w:p w14:paraId="53F8D6EA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岗位（任务）类型</w:t>
            </w:r>
          </w:p>
        </w:tc>
        <w:tc>
          <w:tcPr>
            <w:tcW w:w="1985" w:type="dxa"/>
            <w:vAlign w:val="center"/>
          </w:tcPr>
          <w:p w14:paraId="1E1C02D8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发布时间</w:t>
            </w:r>
          </w:p>
        </w:tc>
        <w:tc>
          <w:tcPr>
            <w:tcW w:w="3685" w:type="dxa"/>
            <w:vAlign w:val="center"/>
          </w:tcPr>
          <w:p w14:paraId="197B4A9B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需求人数</w:t>
            </w:r>
          </w:p>
        </w:tc>
        <w:tc>
          <w:tcPr>
            <w:tcW w:w="1418" w:type="dxa"/>
            <w:vAlign w:val="center"/>
          </w:tcPr>
          <w:p w14:paraId="7E048F6A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备注</w:t>
            </w:r>
          </w:p>
        </w:tc>
      </w:tr>
      <w:tr w14:paraId="2037C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7" w:type="dxa"/>
          </w:tcPr>
          <w:p w14:paraId="09EDC332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50093DD0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45B68F9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9A8295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CC2DB99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35AB2B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4E45B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154616D0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37E0C723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843" w:type="dxa"/>
          </w:tcPr>
          <w:p w14:paraId="672B151F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88F8A0F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4D82BB9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C2E7FA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3CAF2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7A74F657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58A53707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843" w:type="dxa"/>
          </w:tcPr>
          <w:p w14:paraId="0C3F2D52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DEBA3C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8299BBA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6D24BB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4CE6D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0BEF2570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4ADA3BCF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843" w:type="dxa"/>
          </w:tcPr>
          <w:p w14:paraId="210F0AE3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8390DA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98F1695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EFAD81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21ADC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2D4F4B56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02AA33EA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B20F635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2204D9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375E441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C810DFA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09DFE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2570353F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40E94618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843" w:type="dxa"/>
          </w:tcPr>
          <w:p w14:paraId="6F3A04A6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6CA25B1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13525D3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90BFA8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46A00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39B231BE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10A3C18B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843" w:type="dxa"/>
          </w:tcPr>
          <w:p w14:paraId="2EDB047F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E3F41D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79ECDE9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C10EB2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137BD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11860697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10534354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843" w:type="dxa"/>
          </w:tcPr>
          <w:p w14:paraId="10894BED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E111BF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59D460A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7BE1F9">
            <w:pPr>
              <w:spacing w:line="560" w:lineRule="exact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 w14:paraId="056D09C0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59034CB3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附件5：</w:t>
      </w:r>
    </w:p>
    <w:p w14:paraId="3F04331F"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撮合服务成功人员花名册（样式）</w:t>
      </w:r>
    </w:p>
    <w:p w14:paraId="043249D6">
      <w:pPr>
        <w:spacing w:line="560" w:lineRule="exact"/>
        <w:ind w:firstLine="643" w:firstLineChars="200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申请单位全称（盖章）：          统一社会信用代码：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559"/>
        <w:gridCol w:w="1489"/>
        <w:gridCol w:w="1296"/>
        <w:gridCol w:w="1609"/>
        <w:gridCol w:w="1701"/>
        <w:gridCol w:w="1134"/>
        <w:gridCol w:w="1134"/>
        <w:gridCol w:w="1134"/>
        <w:gridCol w:w="1025"/>
      </w:tblGrid>
      <w:tr w14:paraId="0A672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B6FB522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14:paraId="1D5BBC28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14:paraId="646A04A4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489" w:type="dxa"/>
            <w:vAlign w:val="center"/>
          </w:tcPr>
          <w:p w14:paraId="5033C5E7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联系</w:t>
            </w:r>
          </w:p>
          <w:p w14:paraId="02179AD1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方式</w:t>
            </w:r>
          </w:p>
        </w:tc>
        <w:tc>
          <w:tcPr>
            <w:tcW w:w="1296" w:type="dxa"/>
            <w:vAlign w:val="center"/>
          </w:tcPr>
          <w:p w14:paraId="5D4E54DB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工作地点岗位</w:t>
            </w:r>
          </w:p>
        </w:tc>
        <w:tc>
          <w:tcPr>
            <w:tcW w:w="1609" w:type="dxa"/>
            <w:vAlign w:val="center"/>
          </w:tcPr>
          <w:p w14:paraId="60ABDD73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任务开始时间</w:t>
            </w:r>
          </w:p>
        </w:tc>
        <w:tc>
          <w:tcPr>
            <w:tcW w:w="1701" w:type="dxa"/>
            <w:vAlign w:val="center"/>
          </w:tcPr>
          <w:p w14:paraId="6A42C2BC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任务完成</w:t>
            </w:r>
          </w:p>
          <w:p w14:paraId="3E5906D7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134" w:type="dxa"/>
            <w:vAlign w:val="center"/>
          </w:tcPr>
          <w:p w14:paraId="5C365090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工作</w:t>
            </w:r>
          </w:p>
          <w:p w14:paraId="2B73937D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时长</w:t>
            </w:r>
          </w:p>
        </w:tc>
        <w:tc>
          <w:tcPr>
            <w:tcW w:w="1134" w:type="dxa"/>
            <w:vAlign w:val="center"/>
          </w:tcPr>
          <w:p w14:paraId="097778F4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实际结算</w:t>
            </w:r>
          </w:p>
          <w:p w14:paraId="72B57175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报酬</w:t>
            </w:r>
          </w:p>
        </w:tc>
        <w:tc>
          <w:tcPr>
            <w:tcW w:w="1134" w:type="dxa"/>
            <w:vAlign w:val="center"/>
          </w:tcPr>
          <w:p w14:paraId="2F348055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支付</w:t>
            </w:r>
          </w:p>
          <w:p w14:paraId="092D2DE5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方式</w:t>
            </w:r>
          </w:p>
        </w:tc>
        <w:tc>
          <w:tcPr>
            <w:tcW w:w="1025" w:type="dxa"/>
            <w:vAlign w:val="center"/>
          </w:tcPr>
          <w:p w14:paraId="450788D3">
            <w:pPr>
              <w:spacing w:line="400" w:lineRule="exact"/>
              <w:jc w:val="center"/>
              <w:rPr>
                <w:rFonts w:ascii="仿宋_GB2312" w:hAnsi="黑体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备注</w:t>
            </w:r>
          </w:p>
        </w:tc>
      </w:tr>
      <w:tr w14:paraId="3AEAA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5D8CFE6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1B712EB3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559" w:type="dxa"/>
          </w:tcPr>
          <w:p w14:paraId="2B9FF6A3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489" w:type="dxa"/>
          </w:tcPr>
          <w:p w14:paraId="2E86B688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296" w:type="dxa"/>
          </w:tcPr>
          <w:p w14:paraId="53B7464D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609" w:type="dxa"/>
          </w:tcPr>
          <w:p w14:paraId="14B4575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14:paraId="3C740DD9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3C8DF44E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1A88F996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7286C452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025" w:type="dxa"/>
          </w:tcPr>
          <w:p w14:paraId="2EC24104">
            <w:pPr>
              <w:pStyle w:val="2"/>
              <w:jc w:val="center"/>
              <w:rPr>
                <w:kern w:val="0"/>
                <w:szCs w:val="20"/>
              </w:rPr>
            </w:pPr>
          </w:p>
        </w:tc>
      </w:tr>
      <w:tr w14:paraId="045F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2C48F4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6B9DF3CA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559" w:type="dxa"/>
          </w:tcPr>
          <w:p w14:paraId="347E3101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489" w:type="dxa"/>
          </w:tcPr>
          <w:p w14:paraId="6C544EBF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296" w:type="dxa"/>
          </w:tcPr>
          <w:p w14:paraId="00F2EB42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609" w:type="dxa"/>
          </w:tcPr>
          <w:p w14:paraId="740F004F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14:paraId="4E8BA7C7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1F06FFA2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083708A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1AD5A722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025" w:type="dxa"/>
          </w:tcPr>
          <w:p w14:paraId="7573D4DA">
            <w:pPr>
              <w:pStyle w:val="2"/>
              <w:jc w:val="center"/>
              <w:rPr>
                <w:kern w:val="0"/>
                <w:szCs w:val="20"/>
              </w:rPr>
            </w:pPr>
          </w:p>
        </w:tc>
      </w:tr>
      <w:tr w14:paraId="21C2C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F6B78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245FE21B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559" w:type="dxa"/>
          </w:tcPr>
          <w:p w14:paraId="451CD348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489" w:type="dxa"/>
          </w:tcPr>
          <w:p w14:paraId="6FE2AF07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296" w:type="dxa"/>
          </w:tcPr>
          <w:p w14:paraId="15B0CCA2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609" w:type="dxa"/>
          </w:tcPr>
          <w:p w14:paraId="1E35AA2D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14:paraId="165030BC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2A13F0FD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3846B944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7798A60B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025" w:type="dxa"/>
          </w:tcPr>
          <w:p w14:paraId="0C7EA9BB">
            <w:pPr>
              <w:pStyle w:val="2"/>
              <w:jc w:val="center"/>
              <w:rPr>
                <w:kern w:val="0"/>
                <w:szCs w:val="20"/>
              </w:rPr>
            </w:pPr>
          </w:p>
        </w:tc>
      </w:tr>
      <w:tr w14:paraId="67939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5DBEFB9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3D61C476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559" w:type="dxa"/>
          </w:tcPr>
          <w:p w14:paraId="5991CEAF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489" w:type="dxa"/>
          </w:tcPr>
          <w:p w14:paraId="6D6F43C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296" w:type="dxa"/>
          </w:tcPr>
          <w:p w14:paraId="03FEAAF9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609" w:type="dxa"/>
          </w:tcPr>
          <w:p w14:paraId="4C8AEEAC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14:paraId="5BE98BC8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760643D1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3411230B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18D58913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025" w:type="dxa"/>
          </w:tcPr>
          <w:p w14:paraId="32840638">
            <w:pPr>
              <w:pStyle w:val="2"/>
              <w:jc w:val="center"/>
              <w:rPr>
                <w:kern w:val="0"/>
                <w:szCs w:val="20"/>
              </w:rPr>
            </w:pPr>
          </w:p>
        </w:tc>
      </w:tr>
      <w:tr w14:paraId="731F0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3FC92FF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59BB0F1C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559" w:type="dxa"/>
          </w:tcPr>
          <w:p w14:paraId="40B0549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489" w:type="dxa"/>
          </w:tcPr>
          <w:p w14:paraId="38E3A65B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296" w:type="dxa"/>
          </w:tcPr>
          <w:p w14:paraId="63909CE2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609" w:type="dxa"/>
          </w:tcPr>
          <w:p w14:paraId="25CF847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14:paraId="6E871479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2901AD61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1E3CE0D0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2A4C9F48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025" w:type="dxa"/>
          </w:tcPr>
          <w:p w14:paraId="03913050">
            <w:pPr>
              <w:pStyle w:val="2"/>
              <w:jc w:val="center"/>
              <w:rPr>
                <w:kern w:val="0"/>
                <w:szCs w:val="20"/>
              </w:rPr>
            </w:pPr>
          </w:p>
        </w:tc>
      </w:tr>
      <w:tr w14:paraId="45EB4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</w:tcPr>
          <w:p w14:paraId="5E3282D2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33809AD3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559" w:type="dxa"/>
          </w:tcPr>
          <w:p w14:paraId="27C14CB8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489" w:type="dxa"/>
          </w:tcPr>
          <w:p w14:paraId="70A54C1B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296" w:type="dxa"/>
          </w:tcPr>
          <w:p w14:paraId="2CA6595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609" w:type="dxa"/>
          </w:tcPr>
          <w:p w14:paraId="1BECF11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14:paraId="74FD1E81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28895BDB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44568ABC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669AF605">
            <w:pPr>
              <w:pStyle w:val="2"/>
              <w:jc w:val="center"/>
              <w:rPr>
                <w:kern w:val="0"/>
                <w:szCs w:val="20"/>
              </w:rPr>
            </w:pPr>
          </w:p>
        </w:tc>
        <w:tc>
          <w:tcPr>
            <w:tcW w:w="1025" w:type="dxa"/>
          </w:tcPr>
          <w:p w14:paraId="073AF600">
            <w:pPr>
              <w:pStyle w:val="2"/>
              <w:jc w:val="center"/>
              <w:rPr>
                <w:kern w:val="0"/>
                <w:szCs w:val="20"/>
              </w:rPr>
            </w:pPr>
          </w:p>
        </w:tc>
      </w:tr>
      <w:tr w14:paraId="7B435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59" w:type="dxa"/>
          </w:tcPr>
          <w:p w14:paraId="123D14B7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0190D07E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559" w:type="dxa"/>
          </w:tcPr>
          <w:p w14:paraId="47398702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489" w:type="dxa"/>
          </w:tcPr>
          <w:p w14:paraId="5C0AAE44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296" w:type="dxa"/>
          </w:tcPr>
          <w:p w14:paraId="4C8EA17E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609" w:type="dxa"/>
          </w:tcPr>
          <w:p w14:paraId="0A95B666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701" w:type="dxa"/>
          </w:tcPr>
          <w:p w14:paraId="6F488677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422F7450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1F8B1000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134" w:type="dxa"/>
          </w:tcPr>
          <w:p w14:paraId="04C73099">
            <w:pPr>
              <w:pStyle w:val="2"/>
              <w:rPr>
                <w:kern w:val="0"/>
                <w:szCs w:val="20"/>
              </w:rPr>
            </w:pPr>
          </w:p>
        </w:tc>
        <w:tc>
          <w:tcPr>
            <w:tcW w:w="1025" w:type="dxa"/>
          </w:tcPr>
          <w:p w14:paraId="2BB1A2F5">
            <w:pPr>
              <w:pStyle w:val="2"/>
              <w:rPr>
                <w:kern w:val="0"/>
                <w:szCs w:val="20"/>
              </w:rPr>
            </w:pPr>
          </w:p>
        </w:tc>
      </w:tr>
      <w:tr w14:paraId="0211E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  <w:gridSpan w:val="6"/>
            <w:vAlign w:val="center"/>
          </w:tcPr>
          <w:p w14:paraId="149B9E1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2"/>
                <w:szCs w:val="32"/>
              </w:rPr>
              <w:t>累计折合服务个次</w:t>
            </w:r>
          </w:p>
        </w:tc>
        <w:tc>
          <w:tcPr>
            <w:tcW w:w="6128" w:type="dxa"/>
            <w:gridSpan w:val="5"/>
          </w:tcPr>
          <w:p w14:paraId="5B1C33CC">
            <w:pPr>
              <w:pStyle w:val="2"/>
              <w:rPr>
                <w:kern w:val="0"/>
                <w:szCs w:val="20"/>
              </w:rPr>
            </w:pPr>
          </w:p>
        </w:tc>
      </w:tr>
    </w:tbl>
    <w:p w14:paraId="5A52FB30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757122A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 w14:paraId="220E8F20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 w14:paraId="07EBD16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关于《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朝阳区关于规范支持零工市场建设的实施办法</w:t>
      </w:r>
      <w:r>
        <w:rPr>
          <w:rFonts w:ascii="Times New Roman" w:hAnsi="Times New Roman" w:eastAsia="方正小标宋简体" w:cs="Times New Roman"/>
          <w:sz w:val="44"/>
          <w:szCs w:val="44"/>
        </w:rPr>
        <w:t>》的起草说明</w:t>
      </w:r>
    </w:p>
    <w:p w14:paraId="4CF72827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 w14:paraId="67427C77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一、起草背景及过程</w:t>
      </w:r>
    </w:p>
    <w:p w14:paraId="2FB2AE69"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为促进零工市场规范健康发展，充分发挥市场配置人力资源的有效作用，</w:t>
      </w:r>
      <w:r>
        <w:rPr>
          <w:rFonts w:ascii="仿宋_GB2312" w:hAnsi="仿宋_GB2312" w:eastAsia="仿宋_GB2312" w:cs="仿宋_GB2312"/>
          <w:sz w:val="32"/>
          <w:szCs w:val="32"/>
        </w:rPr>
        <w:t>支持多渠道灵活就业，提高劳动者就业水平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，根据《关于加强零工市场建设完善求职招聘服务的意见》（人社部发</w:t>
      </w:r>
      <w:r>
        <w:rPr>
          <w:rFonts w:hint="eastAsia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38号）、《关于加强零工市场规范化建设的通知》（人社部发</w:t>
      </w:r>
      <w:r>
        <w:rPr>
          <w:rFonts w:hint="eastAsia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65号）、《关于规范建设零工市场的指导意见》（京人社部就发</w:t>
      </w:r>
      <w:r>
        <w:rPr>
          <w:rFonts w:hint="eastAsia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6号）</w:t>
      </w:r>
      <w:r>
        <w:rPr>
          <w:rFonts w:ascii="Times New Roman" w:hAnsi="Times New Roman" w:eastAsia="仿宋_GB2312" w:cs="Times New Roman"/>
          <w:sz w:val="32"/>
          <w:szCs w:val="32"/>
        </w:rPr>
        <w:t>等法律法规，经过充分调研、深入研讨和多次修改，在结合我区实际的基础上，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</w:t>
      </w:r>
      <w:r>
        <w:rPr>
          <w:rFonts w:ascii="Times New Roman" w:hAnsi="Times New Roman" w:eastAsia="仿宋_GB2312" w:cs="Times New Roman"/>
          <w:sz w:val="32"/>
          <w:szCs w:val="32"/>
        </w:rPr>
        <w:t>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多方</w:t>
      </w:r>
      <w:r>
        <w:rPr>
          <w:rFonts w:ascii="Times New Roman" w:hAnsi="Times New Roman" w:eastAsia="仿宋_GB2312" w:cs="Times New Roman"/>
          <w:sz w:val="32"/>
          <w:szCs w:val="32"/>
        </w:rPr>
        <w:t>意见，形成初稿。</w:t>
      </w:r>
    </w:p>
    <w:p w14:paraId="57CBADDF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二、起草文件的主要考虑</w:t>
      </w:r>
    </w:p>
    <w:p w14:paraId="3993131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一是规范服务标准。规范零工市场建设，打造朝阳区“1+43+N”零工市场就业服务体系，明确零工市场建设标准和服务规范，支持发展数智零工市场，</w:t>
      </w:r>
      <w:r>
        <w:rPr>
          <w:rFonts w:ascii="Times New Roman" w:hAnsi="Times New Roman" w:eastAsia="仿宋_GB2312"/>
          <w:sz w:val="32"/>
          <w:szCs w:val="32"/>
        </w:rPr>
        <w:t>为灵活就业人员和用工主体提供便捷高效服务。</w:t>
      </w:r>
    </w:p>
    <w:p w14:paraId="7F603AE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二是明确补贴标准。鼓励人力资源服务机构参与零工市场建设和运营管理，对符合条件的人力资源机构给予运营经费补贴和就业服务补贴。</w:t>
      </w:r>
    </w:p>
    <w:p w14:paraId="5CB1756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三是资金拨付管理。明确补贴申请材料、资金申请、拨付和管理流程，保障资金安全。</w:t>
      </w:r>
    </w:p>
    <w:p w14:paraId="4243D5BA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三、主要内容说明</w:t>
      </w:r>
    </w:p>
    <w:p w14:paraId="57EE5DB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全文共有</w:t>
      </w: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章、</w:t>
      </w:r>
      <w:r>
        <w:rPr>
          <w:rFonts w:hint="eastAsia" w:ascii="Times New Roman" w:hAnsi="Times New Roman" w:eastAsia="仿宋_GB2312"/>
          <w:sz w:val="32"/>
          <w:szCs w:val="32"/>
        </w:rPr>
        <w:t>十六</w:t>
      </w:r>
      <w:r>
        <w:rPr>
          <w:rFonts w:ascii="Times New Roman" w:hAnsi="Times New Roman" w:eastAsia="仿宋_GB2312"/>
          <w:sz w:val="32"/>
          <w:szCs w:val="32"/>
        </w:rPr>
        <w:t>条，包括总则、</w:t>
      </w:r>
      <w:r>
        <w:rPr>
          <w:rFonts w:hint="eastAsia" w:ascii="Times New Roman" w:hAnsi="Times New Roman" w:eastAsia="仿宋_GB2312"/>
          <w:sz w:val="32"/>
          <w:szCs w:val="32"/>
        </w:rPr>
        <w:t>服务规范、建设和补贴标准、资金申请拨付和管理、附则，</w:t>
      </w:r>
      <w:r>
        <w:rPr>
          <w:rFonts w:ascii="Times New Roman" w:hAnsi="Times New Roman" w:eastAsia="仿宋_GB2312"/>
          <w:sz w:val="32"/>
          <w:szCs w:val="32"/>
        </w:rPr>
        <w:t>主要内容如下：</w:t>
      </w:r>
    </w:p>
    <w:p w14:paraId="58DBDAD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第一章为总则，共1条，主要明确了文件依据。</w:t>
      </w:r>
    </w:p>
    <w:p w14:paraId="144EC77E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第二章为服务规范，共6条，主要明确了零工市场服务规范、服务体系、建设标准、发展数智零工市场等内容。</w:t>
      </w:r>
    </w:p>
    <w:p w14:paraId="00CA0DC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第三章建设和补贴标准，共3条，主要明确了零工市场运营经费补贴和就业服务补贴标准。</w:t>
      </w:r>
    </w:p>
    <w:p w14:paraId="42BA8109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第四章资金申请、拨付和管理，共5条，主要明确了补贴申请材料、资金申请、拨付和管理流程，以及资金安全等内容。</w:t>
      </w:r>
    </w:p>
    <w:p w14:paraId="455F578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第五章附则，共1条，主要明确了政策有效期和申请有效期。</w:t>
      </w:r>
    </w:p>
    <w:p w14:paraId="1BAE53B7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四、其他需要说明的问题</w:t>
      </w:r>
    </w:p>
    <w:p w14:paraId="3398021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无</w:t>
      </w:r>
    </w:p>
    <w:p w14:paraId="49342CB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0BFC5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1FFB66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084"/>
      <w:docPartObj>
        <w:docPartGallery w:val="AutoText"/>
      </w:docPartObj>
    </w:sdtPr>
    <w:sdtContent>
      <w:p w14:paraId="2C3ABDC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14:paraId="6AE0200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4YzFhMGNiNWM4NTJmYjVlYjgyODg0ZDA5YWE1YTMifQ=="/>
  </w:docVars>
  <w:rsids>
    <w:rsidRoot w:val="006A43B7"/>
    <w:rsid w:val="000A461B"/>
    <w:rsid w:val="00123A5A"/>
    <w:rsid w:val="0045642D"/>
    <w:rsid w:val="00524215"/>
    <w:rsid w:val="005A6858"/>
    <w:rsid w:val="00691EDD"/>
    <w:rsid w:val="006A43B7"/>
    <w:rsid w:val="007425F1"/>
    <w:rsid w:val="007E46AA"/>
    <w:rsid w:val="008D1172"/>
    <w:rsid w:val="00A421E2"/>
    <w:rsid w:val="00AE0801"/>
    <w:rsid w:val="00B07E75"/>
    <w:rsid w:val="00B2562B"/>
    <w:rsid w:val="00BB69BC"/>
    <w:rsid w:val="00C00567"/>
    <w:rsid w:val="00C94544"/>
    <w:rsid w:val="00D115C6"/>
    <w:rsid w:val="00D52579"/>
    <w:rsid w:val="00D96323"/>
    <w:rsid w:val="00DA627D"/>
    <w:rsid w:val="00F5570E"/>
    <w:rsid w:val="00FC7DC6"/>
    <w:rsid w:val="1421247B"/>
    <w:rsid w:val="340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640" w:lineRule="exact"/>
      <w:jc w:val="left"/>
    </w:pPr>
    <w:rPr>
      <w:rFonts w:ascii="Times New Roman" w:hAnsi="Times New Roman" w:eastAsia="方正小标宋简体" w:cs="Times New Roman"/>
      <w:bCs/>
      <w:sz w:val="4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8"/>
    <w:link w:val="2"/>
    <w:uiPriority w:val="0"/>
    <w:rPr>
      <w:rFonts w:ascii="Times New Roman" w:hAnsi="Times New Roman" w:eastAsia="方正小标宋简体" w:cs="Times New Roman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4028</Words>
  <Characters>4197</Characters>
  <Lines>33</Lines>
  <Paragraphs>9</Paragraphs>
  <TotalTime>4</TotalTime>
  <ScaleCrop>false</ScaleCrop>
  <LinksUpToDate>false</LinksUpToDate>
  <CharactersWithSpaces>4302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2024-11-05T09:12:00Z</dcterms:created>
  <dc:creator>Windows 用户</dc:creator>
  <cp:lastModifiedBy>孙彤</cp:lastModifiedBy>
  <dcterms:modified xsi:type="dcterms:W3CDTF">2024-11-06T09:31:32Z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D017B1EA0E114613A2F7A47A1360CCF3_12</vt:lpwstr>
  </property>
</Properties>
</file>