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仿宋" w:hAnsi="仿宋" w:eastAsia="仿宋" w:cs="Times New Roman"/>
          <w:sz w:val="32"/>
          <w:szCs w:val="32"/>
        </w:rPr>
      </w:pPr>
      <w:r>
        <w:rPr>
          <w:rFonts w:ascii="仿宋" w:hAnsi="仿宋" w:eastAsia="仿宋" w:cs="Times New Roman"/>
          <w:sz w:val="32"/>
          <w:szCs w:val="32"/>
          <w:lang w:val="en"/>
        </w:rPr>
        <w:t>附件</w:t>
      </w:r>
      <w:r>
        <w:rPr>
          <w:rFonts w:ascii="仿宋" w:hAnsi="仿宋" w:eastAsia="仿宋" w:cs="Times New Roman"/>
          <w:sz w:val="32"/>
          <w:szCs w:val="32"/>
        </w:rPr>
        <w:t>2</w:t>
      </w:r>
    </w:p>
    <w:p>
      <w:pPr>
        <w:pStyle w:val="3"/>
        <w:jc w:val="center"/>
        <w:rPr>
          <w:rFonts w:hint="eastAsia" w:ascii="黑体" w:hAnsi="黑体" w:eastAsia="黑体"/>
          <w:sz w:val="44"/>
          <w:szCs w:val="44"/>
        </w:rPr>
      </w:pPr>
      <w:r>
        <w:rPr>
          <w:rFonts w:ascii="黑体" w:hAnsi="黑体" w:eastAsia="黑体"/>
          <w:sz w:val="44"/>
          <w:szCs w:val="44"/>
        </w:rPr>
        <w:t>关于《北京市</w:t>
      </w:r>
      <w:r>
        <w:rPr>
          <w:rFonts w:hint="eastAsia" w:ascii="黑体" w:hAnsi="黑体" w:eastAsia="黑体"/>
          <w:sz w:val="44"/>
          <w:szCs w:val="44"/>
        </w:rPr>
        <w:t>怀柔区</w:t>
      </w:r>
      <w:r>
        <w:rPr>
          <w:rFonts w:ascii="黑体" w:hAnsi="黑体" w:eastAsia="黑体"/>
          <w:sz w:val="44"/>
          <w:szCs w:val="44"/>
        </w:rPr>
        <w:t>应急避难场所规划（202</w:t>
      </w:r>
      <w:r>
        <w:rPr>
          <w:rFonts w:hint="eastAsia" w:ascii="黑体" w:hAnsi="黑体" w:eastAsia="黑体"/>
          <w:sz w:val="44"/>
          <w:szCs w:val="44"/>
        </w:rPr>
        <w:t>4</w:t>
      </w:r>
      <w:r>
        <w:rPr>
          <w:rFonts w:ascii="黑体" w:hAnsi="黑体" w:eastAsia="黑体"/>
          <w:sz w:val="44"/>
          <w:szCs w:val="44"/>
        </w:rPr>
        <w:t>年—2035年）》（征求意见稿）的编制说明</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为深入贯彻习近平总书记关于应急管理的重要论述和对北京重要讲话精神，落实《北京城市总体规划（2016年—2035年）》批复要求，严格遵循《北京市应急避难场所规划（2022年—2035年）》（以下简称“</w:t>
      </w:r>
      <w:bookmarkStart w:id="0" w:name="_Hlk177756106"/>
      <w:r>
        <w:rPr>
          <w:rFonts w:ascii="仿宋" w:hAnsi="仿宋" w:eastAsia="仿宋" w:cs="Times New Roman"/>
          <w:sz w:val="32"/>
          <w:szCs w:val="32"/>
        </w:rPr>
        <w:t>市级规划</w:t>
      </w:r>
      <w:bookmarkEnd w:id="0"/>
      <w:r>
        <w:rPr>
          <w:rFonts w:ascii="仿宋" w:hAnsi="仿宋" w:eastAsia="仿宋" w:cs="Times New Roman"/>
          <w:sz w:val="32"/>
          <w:szCs w:val="32"/>
        </w:rPr>
        <w:t>”）具体指导和总体目标，依据《应急避难场所规划编制指南》规范要求，2024年</w:t>
      </w:r>
      <w:r>
        <w:rPr>
          <w:rFonts w:hint="eastAsia" w:ascii="仿宋" w:hAnsi="仿宋" w:eastAsia="仿宋" w:cs="Times New Roman"/>
          <w:sz w:val="32"/>
          <w:szCs w:val="32"/>
        </w:rPr>
        <w:t>09</w:t>
      </w:r>
      <w:r>
        <w:rPr>
          <w:rFonts w:ascii="仿宋" w:hAnsi="仿宋" w:eastAsia="仿宋" w:cs="Times New Roman"/>
          <w:sz w:val="32"/>
          <w:szCs w:val="32"/>
        </w:rPr>
        <w:t>月</w:t>
      </w:r>
      <w:r>
        <w:rPr>
          <w:rFonts w:hint="eastAsia" w:ascii="仿宋" w:hAnsi="仿宋" w:eastAsia="仿宋" w:cs="Times New Roman"/>
          <w:sz w:val="32"/>
          <w:szCs w:val="32"/>
        </w:rPr>
        <w:t>，</w:t>
      </w:r>
      <w:r>
        <w:rPr>
          <w:rFonts w:hint="eastAsia" w:ascii="仿宋" w:hAnsi="仿宋" w:eastAsia="仿宋" w:cs="微软雅黑"/>
          <w:sz w:val="32"/>
          <w:szCs w:val="32"/>
        </w:rPr>
        <w:t>怀柔区</w:t>
      </w:r>
      <w:r>
        <w:rPr>
          <w:rFonts w:ascii="仿宋" w:hAnsi="仿宋" w:eastAsia="仿宋" w:cs="Times New Roman"/>
          <w:sz w:val="32"/>
          <w:szCs w:val="32"/>
        </w:rPr>
        <w:t>应急管理局</w:t>
      </w:r>
      <w:r>
        <w:rPr>
          <w:rFonts w:hint="eastAsia" w:ascii="仿宋" w:hAnsi="仿宋" w:eastAsia="仿宋" w:cs="Times New Roman"/>
          <w:sz w:val="32"/>
          <w:szCs w:val="32"/>
        </w:rPr>
        <w:t>牵头</w:t>
      </w:r>
      <w:r>
        <w:rPr>
          <w:rFonts w:ascii="仿宋" w:hAnsi="仿宋" w:eastAsia="仿宋" w:cs="Times New Roman"/>
          <w:sz w:val="32"/>
          <w:szCs w:val="32"/>
        </w:rPr>
        <w:t>开展此项工作，并形成了《北京市</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应急避难场所规划（202</w:t>
      </w:r>
      <w:r>
        <w:rPr>
          <w:rFonts w:hint="eastAsia" w:ascii="仿宋" w:hAnsi="仿宋" w:eastAsia="仿宋" w:cs="Times New Roman"/>
          <w:sz w:val="32"/>
          <w:szCs w:val="32"/>
        </w:rPr>
        <w:t>4</w:t>
      </w:r>
      <w:r>
        <w:rPr>
          <w:rFonts w:ascii="仿宋" w:hAnsi="仿宋" w:eastAsia="仿宋" w:cs="Times New Roman"/>
          <w:sz w:val="32"/>
          <w:szCs w:val="32"/>
        </w:rPr>
        <w:t>年—2035年）》征求意见稿（以下简称《规划》）。现将编制情况说明如下：</w:t>
      </w:r>
    </w:p>
    <w:p>
      <w:pPr>
        <w:pStyle w:val="2"/>
        <w:spacing w:line="560" w:lineRule="exact"/>
        <w:jc w:val="both"/>
        <w:rPr>
          <w:rFonts w:hint="eastAsia" w:cs="Times New Roman"/>
        </w:rPr>
      </w:pPr>
      <w:r>
        <w:rPr>
          <w:rFonts w:cs="Times New Roman"/>
        </w:rPr>
        <w:t>一、项目背景</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《规划》属于北京市国土空间规划“三级三类四体系”总体框架中的区级专项规划类型，是指导各乡镇</w:t>
      </w:r>
      <w:r>
        <w:rPr>
          <w:rFonts w:hint="eastAsia" w:ascii="仿宋" w:hAnsi="仿宋" w:eastAsia="仿宋" w:cs="Times New Roman"/>
          <w:sz w:val="32"/>
          <w:szCs w:val="32"/>
        </w:rPr>
        <w:t>（街道）</w:t>
      </w:r>
      <w:r>
        <w:rPr>
          <w:rFonts w:ascii="仿宋" w:hAnsi="仿宋" w:eastAsia="仿宋" w:cs="Times New Roman"/>
          <w:sz w:val="32"/>
          <w:szCs w:val="32"/>
        </w:rPr>
        <w:t>编制乡镇</w:t>
      </w:r>
      <w:r>
        <w:rPr>
          <w:rFonts w:hint="eastAsia" w:ascii="仿宋" w:hAnsi="仿宋" w:eastAsia="仿宋" w:cs="Times New Roman"/>
          <w:sz w:val="32"/>
          <w:szCs w:val="32"/>
        </w:rPr>
        <w:t>（街道）</w:t>
      </w:r>
      <w:r>
        <w:rPr>
          <w:rFonts w:ascii="仿宋" w:hAnsi="仿宋" w:eastAsia="仿宋" w:cs="Times New Roman"/>
          <w:sz w:val="32"/>
          <w:szCs w:val="32"/>
        </w:rPr>
        <w:t>级应急避难场所专项规划、开展全区避难场所建设管理的主要依据。</w:t>
      </w:r>
    </w:p>
    <w:p>
      <w:pPr>
        <w:pStyle w:val="2"/>
        <w:spacing w:line="560" w:lineRule="exact"/>
        <w:jc w:val="both"/>
        <w:rPr>
          <w:rFonts w:hint="eastAsia" w:cs="Times New Roman"/>
        </w:rPr>
      </w:pPr>
      <w:r>
        <w:rPr>
          <w:rFonts w:cs="Times New Roman"/>
        </w:rPr>
        <w:t>二、规划目标</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以</w:t>
      </w:r>
      <w:r>
        <w:rPr>
          <w:rFonts w:hint="eastAsia" w:ascii="仿宋" w:hAnsi="仿宋" w:eastAsia="仿宋" w:cs="Times New Roman"/>
          <w:sz w:val="32"/>
          <w:szCs w:val="32"/>
        </w:rPr>
        <w:t>全面建成社会主义现代化强国、实现第二个百年奋斗目标</w:t>
      </w:r>
      <w:r>
        <w:rPr>
          <w:rFonts w:hint="eastAsia" w:ascii="仿宋" w:hAnsi="仿宋" w:eastAsia="仿宋" w:cs="Times New Roman"/>
          <w:sz w:val="32"/>
          <w:szCs w:val="32"/>
          <w:lang w:val="en-US" w:eastAsia="zh-CN"/>
        </w:rPr>
        <w:t>为指引</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与</w:t>
      </w:r>
      <w:r>
        <w:rPr>
          <w:rFonts w:hint="eastAsia" w:ascii="仿宋" w:hAnsi="仿宋" w:eastAsia="仿宋" w:cs="Times New Roman"/>
          <w:sz w:val="32"/>
          <w:szCs w:val="32"/>
        </w:rPr>
        <w:t>以中国式现代化全面推进中华民族伟大复兴的历史进程相适应，服务于</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现代化经济建设，创新发展理念，转变应急避难场所建设发展方式。坚持软硬结合，加强应急避难场所规划建设与管理统</w:t>
      </w:r>
      <w:bookmarkStart w:id="2" w:name="_GoBack"/>
      <w:bookmarkEnd w:id="2"/>
      <w:r>
        <w:rPr>
          <w:rFonts w:hint="eastAsia" w:ascii="仿宋" w:hAnsi="仿宋" w:eastAsia="仿宋" w:cs="Times New Roman"/>
          <w:sz w:val="32"/>
          <w:szCs w:val="32"/>
        </w:rPr>
        <w:t>筹，搭建条块结合、上下衔接的区、街道（乡镇）、村（社区）应急避难场所分级管理系统。构建城乡布局合理、资源统筹共享、功能设施完备、平急（疫/战）综合利用、管理运维规范，与北京城市功能拓展区定位相适应的应急避难场所体系。</w:t>
      </w:r>
      <w:r>
        <w:rPr>
          <w:rFonts w:ascii="仿宋" w:hAnsi="仿宋" w:eastAsia="仿宋" w:cs="Times New Roman"/>
          <w:sz w:val="32"/>
          <w:szCs w:val="32"/>
        </w:rPr>
        <w:t>至2035年人均应急避难场所面积达到2.1平方米。</w:t>
      </w:r>
    </w:p>
    <w:p>
      <w:pPr>
        <w:pStyle w:val="2"/>
        <w:spacing w:line="560" w:lineRule="exact"/>
        <w:jc w:val="both"/>
        <w:rPr>
          <w:rFonts w:hint="eastAsia" w:cs="Times New Roman"/>
        </w:rPr>
      </w:pPr>
      <w:r>
        <w:rPr>
          <w:rFonts w:cs="Times New Roman"/>
        </w:rPr>
        <w:t>三、规划起草过程</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坚持开门编规划，充分发挥技术团队、专家学者、相关委办局等多主体作用。2024年1</w:t>
      </w:r>
      <w:r>
        <w:rPr>
          <w:rFonts w:hint="eastAsia" w:ascii="仿宋" w:hAnsi="仿宋" w:eastAsia="仿宋" w:cs="Times New Roman"/>
          <w:sz w:val="32"/>
          <w:szCs w:val="32"/>
        </w:rPr>
        <w:t>1</w:t>
      </w:r>
      <w:r>
        <w:rPr>
          <w:rFonts w:ascii="仿宋" w:hAnsi="仿宋" w:eastAsia="仿宋" w:cs="Times New Roman"/>
          <w:sz w:val="32"/>
          <w:szCs w:val="32"/>
        </w:rPr>
        <w:t>月形成初步成果，并分别征求</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各委办局单位意见，对《规划》进行修改完善，形成了《规划》征求意见稿。</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sz w:val="32"/>
          <w:szCs w:val="32"/>
        </w:rPr>
        <w:t>一是以全国应急避难场所综合信息管理服务系统平台数据为基础（数据截止至2024年9月），以《北京市</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应急避难场所评估报告（2023年1</w:t>
      </w:r>
      <w:r>
        <w:rPr>
          <w:rFonts w:hint="eastAsia" w:ascii="仿宋" w:hAnsi="仿宋" w:eastAsia="仿宋" w:cs="Times New Roman"/>
          <w:sz w:val="32"/>
          <w:szCs w:val="32"/>
        </w:rPr>
        <w:t>1</w:t>
      </w:r>
      <w:r>
        <w:rPr>
          <w:rFonts w:ascii="仿宋" w:hAnsi="仿宋" w:eastAsia="仿宋" w:cs="Times New Roman"/>
          <w:sz w:val="32"/>
          <w:szCs w:val="32"/>
        </w:rPr>
        <w:t>月）》为依据，开展了应急避难场所现状分析。二是从市级规划确定的</w:t>
      </w:r>
      <w:r>
        <w:rPr>
          <w:rFonts w:hint="eastAsia" w:ascii="仿宋" w:hAnsi="仿宋" w:eastAsia="仿宋" w:cs="Times New Roman"/>
          <w:sz w:val="32"/>
          <w:szCs w:val="32"/>
        </w:rPr>
        <w:t>9类</w:t>
      </w:r>
      <w:r>
        <w:rPr>
          <w:rFonts w:ascii="仿宋" w:hAnsi="仿宋" w:eastAsia="仿宋" w:cs="Times New Roman"/>
          <w:sz w:val="32"/>
          <w:szCs w:val="32"/>
        </w:rPr>
        <w:t>与应急避难场所防范相关的灾害对象入手开展了</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灾害事故风险分析，给出了</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地震、地质灾害、气象灾害（暴雨、干旱、大风、冰雹、高温、低温、雷电、雪灾）、洪水及森林火灾</w:t>
      </w:r>
      <w:r>
        <w:rPr>
          <w:rFonts w:ascii="仿宋" w:hAnsi="仿宋" w:eastAsia="仿宋" w:cs="Times New Roman"/>
          <w:sz w:val="32"/>
          <w:szCs w:val="32"/>
        </w:rPr>
        <w:t>等综合风险评估结果。三是依据《应急避难场所专项规划编制指南》和相关规范标准，开展了</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应急避难需求及资源分析调查，确定了</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主要可避难资源类型并建立资源数据库，并以此为基础开展了</w:t>
      </w:r>
      <w:r>
        <w:rPr>
          <w:rFonts w:hint="eastAsia" w:ascii="仿宋" w:hAnsi="仿宋" w:eastAsia="仿宋" w:cs="Times New Roman"/>
          <w:sz w:val="32"/>
          <w:szCs w:val="32"/>
        </w:rPr>
        <w:t>本专项</w:t>
      </w:r>
      <w:r>
        <w:rPr>
          <w:rFonts w:ascii="仿宋" w:hAnsi="仿宋" w:eastAsia="仿宋" w:cs="Times New Roman"/>
          <w:sz w:val="32"/>
          <w:szCs w:val="32"/>
        </w:rPr>
        <w:t>规划工作。</w:t>
      </w:r>
    </w:p>
    <w:p>
      <w:pPr>
        <w:pStyle w:val="2"/>
        <w:spacing w:line="560" w:lineRule="exact"/>
        <w:jc w:val="both"/>
        <w:rPr>
          <w:rFonts w:hint="eastAsia" w:cs="Times New Roman"/>
        </w:rPr>
      </w:pPr>
      <w:r>
        <w:rPr>
          <w:rFonts w:cs="Times New Roman"/>
        </w:rPr>
        <w:t>四、主要内容</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（一）确定应急避难场所规划标准指导原则</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为适应建立大安全大应急框架和健全完善国家应急管理体系新任务新要求，规范指导应急避难场所全生命周期工作科学有效开展，2023年至2024年期间，应急管理部、北京市应急管理局会同相关单位出台了一系列应急避难场所新标准：《应急避难场所 术语》（GB/T 44012-2024）、《应急避难场所 分级及分类》（GB/T 44013-2024）、《应急避难场所 标志》（GB/T 44014-2024）、《应急避难场所 分级和分类》（DB11/T 2141-2023）、《应急避难场所 场址及配套设施》（DB11/T 2142-2023）、《应急避难场所 评估导则》（DB11/T 2143-2023）。新标准涵盖了术语、分级分类、标志、场址设施、评估导则规范要素，为应急避难场所规划建设提供了全新指导。新标准的实施终结了以往分级分类不一致、技术指标差异大、管理职责不明晰的局面，对推动应急避难场所标准化规范化建设具有重要指导意义。</w:t>
      </w:r>
    </w:p>
    <w:p>
      <w:pPr>
        <w:spacing w:line="560" w:lineRule="exact"/>
        <w:ind w:firstLine="640" w:firstLineChars="200"/>
        <w:rPr>
          <w:rFonts w:hint="eastAsia" w:ascii="仿宋" w:hAnsi="仿宋" w:eastAsia="仿宋" w:cs="Times New Roman"/>
          <w:sz w:val="32"/>
          <w:szCs w:val="32"/>
        </w:rPr>
      </w:pPr>
      <w:bookmarkStart w:id="1" w:name="_Hlk168778902"/>
      <w:r>
        <w:rPr>
          <w:rFonts w:ascii="仿宋" w:hAnsi="仿宋" w:eastAsia="仿宋" w:cs="Times New Roman"/>
          <w:sz w:val="32"/>
          <w:szCs w:val="32"/>
        </w:rPr>
        <w:t>沿用</w:t>
      </w:r>
      <w:bookmarkEnd w:id="1"/>
      <w:r>
        <w:rPr>
          <w:rFonts w:ascii="仿宋" w:hAnsi="仿宋" w:eastAsia="仿宋" w:cs="Times New Roman"/>
          <w:sz w:val="32"/>
          <w:szCs w:val="32"/>
        </w:rPr>
        <w:t>GB 51143、GB 21734等早期国家标准，全面评估应急避难场所基本现状、功能配置、可达性和相关城乡基础设施，适当融入新标准的前瞻视角，以确保评估的科学性和指导性。关键术语、控制指标、避难资源调查与规划环节严格遵循最新标准要求，确保应急避难场所规划的科学性和可操作性。</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（二）建立各类应急避难资源数据库</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开展应急避难资源调查分析工作，包括室外型避难空间资源（如公园绿地、运动场、广场、大型停车场等）和室内型避难空间资源（如中小学、高等院校、体育馆、文化活动场所、敬老院、福利院等）。通过详细统计和评估，确定了各类避难场所的数量、占地面积及有效避难面积</w:t>
      </w:r>
      <w:r>
        <w:rPr>
          <w:rFonts w:hint="eastAsia" w:ascii="仿宋" w:hAnsi="仿宋" w:eastAsia="仿宋" w:cs="Times New Roman"/>
          <w:sz w:val="32"/>
          <w:szCs w:val="32"/>
        </w:rPr>
        <w:t>。</w:t>
      </w:r>
      <w:r>
        <w:rPr>
          <w:rFonts w:ascii="仿宋" w:hAnsi="仿宋" w:eastAsia="仿宋" w:cs="Times New Roman"/>
          <w:sz w:val="32"/>
          <w:szCs w:val="32"/>
        </w:rPr>
        <w:t>其中</w:t>
      </w:r>
      <w:r>
        <w:rPr>
          <w:rFonts w:hint="eastAsia" w:ascii="仿宋" w:hAnsi="仿宋" w:eastAsia="仿宋" w:cs="Times New Roman"/>
          <w:sz w:val="32"/>
          <w:szCs w:val="32"/>
        </w:rPr>
        <w:t>现状已建成</w:t>
      </w:r>
      <w:r>
        <w:rPr>
          <w:rFonts w:ascii="仿宋" w:hAnsi="仿宋" w:eastAsia="仿宋" w:cs="Times New Roman"/>
          <w:sz w:val="32"/>
          <w:szCs w:val="32"/>
        </w:rPr>
        <w:t>室外型应急避难场所1</w:t>
      </w:r>
      <w:r>
        <w:rPr>
          <w:rFonts w:hint="eastAsia" w:ascii="仿宋" w:hAnsi="仿宋" w:eastAsia="仿宋" w:cs="Times New Roman"/>
          <w:sz w:val="32"/>
          <w:szCs w:val="32"/>
        </w:rPr>
        <w:t>4</w:t>
      </w:r>
      <w:r>
        <w:rPr>
          <w:rFonts w:ascii="仿宋" w:hAnsi="仿宋" w:eastAsia="仿宋" w:cs="Times New Roman"/>
          <w:sz w:val="32"/>
          <w:szCs w:val="32"/>
        </w:rPr>
        <w:t>处，占地面积154.95万平方米，有效避难面积105.73万平方米</w:t>
      </w:r>
      <w:r>
        <w:rPr>
          <w:rFonts w:hint="eastAsia" w:ascii="仿宋" w:hAnsi="仿宋" w:eastAsia="仿宋" w:cs="仿宋_GB2312"/>
          <w:sz w:val="32"/>
          <w:szCs w:val="32"/>
        </w:rPr>
        <w:t>，室内型避难空间资源不足。</w:t>
      </w:r>
      <w:r>
        <w:rPr>
          <w:rFonts w:ascii="仿宋" w:hAnsi="仿宋" w:eastAsia="仿宋" w:cs="Times New Roman"/>
          <w:sz w:val="32"/>
          <w:szCs w:val="32"/>
        </w:rPr>
        <w:t>依据</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2035年规划常住人口</w:t>
      </w:r>
      <w:r>
        <w:rPr>
          <w:rFonts w:hint="eastAsia" w:ascii="仿宋" w:hAnsi="仿宋" w:eastAsia="仿宋" w:cs="Times New Roman"/>
          <w:sz w:val="32"/>
          <w:szCs w:val="32"/>
        </w:rPr>
        <w:t>54</w:t>
      </w:r>
      <w:r>
        <w:rPr>
          <w:rFonts w:ascii="仿宋" w:hAnsi="仿宋" w:eastAsia="仿宋" w:cs="Times New Roman"/>
          <w:sz w:val="32"/>
          <w:szCs w:val="32"/>
        </w:rPr>
        <w:t>万计算，</w:t>
      </w:r>
      <w:r>
        <w:rPr>
          <w:rFonts w:hint="eastAsia" w:ascii="仿宋" w:hAnsi="仿宋" w:eastAsia="仿宋" w:cs="Times New Roman"/>
          <w:sz w:val="32"/>
          <w:szCs w:val="32"/>
        </w:rPr>
        <w:t>现状</w:t>
      </w:r>
      <w:r>
        <w:rPr>
          <w:rFonts w:ascii="仿宋" w:hAnsi="仿宋" w:eastAsia="仿宋" w:cs="Times New Roman"/>
          <w:sz w:val="32"/>
          <w:szCs w:val="32"/>
        </w:rPr>
        <w:t>人均可达</w:t>
      </w:r>
      <w:r>
        <w:rPr>
          <w:rFonts w:hint="eastAsia" w:ascii="仿宋" w:hAnsi="仿宋" w:eastAsia="仿宋" w:cs="Times New Roman"/>
          <w:sz w:val="32"/>
          <w:szCs w:val="32"/>
        </w:rPr>
        <w:t>1.96平方米</w:t>
      </w:r>
      <w:r>
        <w:rPr>
          <w:rFonts w:ascii="仿宋" w:hAnsi="仿宋" w:eastAsia="仿宋" w:cs="Times New Roman"/>
          <w:sz w:val="32"/>
          <w:szCs w:val="32"/>
        </w:rPr>
        <w:t>，</w:t>
      </w:r>
      <w:r>
        <w:rPr>
          <w:rFonts w:hint="eastAsia" w:ascii="仿宋" w:hAnsi="仿宋" w:eastAsia="仿宋" w:cs="Times New Roman"/>
          <w:sz w:val="32"/>
          <w:szCs w:val="32"/>
        </w:rPr>
        <w:t>基本满足避难需求</w:t>
      </w:r>
      <w:r>
        <w:rPr>
          <w:rFonts w:ascii="仿宋" w:hAnsi="仿宋" w:eastAsia="仿宋" w:cs="Times New Roman"/>
          <w:sz w:val="32"/>
          <w:szCs w:val="32"/>
        </w:rPr>
        <w:t>。为后续避难场所规划提供了详实的数据支持和科学依据。</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（三）规划目标与期限</w:t>
      </w:r>
    </w:p>
    <w:p>
      <w:pPr>
        <w:tabs>
          <w:tab w:val="left" w:pos="720"/>
        </w:tabs>
        <w:spacing w:line="560" w:lineRule="exact"/>
        <w:ind w:firstLine="643" w:firstLineChars="200"/>
        <w:rPr>
          <w:rFonts w:hint="eastAsia" w:ascii="仿宋" w:hAnsi="仿宋" w:eastAsia="仿宋" w:cs="Times New Roman"/>
          <w:sz w:val="32"/>
          <w:szCs w:val="32"/>
        </w:rPr>
      </w:pPr>
      <w:r>
        <w:rPr>
          <w:rFonts w:ascii="仿宋" w:hAnsi="仿宋" w:eastAsia="仿宋" w:cs="Times New Roman"/>
          <w:b/>
          <w:bCs/>
          <w:sz w:val="32"/>
          <w:szCs w:val="32"/>
        </w:rPr>
        <w:t>2025年规划目标：</w:t>
      </w:r>
      <w:r>
        <w:rPr>
          <w:rFonts w:hint="eastAsia" w:ascii="仿宋" w:hAnsi="仿宋" w:eastAsia="仿宋" w:cs="Times New Roman"/>
          <w:sz w:val="32"/>
          <w:szCs w:val="32"/>
        </w:rPr>
        <w:t>补短板，推动紧急避难场所建设。怀柔区位于北京城区东北部，距市区50公里，距首都机场32公里。主要对外交通道路为京加路、京密路。怀柔区是首都北部重点生态保育及区域生态治理协作区。初步建立应急避难场所结构体系，对现有避难场所进行改造提升；以泉河、龙山街道避难场所建设为试点，打造示范样板，有序推进避难场所建设；综合性应急避难场所满足怀柔区所需应急避难总人数的60%，室内避难人数不低于室内外避难人数的20%。</w:t>
      </w:r>
    </w:p>
    <w:p>
      <w:pPr>
        <w:spacing w:line="560" w:lineRule="exact"/>
        <w:ind w:firstLine="643" w:firstLineChars="200"/>
        <w:rPr>
          <w:rFonts w:hint="eastAsia" w:ascii="仿宋" w:hAnsi="仿宋" w:eastAsia="仿宋" w:cs="Times New Roman"/>
          <w:sz w:val="32"/>
          <w:szCs w:val="32"/>
        </w:rPr>
      </w:pPr>
      <w:r>
        <w:rPr>
          <w:rFonts w:ascii="仿宋" w:hAnsi="仿宋" w:eastAsia="仿宋" w:cs="Times New Roman"/>
          <w:b/>
          <w:bCs/>
          <w:sz w:val="32"/>
          <w:szCs w:val="32"/>
        </w:rPr>
        <w:t>2035年规划目标：</w:t>
      </w:r>
      <w:r>
        <w:rPr>
          <w:rFonts w:hint="eastAsia" w:ascii="仿宋" w:hAnsi="仿宋" w:eastAsia="仿宋" w:cs="Times New Roman"/>
          <w:sz w:val="32"/>
          <w:szCs w:val="32"/>
        </w:rPr>
        <w:t>完善布局，实现紧急避难场所全覆盖。落实应急避难场所结构体系建设和应急救灾物资储备库建设；按北京市应急避难场所场址及配套设施要求，配套设施设备；建成与怀柔区功能定位相适应的应急避难场所体系，人均应急避难场所面积不小于2.1平方米，满足全区100%规划人口避难需求</w:t>
      </w:r>
      <w:r>
        <w:rPr>
          <w:rFonts w:ascii="仿宋" w:hAnsi="仿宋" w:eastAsia="仿宋" w:cs="Times New Roman"/>
          <w:sz w:val="32"/>
          <w:szCs w:val="32"/>
        </w:rPr>
        <w:t>。</w:t>
      </w:r>
    </w:p>
    <w:p>
      <w:pPr>
        <w:spacing w:line="560" w:lineRule="exact"/>
        <w:ind w:firstLine="643" w:firstLineChars="200"/>
        <w:rPr>
          <w:rFonts w:hint="eastAsia" w:ascii="仿宋" w:hAnsi="仿宋" w:eastAsia="仿宋" w:cs="Times New Roman"/>
          <w:sz w:val="32"/>
          <w:szCs w:val="32"/>
        </w:rPr>
      </w:pPr>
      <w:r>
        <w:rPr>
          <w:rFonts w:ascii="仿宋" w:hAnsi="仿宋" w:eastAsia="仿宋" w:cs="Times New Roman"/>
          <w:b/>
          <w:bCs/>
          <w:sz w:val="32"/>
          <w:szCs w:val="32"/>
        </w:rPr>
        <w:t>长期规划愿景：</w:t>
      </w:r>
      <w:r>
        <w:rPr>
          <w:rFonts w:hint="eastAsia" w:ascii="仿宋" w:hAnsi="仿宋" w:eastAsia="仿宋" w:cs="Times New Roman"/>
          <w:sz w:val="32"/>
          <w:szCs w:val="32"/>
        </w:rPr>
        <w:t>实现现代化，增加“灾时”业务场景。</w:t>
      </w:r>
      <w:r>
        <w:rPr>
          <w:rFonts w:ascii="仿宋" w:hAnsi="仿宋" w:eastAsia="仿宋" w:cs="Times New Roman"/>
          <w:sz w:val="32"/>
          <w:szCs w:val="32"/>
        </w:rPr>
        <w:t>至2050年，</w:t>
      </w:r>
      <w:r>
        <w:rPr>
          <w:rFonts w:hint="eastAsia" w:ascii="仿宋" w:hAnsi="仿宋" w:eastAsia="仿宋" w:cs="Times New Roman"/>
          <w:sz w:val="32"/>
          <w:szCs w:val="32"/>
        </w:rPr>
        <w:t>突出避难场所的分级调度管理和灾时的精细化管理；规范避难场所使用，确保应急避灾场所安全运转；加强怀柔区避难场所对首都功能核心区的支撑保障作用，切实提高应急避难场所的设施配套与服务保障水平。</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（四）应急避难场所分级分类与布局</w:t>
      </w:r>
    </w:p>
    <w:p>
      <w:pPr>
        <w:spacing w:line="560" w:lineRule="exact"/>
        <w:ind w:firstLine="643" w:firstLineChars="200"/>
        <w:rPr>
          <w:rFonts w:hint="eastAsia" w:ascii="仿宋" w:hAnsi="仿宋" w:eastAsia="仿宋" w:cs="Times New Roman"/>
          <w:sz w:val="32"/>
          <w:szCs w:val="32"/>
        </w:rPr>
      </w:pPr>
      <w:r>
        <w:rPr>
          <w:rFonts w:ascii="仿宋" w:hAnsi="仿宋" w:eastAsia="仿宋" w:cs="Times New Roman"/>
          <w:b/>
          <w:bCs/>
          <w:sz w:val="32"/>
          <w:szCs w:val="32"/>
        </w:rPr>
        <w:t>紧急避难场所：</w:t>
      </w:r>
      <w:r>
        <w:rPr>
          <w:rFonts w:ascii="仿宋" w:hAnsi="仿宋" w:eastAsia="仿宋" w:cs="Times New Roman"/>
          <w:sz w:val="32"/>
          <w:szCs w:val="32"/>
        </w:rPr>
        <w:t>以村（社区）级为主，实现</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城乡建设用地全覆盖。</w:t>
      </w:r>
      <w:r>
        <w:rPr>
          <w:rFonts w:hint="eastAsia" w:ascii="仿宋" w:hAnsi="仿宋" w:eastAsia="仿宋" w:cs="Times New Roman"/>
          <w:sz w:val="32"/>
          <w:szCs w:val="32"/>
        </w:rPr>
        <w:t>各乡镇（街道）</w:t>
      </w:r>
      <w:r>
        <w:rPr>
          <w:rFonts w:ascii="仿宋" w:hAnsi="仿宋" w:eastAsia="仿宋" w:cs="Times New Roman"/>
          <w:sz w:val="32"/>
          <w:szCs w:val="32"/>
        </w:rPr>
        <w:t>紧急避难人口服务保障系数为1.</w:t>
      </w:r>
      <w:r>
        <w:rPr>
          <w:rFonts w:hint="eastAsia" w:ascii="仿宋" w:hAnsi="仿宋" w:eastAsia="仿宋" w:cs="Times New Roman"/>
          <w:sz w:val="32"/>
          <w:szCs w:val="32"/>
        </w:rPr>
        <w:t>3，</w:t>
      </w:r>
      <w:r>
        <w:rPr>
          <w:rFonts w:ascii="仿宋" w:hAnsi="仿宋" w:eastAsia="仿宋" w:cs="Times New Roman"/>
          <w:sz w:val="32"/>
          <w:szCs w:val="32"/>
        </w:rPr>
        <w:t>每个村（社区）至少设置1个紧急避难场所，服务半径为500米，人均有效避难面积为0.5~1.5</w:t>
      </w:r>
      <w:r>
        <w:rPr>
          <w:rFonts w:hint="eastAsia" w:ascii="仿宋" w:hAnsi="仿宋" w:eastAsia="仿宋" w:cs="Times New Roman"/>
          <w:sz w:val="32"/>
          <w:szCs w:val="32"/>
        </w:rPr>
        <w:t>平方米</w:t>
      </w:r>
      <w:r>
        <w:rPr>
          <w:rFonts w:ascii="仿宋" w:hAnsi="仿宋" w:eastAsia="仿宋" w:cs="Times New Roman"/>
          <w:sz w:val="32"/>
          <w:szCs w:val="32"/>
        </w:rPr>
        <w:t>。</w:t>
      </w:r>
    </w:p>
    <w:p>
      <w:pPr>
        <w:spacing w:line="560" w:lineRule="exact"/>
        <w:ind w:firstLine="643" w:firstLineChars="200"/>
        <w:rPr>
          <w:rFonts w:hint="eastAsia" w:ascii="仿宋" w:hAnsi="仿宋" w:eastAsia="仿宋" w:cs="Times New Roman"/>
          <w:sz w:val="32"/>
          <w:szCs w:val="32"/>
        </w:rPr>
      </w:pPr>
      <w:r>
        <w:rPr>
          <w:rFonts w:ascii="仿宋" w:hAnsi="仿宋" w:eastAsia="仿宋" w:cs="Times New Roman"/>
          <w:b/>
          <w:bCs/>
          <w:sz w:val="32"/>
          <w:szCs w:val="32"/>
        </w:rPr>
        <w:t>短期避难场所：</w:t>
      </w:r>
      <w:r>
        <w:rPr>
          <w:rFonts w:ascii="仿宋" w:hAnsi="仿宋" w:eastAsia="仿宋" w:cs="Times New Roman"/>
          <w:sz w:val="32"/>
          <w:szCs w:val="32"/>
        </w:rPr>
        <w:t>以乡镇（街道）级为主，实现全区城乡建设用地网格化覆盖。</w:t>
      </w:r>
      <w:r>
        <w:rPr>
          <w:rFonts w:hint="eastAsia" w:ascii="仿宋" w:hAnsi="仿宋" w:eastAsia="仿宋" w:cs="Times New Roman"/>
          <w:sz w:val="32"/>
          <w:szCs w:val="32"/>
        </w:rPr>
        <w:t>各乡镇（街道）短期</w:t>
      </w:r>
      <w:r>
        <w:rPr>
          <w:rFonts w:ascii="仿宋" w:hAnsi="仿宋" w:eastAsia="仿宋" w:cs="Times New Roman"/>
          <w:sz w:val="32"/>
          <w:szCs w:val="32"/>
        </w:rPr>
        <w:t>避难人口服务保障系数为</w:t>
      </w:r>
      <w:r>
        <w:rPr>
          <w:rFonts w:hint="eastAsia" w:ascii="仿宋" w:hAnsi="仿宋" w:eastAsia="仿宋" w:cs="Times New Roman"/>
          <w:sz w:val="32"/>
          <w:szCs w:val="32"/>
        </w:rPr>
        <w:t>0</w:t>
      </w:r>
      <w:r>
        <w:rPr>
          <w:rFonts w:ascii="仿宋" w:hAnsi="仿宋" w:eastAsia="仿宋" w:cs="Times New Roman"/>
          <w:sz w:val="32"/>
          <w:szCs w:val="32"/>
        </w:rPr>
        <w:t>.</w:t>
      </w:r>
      <w:r>
        <w:rPr>
          <w:rFonts w:hint="eastAsia" w:ascii="仿宋" w:hAnsi="仿宋" w:eastAsia="仿宋" w:cs="Times New Roman"/>
          <w:sz w:val="32"/>
          <w:szCs w:val="32"/>
        </w:rPr>
        <w:t>4，</w:t>
      </w:r>
      <w:r>
        <w:rPr>
          <w:rFonts w:ascii="仿宋" w:hAnsi="仿宋" w:eastAsia="仿宋" w:cs="Times New Roman"/>
          <w:sz w:val="32"/>
          <w:szCs w:val="32"/>
        </w:rPr>
        <w:t>每个乡镇（街道）至少设置1个短期避难场所，服务半径为1</w:t>
      </w:r>
      <w:r>
        <w:rPr>
          <w:rFonts w:hint="eastAsia" w:ascii="仿宋" w:hAnsi="仿宋" w:eastAsia="仿宋" w:cs="Times New Roman"/>
          <w:sz w:val="32"/>
          <w:szCs w:val="32"/>
        </w:rPr>
        <w:t>5</w:t>
      </w:r>
      <w:r>
        <w:rPr>
          <w:rFonts w:ascii="仿宋" w:hAnsi="仿宋" w:eastAsia="仿宋" w:cs="Times New Roman"/>
          <w:sz w:val="32"/>
          <w:szCs w:val="32"/>
        </w:rPr>
        <w:t>00米</w:t>
      </w:r>
      <w:r>
        <w:rPr>
          <w:rFonts w:hint="eastAsia" w:ascii="仿宋" w:hAnsi="仿宋" w:eastAsia="仿宋" w:cs="Times New Roman"/>
          <w:sz w:val="32"/>
          <w:szCs w:val="32"/>
        </w:rPr>
        <w:t>，</w:t>
      </w:r>
      <w:r>
        <w:rPr>
          <w:rFonts w:ascii="仿宋" w:hAnsi="仿宋" w:eastAsia="仿宋" w:cs="Times New Roman"/>
          <w:sz w:val="32"/>
          <w:szCs w:val="32"/>
        </w:rPr>
        <w:t>人均有效避难面积为3</w:t>
      </w:r>
      <w:r>
        <w:rPr>
          <w:rFonts w:hint="eastAsia" w:ascii="仿宋" w:hAnsi="仿宋" w:eastAsia="仿宋" w:cs="Times New Roman"/>
          <w:sz w:val="32"/>
          <w:szCs w:val="32"/>
        </w:rPr>
        <w:t>平方米</w:t>
      </w:r>
      <w:r>
        <w:rPr>
          <w:rFonts w:ascii="仿宋" w:hAnsi="仿宋" w:eastAsia="仿宋" w:cs="Times New Roman"/>
          <w:sz w:val="32"/>
          <w:szCs w:val="32"/>
        </w:rPr>
        <w:t>。</w:t>
      </w:r>
    </w:p>
    <w:p>
      <w:pPr>
        <w:spacing w:line="560" w:lineRule="exact"/>
        <w:ind w:firstLine="643" w:firstLineChars="200"/>
        <w:rPr>
          <w:rFonts w:hint="eastAsia" w:ascii="仿宋" w:hAnsi="仿宋" w:eastAsia="仿宋" w:cs="Times New Roman"/>
          <w:sz w:val="32"/>
          <w:szCs w:val="32"/>
        </w:rPr>
      </w:pPr>
      <w:r>
        <w:rPr>
          <w:rFonts w:ascii="仿宋" w:hAnsi="仿宋" w:eastAsia="仿宋" w:cs="Times New Roman"/>
          <w:b/>
          <w:bCs/>
          <w:sz w:val="32"/>
          <w:szCs w:val="32"/>
        </w:rPr>
        <w:t>长期避难场所：</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长期避难人口服务保障系数应达到0.</w:t>
      </w:r>
      <w:r>
        <w:rPr>
          <w:rFonts w:hint="eastAsia" w:ascii="仿宋" w:hAnsi="仿宋" w:eastAsia="仿宋" w:cs="Times New Roman"/>
          <w:sz w:val="32"/>
          <w:szCs w:val="32"/>
        </w:rPr>
        <w:t>1，全区</w:t>
      </w:r>
      <w:r>
        <w:rPr>
          <w:rFonts w:ascii="仿宋" w:hAnsi="仿宋" w:eastAsia="仿宋" w:cs="Times New Roman"/>
          <w:sz w:val="32"/>
          <w:szCs w:val="32"/>
        </w:rPr>
        <w:t>至少设置1处长期避难场所，</w:t>
      </w:r>
      <w:r>
        <w:rPr>
          <w:rFonts w:hint="eastAsia" w:ascii="仿宋" w:hAnsi="仿宋" w:eastAsia="仿宋" w:cs="Times New Roman"/>
          <w:sz w:val="32"/>
          <w:szCs w:val="32"/>
        </w:rPr>
        <w:t>选取怀柔滨河森林公园提升为长期避难场所。在</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南部重要对外疏散通道、重要交通枢纽附近，选取远景储备避难资源，加强</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与周边区要素整合和优势互动，促进区域一体化发展。</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（五）应急避难场所技术指标与规模</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根据规划，</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应急避难场所应满足以下技术指标：</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（1）至2035年，</w:t>
      </w:r>
      <w:r>
        <w:rPr>
          <w:rFonts w:hint="eastAsia" w:ascii="仿宋" w:hAnsi="仿宋" w:eastAsia="仿宋" w:cs="Times New Roman"/>
          <w:sz w:val="32"/>
          <w:szCs w:val="32"/>
        </w:rPr>
        <w:t>区内</w:t>
      </w:r>
      <w:r>
        <w:rPr>
          <w:rFonts w:ascii="仿宋" w:hAnsi="仿宋" w:eastAsia="仿宋" w:cs="Times New Roman"/>
          <w:sz w:val="32"/>
          <w:szCs w:val="32"/>
        </w:rPr>
        <w:t>规划重点</w:t>
      </w:r>
      <w:r>
        <w:rPr>
          <w:rFonts w:hint="eastAsia" w:ascii="仿宋" w:hAnsi="仿宋" w:eastAsia="仿宋" w:cs="Times New Roman"/>
          <w:sz w:val="32"/>
          <w:szCs w:val="32"/>
        </w:rPr>
        <w:t>建设</w:t>
      </w:r>
      <w:r>
        <w:rPr>
          <w:rFonts w:ascii="仿宋" w:hAnsi="仿宋" w:eastAsia="仿宋" w:cs="Times New Roman"/>
          <w:sz w:val="32"/>
          <w:szCs w:val="32"/>
        </w:rPr>
        <w:t>紧急避难场所</w:t>
      </w:r>
      <w:r>
        <w:rPr>
          <w:rFonts w:hint="eastAsia" w:ascii="仿宋" w:hAnsi="仿宋" w:eastAsia="仿宋" w:cs="Times New Roman"/>
          <w:sz w:val="32"/>
          <w:szCs w:val="32"/>
        </w:rPr>
        <w:t>（</w:t>
      </w:r>
      <w:r>
        <w:rPr>
          <w:rFonts w:ascii="仿宋" w:hAnsi="仿宋" w:eastAsia="仿宋" w:cs="Times New Roman"/>
          <w:sz w:val="32"/>
          <w:szCs w:val="32"/>
        </w:rPr>
        <w:t>含已建设点位</w:t>
      </w:r>
      <w:r>
        <w:rPr>
          <w:rFonts w:hint="eastAsia" w:ascii="仿宋" w:hAnsi="仿宋" w:eastAsia="仿宋" w:cs="Times New Roman"/>
          <w:sz w:val="32"/>
          <w:szCs w:val="32"/>
        </w:rPr>
        <w:t>）总有效避难面积不应少于105.3万平方米，实现</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全</w:t>
      </w:r>
      <w:r>
        <w:rPr>
          <w:rFonts w:ascii="仿宋" w:hAnsi="仿宋" w:eastAsia="仿宋" w:cs="Times New Roman"/>
          <w:sz w:val="32"/>
          <w:szCs w:val="32"/>
        </w:rPr>
        <w:t>覆盖</w:t>
      </w:r>
      <w:r>
        <w:rPr>
          <w:rFonts w:hint="eastAsia" w:ascii="仿宋" w:hAnsi="仿宋" w:eastAsia="仿宋" w:cs="Times New Roman"/>
          <w:sz w:val="32"/>
          <w:szCs w:val="32"/>
        </w:rPr>
        <w:t>，需确保</w:t>
      </w:r>
      <w:r>
        <w:rPr>
          <w:rFonts w:ascii="仿宋" w:hAnsi="仿宋" w:eastAsia="仿宋" w:cs="Times New Roman"/>
          <w:sz w:val="32"/>
          <w:szCs w:val="32"/>
        </w:rPr>
        <w:t>紧急避难人口服务保障系数为1.</w:t>
      </w:r>
      <w:r>
        <w:rPr>
          <w:rFonts w:hint="eastAsia" w:ascii="仿宋" w:hAnsi="仿宋" w:eastAsia="仿宋" w:cs="Times New Roman"/>
          <w:sz w:val="32"/>
          <w:szCs w:val="32"/>
        </w:rPr>
        <w:t>3，</w:t>
      </w:r>
      <w:r>
        <w:rPr>
          <w:rFonts w:ascii="仿宋" w:hAnsi="仿宋" w:eastAsia="仿宋" w:cs="Times New Roman"/>
          <w:sz w:val="32"/>
          <w:szCs w:val="32"/>
        </w:rPr>
        <w:t>每个村（社区）至少设置1</w:t>
      </w:r>
      <w:r>
        <w:rPr>
          <w:rFonts w:hint="eastAsia" w:ascii="仿宋" w:hAnsi="仿宋" w:eastAsia="仿宋" w:cs="Times New Roman"/>
          <w:sz w:val="32"/>
          <w:szCs w:val="32"/>
        </w:rPr>
        <w:t>处</w:t>
      </w:r>
      <w:r>
        <w:rPr>
          <w:rFonts w:ascii="仿宋" w:hAnsi="仿宋" w:eastAsia="仿宋" w:cs="Times New Roman"/>
          <w:sz w:val="32"/>
          <w:szCs w:val="32"/>
        </w:rPr>
        <w:t>。</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（2）至2035年，</w:t>
      </w:r>
      <w:r>
        <w:rPr>
          <w:rFonts w:hint="eastAsia" w:ascii="仿宋" w:hAnsi="仿宋" w:eastAsia="仿宋" w:cs="Times New Roman"/>
          <w:sz w:val="32"/>
          <w:szCs w:val="32"/>
        </w:rPr>
        <w:t>区内</w:t>
      </w:r>
      <w:r>
        <w:rPr>
          <w:rFonts w:ascii="仿宋" w:hAnsi="仿宋" w:eastAsia="仿宋" w:cs="Times New Roman"/>
          <w:sz w:val="32"/>
          <w:szCs w:val="32"/>
        </w:rPr>
        <w:t>规划重点</w:t>
      </w:r>
      <w:r>
        <w:rPr>
          <w:rFonts w:hint="eastAsia" w:ascii="仿宋" w:hAnsi="仿宋" w:eastAsia="仿宋" w:cs="Times New Roman"/>
          <w:sz w:val="32"/>
          <w:szCs w:val="32"/>
        </w:rPr>
        <w:t>建设短期</w:t>
      </w:r>
      <w:r>
        <w:rPr>
          <w:rFonts w:ascii="仿宋" w:hAnsi="仿宋" w:eastAsia="仿宋" w:cs="Times New Roman"/>
          <w:sz w:val="32"/>
          <w:szCs w:val="32"/>
        </w:rPr>
        <w:t>避难场所</w:t>
      </w:r>
      <w:r>
        <w:rPr>
          <w:rFonts w:hint="eastAsia" w:ascii="仿宋" w:hAnsi="仿宋" w:eastAsia="仿宋" w:cs="Times New Roman"/>
          <w:sz w:val="32"/>
          <w:szCs w:val="32"/>
        </w:rPr>
        <w:t>（</w:t>
      </w:r>
      <w:r>
        <w:rPr>
          <w:rFonts w:ascii="仿宋" w:hAnsi="仿宋" w:eastAsia="仿宋" w:cs="Times New Roman"/>
          <w:sz w:val="32"/>
          <w:szCs w:val="32"/>
        </w:rPr>
        <w:t>含已建设点位</w:t>
      </w:r>
      <w:r>
        <w:rPr>
          <w:rFonts w:hint="eastAsia" w:ascii="仿宋" w:hAnsi="仿宋" w:eastAsia="仿宋" w:cs="Times New Roman"/>
          <w:sz w:val="32"/>
          <w:szCs w:val="32"/>
        </w:rPr>
        <w:t>）总有效避难面积应不少于43.2万平方米，需确保短期</w:t>
      </w:r>
      <w:r>
        <w:rPr>
          <w:rFonts w:ascii="仿宋" w:hAnsi="仿宋" w:eastAsia="仿宋" w:cs="Times New Roman"/>
          <w:sz w:val="32"/>
          <w:szCs w:val="32"/>
        </w:rPr>
        <w:t>避难人口服务保障系数为</w:t>
      </w:r>
      <w:r>
        <w:rPr>
          <w:rFonts w:hint="eastAsia" w:ascii="仿宋" w:hAnsi="仿宋" w:eastAsia="仿宋" w:cs="Times New Roman"/>
          <w:sz w:val="32"/>
          <w:szCs w:val="32"/>
        </w:rPr>
        <w:t>0.4，实现各乡镇（街道）全区域覆盖。</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（3）至2035年，规划</w:t>
      </w:r>
      <w:r>
        <w:rPr>
          <w:rFonts w:hint="eastAsia" w:ascii="仿宋" w:hAnsi="仿宋" w:eastAsia="仿宋" w:cs="Times New Roman"/>
          <w:sz w:val="32"/>
          <w:szCs w:val="32"/>
        </w:rPr>
        <w:t>升级改造怀柔滨河森林公园为长期避难场所，长期避难场所总有效避难面积不得少于24.3万平方米，需确保长期</w:t>
      </w:r>
      <w:r>
        <w:rPr>
          <w:rFonts w:ascii="仿宋" w:hAnsi="仿宋" w:eastAsia="仿宋" w:cs="Times New Roman"/>
          <w:sz w:val="32"/>
          <w:szCs w:val="32"/>
        </w:rPr>
        <w:t>避难人口服务保障系数为</w:t>
      </w:r>
      <w:r>
        <w:rPr>
          <w:rFonts w:hint="eastAsia" w:ascii="仿宋" w:hAnsi="仿宋" w:eastAsia="仿宋" w:cs="Times New Roman"/>
          <w:sz w:val="32"/>
          <w:szCs w:val="32"/>
        </w:rPr>
        <w:t>0.1</w:t>
      </w:r>
      <w:r>
        <w:rPr>
          <w:rFonts w:ascii="仿宋" w:hAnsi="仿宋" w:eastAsia="仿宋" w:cs="Times New Roman"/>
          <w:sz w:val="32"/>
          <w:szCs w:val="32"/>
        </w:rPr>
        <w:t>。</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（六）应急疏散与交通保障</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以陆路交通为主，其他交通方式为补充，构建与应急避难场所能力相匹配的区内避难疏散通道网络体系。</w:t>
      </w:r>
    </w:p>
    <w:p>
      <w:pPr>
        <w:spacing w:line="560" w:lineRule="exact"/>
        <w:ind w:firstLine="640" w:firstLineChars="200"/>
        <w:rPr>
          <w:rFonts w:hint="eastAsia" w:ascii="仿宋" w:hAnsi="仿宋" w:eastAsia="仿宋" w:cs="Times New Roman"/>
          <w:b/>
          <w:bCs/>
          <w:sz w:val="32"/>
          <w:szCs w:val="32"/>
        </w:rPr>
      </w:pPr>
      <w:r>
        <w:rPr>
          <w:rFonts w:hint="eastAsia" w:ascii="仿宋" w:hAnsi="仿宋" w:eastAsia="仿宋" w:cs="Times New Roman"/>
          <w:sz w:val="32"/>
          <w:szCs w:val="32"/>
        </w:rPr>
        <w:t>结合城区主干道和次干道，划定城市救灾主干道、区内救灾通道等避难救援体系。根据</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周边地区的地形特点，引导形成不同方向避难救援交通重点道路，</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hint="eastAsia" w:ascii="仿宋" w:hAnsi="仿宋" w:eastAsia="仿宋" w:cs="Times New Roman"/>
          <w:sz w:val="32"/>
          <w:szCs w:val="32"/>
        </w:rPr>
        <w:t>对外应急救援方向应以东部和南部两个方向为主。北部被山区包围，不宜安排大批人员的安置和物资调配；南部顺义区处于平原地带，可适当安置疏散人员及物资运输。加强与周边平谷区、密云区的交通应急保障合作机制，切实规范和做好跨区域抢险救灾车辆、社会救援车辆在行政区域内的公路通行服务保障工作。加强灾区周边陆、铁、空运输的统一指挥调度，确保灾区交通安全有序，保障应急救援人员和装备的优先、快捷运送。</w:t>
      </w:r>
    </w:p>
    <w:p>
      <w:pPr>
        <w:spacing w:line="560" w:lineRule="exact"/>
        <w:ind w:firstLine="640" w:firstLineChars="200"/>
        <w:rPr>
          <w:rFonts w:hint="eastAsia" w:ascii="仿宋" w:hAnsi="仿宋" w:eastAsia="仿宋" w:cs="Times New Roman"/>
          <w:kern w:val="0"/>
          <w:sz w:val="32"/>
          <w:szCs w:val="32"/>
        </w:rPr>
      </w:pPr>
      <w:r>
        <w:rPr>
          <w:rFonts w:ascii="仿宋" w:hAnsi="仿宋" w:eastAsia="仿宋" w:cs="Times New Roman"/>
          <w:kern w:val="0"/>
          <w:sz w:val="32"/>
          <w:szCs w:val="32"/>
        </w:rPr>
        <w:t>（</w:t>
      </w:r>
      <w:r>
        <w:rPr>
          <w:rFonts w:hint="eastAsia" w:ascii="仿宋" w:hAnsi="仿宋" w:eastAsia="仿宋" w:cs="Times New Roman"/>
          <w:kern w:val="0"/>
          <w:sz w:val="32"/>
          <w:szCs w:val="32"/>
        </w:rPr>
        <w:t>七</w:t>
      </w:r>
      <w:r>
        <w:rPr>
          <w:rFonts w:ascii="仿宋" w:hAnsi="仿宋" w:eastAsia="仿宋" w:cs="Times New Roman"/>
          <w:kern w:val="0"/>
          <w:sz w:val="32"/>
          <w:szCs w:val="32"/>
        </w:rPr>
        <w:t>）突出精细化服务引导</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推进</w:t>
      </w:r>
      <w:r>
        <w:rPr>
          <w:rFonts w:hint="eastAsia" w:ascii="仿宋" w:hAnsi="仿宋" w:eastAsia="仿宋" w:cs="Times New Roman"/>
          <w:sz w:val="32"/>
          <w:szCs w:val="32"/>
        </w:rPr>
        <w:t>怀柔区中心城区</w:t>
      </w:r>
      <w:r>
        <w:rPr>
          <w:rFonts w:ascii="仿宋" w:hAnsi="仿宋" w:eastAsia="仿宋" w:cs="Times New Roman"/>
          <w:sz w:val="32"/>
          <w:szCs w:val="32"/>
        </w:rPr>
        <w:t>集中承载空间周边地区应急避难场所的高标准建设，关注城市和乡村地区应急避难场所的均等化、差异化配置。在人口稠密区域和灾害易发区域加强应急避难场所的建设和布局。加快推进室内应急避难场所建设，特别是在重要地区、部分灾害受影响区域、敏感人群集中区域鼓励推进室内应急避难场所建设</w:t>
      </w:r>
      <w:r>
        <w:rPr>
          <w:rFonts w:hint="eastAsia" w:ascii="仿宋" w:hAnsi="仿宋" w:eastAsia="仿宋" w:cs="Times New Roman"/>
          <w:sz w:val="32"/>
          <w:szCs w:val="32"/>
        </w:rPr>
        <w:t>，</w:t>
      </w:r>
      <w:r>
        <w:rPr>
          <w:rFonts w:ascii="仿宋" w:hAnsi="仿宋" w:eastAsia="仿宋" w:cs="Times New Roman"/>
          <w:sz w:val="32"/>
          <w:szCs w:val="32"/>
        </w:rPr>
        <w:t>有助于提高避难场所的容纳能力和安全性。</w:t>
      </w:r>
      <w:r>
        <w:rPr>
          <w:rFonts w:hint="eastAsia" w:ascii="仿宋" w:hAnsi="仿宋" w:eastAsia="仿宋" w:cs="Times New Roman"/>
          <w:sz w:val="32"/>
          <w:szCs w:val="32"/>
        </w:rPr>
        <w:t>精细区分紧急、短期和长期避难场所的功能分区、设施设备、物资储备等设计要求。</w:t>
      </w:r>
    </w:p>
    <w:p>
      <w:pPr>
        <w:pStyle w:val="2"/>
        <w:spacing w:line="560" w:lineRule="exact"/>
        <w:jc w:val="both"/>
        <w:rPr>
          <w:rFonts w:hint="eastAsia" w:cs="Times New Roman"/>
        </w:rPr>
      </w:pPr>
      <w:r>
        <w:rPr>
          <w:rFonts w:cs="Times New Roman"/>
        </w:rPr>
        <w:t>五、分级分类</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应急管理部、自然资源部、住房城乡建设部等12部委联合印发《关于加强应急避难场所建设的指导意见》（应急〔2023〕76号）文件要求。</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根据应急避难场所功能属性及分类管理需要，进一步规范应急避难场所类型划分，按照</w:t>
      </w:r>
      <w:r>
        <w:rPr>
          <w:rFonts w:hint="eastAsia" w:ascii="仿宋" w:hAnsi="仿宋" w:eastAsia="仿宋" w:cs="Times New Roman"/>
          <w:sz w:val="32"/>
          <w:szCs w:val="32"/>
        </w:rPr>
        <w:t>空间类型</w:t>
      </w:r>
      <w:r>
        <w:rPr>
          <w:rFonts w:ascii="仿宋" w:hAnsi="仿宋" w:eastAsia="仿宋" w:cs="Times New Roman"/>
          <w:sz w:val="32"/>
          <w:szCs w:val="32"/>
        </w:rPr>
        <w:t>可分为室内型和室外型应急避难场所，按照</w:t>
      </w:r>
      <w:r>
        <w:rPr>
          <w:rFonts w:hint="eastAsia" w:ascii="仿宋" w:hAnsi="仿宋" w:eastAsia="仿宋" w:cs="Times New Roman"/>
          <w:sz w:val="32"/>
          <w:szCs w:val="32"/>
        </w:rPr>
        <w:t>避难功能</w:t>
      </w:r>
      <w:r>
        <w:rPr>
          <w:rFonts w:ascii="仿宋" w:hAnsi="仿宋" w:eastAsia="仿宋" w:cs="Times New Roman"/>
          <w:sz w:val="32"/>
          <w:szCs w:val="32"/>
        </w:rPr>
        <w:t>可分为综合性和单一性应急避难场所，按照避难时长、面积及人数等可分为紧急、短期、长期应急避难场所，根据特殊需求及功能需要可设置特定应急避难场所。</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遵循发展规划、国土空间总体规划</w:t>
      </w:r>
      <w:r>
        <w:rPr>
          <w:rFonts w:hint="eastAsia" w:ascii="仿宋" w:hAnsi="仿宋" w:eastAsia="仿宋" w:cs="Times New Roman"/>
          <w:sz w:val="32"/>
          <w:szCs w:val="32"/>
        </w:rPr>
        <w:t>要求，</w:t>
      </w:r>
      <w:r>
        <w:rPr>
          <w:rFonts w:ascii="仿宋" w:hAnsi="仿宋" w:eastAsia="仿宋" w:cs="Times New Roman"/>
          <w:sz w:val="32"/>
          <w:szCs w:val="32"/>
        </w:rPr>
        <w:t>开展</w:t>
      </w:r>
      <w:r>
        <w:rPr>
          <w:rFonts w:hint="eastAsia" w:ascii="仿宋" w:hAnsi="仿宋" w:eastAsia="仿宋" w:cs="微软雅黑"/>
          <w:sz w:val="32"/>
          <w:szCs w:val="32"/>
        </w:rPr>
        <w:t>怀柔</w:t>
      </w:r>
      <w:r>
        <w:rPr>
          <w:rFonts w:hint="eastAsia" w:ascii="仿宋" w:hAnsi="仿宋" w:eastAsia="仿宋" w:cs="___WRD_EMBED_SUB_45"/>
          <w:sz w:val="32"/>
          <w:szCs w:val="32"/>
        </w:rPr>
        <w:t>区</w:t>
      </w:r>
      <w:r>
        <w:rPr>
          <w:rFonts w:ascii="仿宋" w:hAnsi="仿宋" w:eastAsia="仿宋" w:cs="Times New Roman"/>
          <w:sz w:val="32"/>
          <w:szCs w:val="32"/>
        </w:rPr>
        <w:t>应急避难场所规划编制，批复后按程序纳入详细规划及国土空间规划“一张图”，初步形成</w:t>
      </w:r>
      <w:r>
        <w:rPr>
          <w:rFonts w:hint="eastAsia" w:ascii="仿宋" w:hAnsi="仿宋" w:eastAsia="仿宋" w:cs="Times New Roman"/>
          <w:sz w:val="32"/>
          <w:szCs w:val="32"/>
        </w:rPr>
        <w:t>区</w:t>
      </w:r>
      <w:r>
        <w:rPr>
          <w:rFonts w:ascii="仿宋" w:hAnsi="仿宋" w:eastAsia="仿宋" w:cs="Times New Roman"/>
          <w:sz w:val="32"/>
          <w:szCs w:val="32"/>
        </w:rPr>
        <w:t>、乡镇（街道）和村（社区）</w:t>
      </w:r>
      <w:r>
        <w:rPr>
          <w:rFonts w:hint="eastAsia" w:ascii="仿宋" w:hAnsi="仿宋" w:eastAsia="仿宋" w:cs="Times New Roman"/>
          <w:sz w:val="32"/>
          <w:szCs w:val="32"/>
        </w:rPr>
        <w:t>三</w:t>
      </w:r>
      <w:r>
        <w:rPr>
          <w:rFonts w:ascii="仿宋" w:hAnsi="仿宋" w:eastAsia="仿宋" w:cs="Times New Roman"/>
          <w:sz w:val="32"/>
          <w:szCs w:val="32"/>
        </w:rPr>
        <w:t>级应急避难场所布局体系，乡村应急避难场所覆盖范围进一步扩大，综合防灾减灾功能进一步夯实。</w:t>
      </w:r>
    </w:p>
    <w:p>
      <w:pPr>
        <w:rPr>
          <w:rFonts w:hint="eastAsia"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___WRD_EMBED_SUB_45">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407326"/>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C0"/>
    <w:rsid w:val="000140C0"/>
    <w:rsid w:val="00020FBE"/>
    <w:rsid w:val="000C0328"/>
    <w:rsid w:val="00191CC3"/>
    <w:rsid w:val="00264575"/>
    <w:rsid w:val="003743D5"/>
    <w:rsid w:val="006F254D"/>
    <w:rsid w:val="007B3529"/>
    <w:rsid w:val="007F281A"/>
    <w:rsid w:val="00805A72"/>
    <w:rsid w:val="008539A7"/>
    <w:rsid w:val="00877A80"/>
    <w:rsid w:val="008A2C15"/>
    <w:rsid w:val="008A5A7B"/>
    <w:rsid w:val="00A370CD"/>
    <w:rsid w:val="00AF4A1F"/>
    <w:rsid w:val="00BF6EB5"/>
    <w:rsid w:val="00C04440"/>
    <w:rsid w:val="00D80BC8"/>
    <w:rsid w:val="00EB4076"/>
    <w:rsid w:val="00F753E2"/>
    <w:rsid w:val="54E20CDC"/>
    <w:rsid w:val="75AA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ind w:firstLine="643" w:firstLineChars="200"/>
      <w:jc w:val="left"/>
      <w:outlineLvl w:val="0"/>
    </w:pPr>
    <w:rPr>
      <w:rFonts w:ascii="黑体" w:hAnsi="黑体" w:eastAsia="黑体"/>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unhideWhenUsed/>
    <w:qFormat/>
    <w:uiPriority w:val="0"/>
    <w:rPr>
      <w:rFonts w:ascii="宋体" w:hAnsi="Courier New" w:eastAsia="仿宋_GB2312" w:cs="Times New Roman"/>
      <w:sz w:val="32"/>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黑体" w:hAnsi="黑体" w:eastAsia="黑体"/>
      <w:b/>
      <w:bCs/>
      <w:sz w:val="32"/>
      <w:szCs w:val="32"/>
    </w:rPr>
  </w:style>
  <w:style w:type="character" w:customStyle="1" w:styleId="12">
    <w:name w:val="纯文本 字符"/>
    <w:basedOn w:val="7"/>
    <w:semiHidden/>
    <w:qFormat/>
    <w:uiPriority w:val="99"/>
    <w:rPr>
      <w:rFonts w:hAnsi="Courier New" w:cs="Courier New" w:asciiTheme="minorEastAsia"/>
    </w:rPr>
  </w:style>
  <w:style w:type="character" w:customStyle="1" w:styleId="13">
    <w:name w:val="纯文本 字符1"/>
    <w:basedOn w:val="7"/>
    <w:link w:val="3"/>
    <w:qFormat/>
    <w:uiPriority w:val="0"/>
    <w:rPr>
      <w:rFonts w:ascii="宋体" w:hAnsi="Courier New" w:eastAsia="仿宋_GB2312"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3F28A-9910-40BB-AFD6-312D0E901C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580</Words>
  <Characters>3312</Characters>
  <Lines>27</Lines>
  <Paragraphs>7</Paragraphs>
  <TotalTime>471</TotalTime>
  <ScaleCrop>false</ScaleCrop>
  <LinksUpToDate>false</LinksUpToDate>
  <CharactersWithSpaces>3885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2024-10-24T05:58:00Z</dcterms:created>
  <dc:creator>HT</dc:creator>
  <cp:lastModifiedBy>lenovobj</cp:lastModifiedBy>
  <dcterms:modified xsi:type="dcterms:W3CDTF">2024-11-05T03:25:29Z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