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utoSpaceDE w:val="0"/>
        <w:autoSpaceDN w:val="0"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color w:val="11111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111113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111113"/>
          <w:sz w:val="32"/>
          <w:szCs w:val="32"/>
          <w:lang w:val="en-US" w:eastAsia="zh-CN"/>
        </w:rPr>
        <w:t>1：</w:t>
      </w:r>
    </w:p>
    <w:p>
      <w:pPr>
        <w:widowControl w:val="0"/>
        <w:wordWrap/>
        <w:autoSpaceDE w:val="0"/>
        <w:autoSpaceDN w:val="0"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111113"/>
          <w:sz w:val="44"/>
          <w:szCs w:val="44"/>
          <w:lang w:eastAsia="zh-CN"/>
        </w:rPr>
      </w:pPr>
    </w:p>
    <w:p>
      <w:pPr>
        <w:widowControl w:val="0"/>
        <w:wordWrap/>
        <w:autoSpaceDE w:val="0"/>
        <w:autoSpaceDN w:val="0"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111113"/>
          <w:w w:val="95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111113"/>
          <w:sz w:val="44"/>
          <w:szCs w:val="44"/>
          <w:lang w:eastAsia="zh-CN"/>
        </w:rPr>
        <w:t>北京市东城区正阳门箭楼门票价格方案</w:t>
      </w:r>
    </w:p>
    <w:p>
      <w:pPr>
        <w:widowControl w:val="0"/>
        <w:wordWrap/>
        <w:autoSpaceDE w:val="0"/>
        <w:autoSpaceDN w:val="0"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（征求意见稿）</w:t>
      </w:r>
    </w:p>
    <w:p>
      <w:pPr>
        <w:widowControl w:val="0"/>
        <w:wordWrap/>
        <w:autoSpaceDE w:val="0"/>
        <w:autoSpaceDN w:val="0"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/>
          <w:sz w:val="32"/>
          <w:szCs w:val="32"/>
          <w:lang w:eastAsia="zh-CN"/>
        </w:rPr>
      </w:pPr>
    </w:p>
    <w:p>
      <w:pPr>
        <w:widowControl w:val="0"/>
        <w:wordWrap/>
        <w:autoSpaceDE w:val="0"/>
        <w:autoSpaceDN w:val="0"/>
        <w:adjustRightInd/>
        <w:snapToGrid/>
        <w:spacing w:line="560" w:lineRule="exact"/>
        <w:ind w:left="42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111113"/>
          <w:spacing w:val="0"/>
          <w:w w:val="100"/>
          <w:sz w:val="32"/>
          <w:szCs w:val="28"/>
          <w:lang w:eastAsia="zh-CN"/>
        </w:rPr>
      </w:pPr>
      <w:r>
        <w:rPr>
          <w:rFonts w:hint="eastAsia" w:ascii="Times New Roman" w:hAnsi="Times New Roman" w:eastAsia="仿宋_GB2312"/>
          <w:color w:val="111113"/>
          <w:spacing w:val="0"/>
          <w:w w:val="100"/>
          <w:sz w:val="32"/>
          <w:szCs w:val="28"/>
          <w:lang w:eastAsia="zh-CN"/>
        </w:rPr>
        <w:t>北京市东城区正阳门箭楼修缮及《北京中轴线——中国都城理想秩序的杰作》专题展布展工作基本完成，基本具备开放条件。为发挥价格管理机制在促进</w:t>
      </w:r>
      <w:bookmarkStart w:id="0" w:name="_Hlk181169151"/>
      <w:r>
        <w:rPr>
          <w:rFonts w:hint="eastAsia" w:ascii="Times New Roman" w:hAnsi="Times New Roman" w:eastAsia="仿宋_GB2312"/>
          <w:color w:val="111113"/>
          <w:spacing w:val="0"/>
          <w:w w:val="100"/>
          <w:sz w:val="32"/>
          <w:szCs w:val="28"/>
          <w:lang w:eastAsia="zh-CN"/>
        </w:rPr>
        <w:t>正阳门箭楼景区</w:t>
      </w:r>
      <w:bookmarkEnd w:id="0"/>
      <w:r>
        <w:rPr>
          <w:rFonts w:hint="eastAsia" w:ascii="Times New Roman" w:hAnsi="Times New Roman" w:eastAsia="仿宋_GB2312"/>
          <w:color w:val="111113"/>
          <w:spacing w:val="0"/>
          <w:w w:val="100"/>
          <w:sz w:val="32"/>
          <w:szCs w:val="28"/>
          <w:lang w:eastAsia="zh-CN"/>
        </w:rPr>
        <w:t xml:space="preserve">管理方面的积极作用，提高正阳门箭楼景区质量，促进正阳门箭楼景区持续健康发展，保证广大游客合法权益，根据《政府制定价格行为规则》《政府制定价格成本监审办法》《北京市发展和改革委员会关于印发&lt;北京市定价目录&gt;的通知》，我委研究制定了《北京市东城区正阳门箭楼门票价格方案（征求意见稿）》，有关事项通告如下： </w:t>
      </w:r>
    </w:p>
    <w:p>
      <w:pPr>
        <w:widowControl w:val="0"/>
        <w:wordWrap/>
        <w:autoSpaceDE w:val="0"/>
        <w:autoSpaceDN w:val="0"/>
        <w:adjustRightInd/>
        <w:snapToGrid/>
        <w:spacing w:line="560" w:lineRule="exact"/>
        <w:ind w:left="2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111113"/>
          <w:spacing w:val="0"/>
          <w:w w:val="100"/>
          <w:sz w:val="32"/>
          <w:szCs w:val="28"/>
          <w:lang w:eastAsia="zh-CN"/>
        </w:rPr>
      </w:pPr>
      <w:r>
        <w:rPr>
          <w:rFonts w:hint="eastAsia" w:ascii="黑体" w:hAnsi="黑体" w:eastAsia="黑体" w:cs="黑体"/>
          <w:color w:val="111113"/>
          <w:spacing w:val="0"/>
          <w:w w:val="100"/>
          <w:sz w:val="32"/>
          <w:szCs w:val="28"/>
          <w:lang w:eastAsia="zh-CN"/>
        </w:rPr>
        <w:t>一、门票价格</w:t>
      </w:r>
    </w:p>
    <w:p>
      <w:pPr>
        <w:widowControl w:val="0"/>
        <w:wordWrap/>
        <w:autoSpaceDE w:val="0"/>
        <w:autoSpaceDN w:val="0"/>
        <w:adjustRightInd/>
        <w:snapToGrid/>
        <w:spacing w:line="560" w:lineRule="exact"/>
        <w:ind w:left="2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111113"/>
          <w:spacing w:val="0"/>
          <w:w w:val="100"/>
          <w:sz w:val="32"/>
          <w:szCs w:val="28"/>
          <w:lang w:eastAsia="zh-CN"/>
        </w:rPr>
      </w:pPr>
      <w:r>
        <w:rPr>
          <w:rFonts w:hint="eastAsia" w:ascii="Times New Roman" w:hAnsi="Times New Roman" w:eastAsia="仿宋_GB2312"/>
          <w:color w:val="111113"/>
          <w:spacing w:val="0"/>
          <w:w w:val="100"/>
          <w:sz w:val="32"/>
          <w:szCs w:val="28"/>
          <w:lang w:eastAsia="zh-CN"/>
        </w:rPr>
        <w:t>正阳门箭楼门票价格为全价为15.00</w:t>
      </w:r>
      <w:r>
        <w:rPr>
          <w:rFonts w:ascii="Times New Roman" w:hAnsi="Times New Roman" w:eastAsia="仿宋_GB2312"/>
          <w:color w:val="111113"/>
          <w:spacing w:val="0"/>
          <w:w w:val="100"/>
          <w:sz w:val="32"/>
          <w:szCs w:val="28"/>
          <w:lang w:eastAsia="zh-CN"/>
        </w:rPr>
        <w:t>元/人次，</w:t>
      </w:r>
      <w:r>
        <w:rPr>
          <w:rFonts w:hint="eastAsia" w:ascii="Times New Roman" w:hAnsi="Times New Roman" w:eastAsia="仿宋_GB2312" w:cs="MS Gothic"/>
          <w:color w:val="111113"/>
          <w:spacing w:val="0"/>
          <w:w w:val="100"/>
          <w:sz w:val="32"/>
          <w:szCs w:val="28"/>
          <w:lang w:eastAsia="zh-CN"/>
        </w:rPr>
        <w:t>‌</w:t>
      </w:r>
      <w:r>
        <w:rPr>
          <w:rFonts w:ascii="Times New Roman" w:hAnsi="Times New Roman" w:eastAsia="仿宋_GB2312"/>
          <w:color w:val="111113"/>
          <w:spacing w:val="0"/>
          <w:w w:val="100"/>
          <w:sz w:val="32"/>
          <w:szCs w:val="28"/>
          <w:lang w:eastAsia="zh-CN"/>
        </w:rPr>
        <w:t>优惠票价为</w:t>
      </w:r>
      <w:r>
        <w:rPr>
          <w:rFonts w:hint="eastAsia" w:ascii="Times New Roman" w:hAnsi="Times New Roman" w:eastAsia="仿宋_GB2312"/>
          <w:color w:val="111113"/>
          <w:spacing w:val="0"/>
          <w:w w:val="100"/>
          <w:sz w:val="32"/>
          <w:szCs w:val="28"/>
          <w:lang w:eastAsia="zh-CN"/>
        </w:rPr>
        <w:t>7.00</w:t>
      </w:r>
      <w:r>
        <w:rPr>
          <w:rFonts w:ascii="Times New Roman" w:hAnsi="Times New Roman" w:eastAsia="仿宋_GB2312"/>
          <w:color w:val="111113"/>
          <w:spacing w:val="0"/>
          <w:w w:val="100"/>
          <w:sz w:val="32"/>
          <w:szCs w:val="28"/>
          <w:lang w:eastAsia="zh-CN"/>
        </w:rPr>
        <w:t>元/人次。</w:t>
      </w:r>
      <w:r>
        <w:rPr>
          <w:rFonts w:hint="eastAsia" w:ascii="Times New Roman" w:hAnsi="Times New Roman" w:eastAsia="仿宋_GB2312" w:cs="MS Gothic"/>
          <w:color w:val="111113"/>
          <w:spacing w:val="0"/>
          <w:w w:val="100"/>
          <w:sz w:val="32"/>
          <w:szCs w:val="28"/>
          <w:lang w:eastAsia="zh-CN"/>
        </w:rPr>
        <w:t>‌‌</w:t>
      </w:r>
    </w:p>
    <w:p>
      <w:pPr>
        <w:widowControl w:val="0"/>
        <w:wordWrap/>
        <w:autoSpaceDE w:val="0"/>
        <w:autoSpaceDN w:val="0"/>
        <w:adjustRightInd/>
        <w:snapToGrid/>
        <w:spacing w:line="560" w:lineRule="exact"/>
        <w:ind w:left="2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111113"/>
          <w:spacing w:val="0"/>
          <w:w w:val="100"/>
          <w:sz w:val="32"/>
          <w:szCs w:val="28"/>
          <w:lang w:eastAsia="zh-CN"/>
        </w:rPr>
      </w:pPr>
      <w:r>
        <w:rPr>
          <w:rFonts w:hint="eastAsia" w:ascii="Times New Roman" w:hAnsi="Times New Roman" w:eastAsia="仿宋_GB2312"/>
          <w:color w:val="111113"/>
          <w:spacing w:val="0"/>
          <w:w w:val="100"/>
          <w:sz w:val="32"/>
          <w:szCs w:val="28"/>
          <w:lang w:eastAsia="zh-CN"/>
        </w:rPr>
        <w:t>1. 18周岁（含）以上、本科及以下学历在读学生（不含成人教育、留学生），预约后持学生证原件等有效身份证明享受7.00元/人次门票优惠。</w:t>
      </w:r>
    </w:p>
    <w:p>
      <w:pPr>
        <w:widowControl w:val="0"/>
        <w:wordWrap/>
        <w:autoSpaceDE w:val="0"/>
        <w:autoSpaceDN w:val="0"/>
        <w:adjustRightInd/>
        <w:snapToGrid/>
        <w:spacing w:line="560" w:lineRule="exact"/>
        <w:ind w:left="2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111113"/>
          <w:spacing w:val="0"/>
          <w:w w:val="100"/>
          <w:sz w:val="32"/>
          <w:szCs w:val="28"/>
          <w:lang w:eastAsia="zh-CN"/>
        </w:rPr>
      </w:pPr>
      <w:r>
        <w:rPr>
          <w:rFonts w:hint="eastAsia" w:ascii="Times New Roman" w:hAnsi="Times New Roman" w:eastAsia="仿宋_GB2312"/>
          <w:color w:val="111113"/>
          <w:spacing w:val="0"/>
          <w:w w:val="100"/>
          <w:sz w:val="32"/>
          <w:szCs w:val="28"/>
          <w:lang w:eastAsia="zh-CN"/>
        </w:rPr>
        <w:t>2. 18周岁（不含）以下、60周岁（含）以上观众（含港澳台居民及外籍人士）预约后持有效证件原件免费参观；残疾人（陪护人员不免费）、现役军人、残疾军人预约后持有效证件原件免费参观；现役消防救援人员、北京市见义勇为荣誉人员、北京市劳动模范、英雄模范、持北京市总工会“京卡·互助服务卡”的观众，预约后持有效证件原件免费参观。退役军人、烈士遗属、因公牺牲军人遗属、病故军人遗属，预约后持有效证件原件在“八一”建军节当天免费参观；教师节当日（如遇周一闭馆，提前一日实行），预约后持教师资格证原件等有效证件免费参观。</w:t>
      </w:r>
    </w:p>
    <w:p>
      <w:pPr>
        <w:widowControl w:val="0"/>
        <w:wordWrap/>
        <w:autoSpaceDE w:val="0"/>
        <w:autoSpaceDN w:val="0"/>
        <w:adjustRightInd/>
        <w:snapToGrid/>
        <w:spacing w:line="560" w:lineRule="exact"/>
        <w:ind w:left="2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111113"/>
          <w:spacing w:val="0"/>
          <w:w w:val="100"/>
          <w:sz w:val="32"/>
          <w:szCs w:val="28"/>
          <w:lang w:eastAsia="zh-CN"/>
        </w:rPr>
      </w:pPr>
      <w:r>
        <w:rPr>
          <w:rFonts w:hint="eastAsia" w:ascii="Times New Roman" w:hAnsi="Times New Roman" w:eastAsia="仿宋_GB2312"/>
          <w:color w:val="111113"/>
          <w:spacing w:val="0"/>
          <w:w w:val="100"/>
          <w:sz w:val="32"/>
          <w:szCs w:val="28"/>
          <w:lang w:eastAsia="zh-CN"/>
        </w:rPr>
        <w:t>3.</w:t>
      </w:r>
      <w:r>
        <w:rPr>
          <w:rFonts w:hint="eastAsia" w:ascii="Times New Roman" w:hAnsi="Times New Roman" w:eastAsia="仿宋_GB2312"/>
          <w:spacing w:val="0"/>
          <w:w w:val="100"/>
          <w:sz w:val="32"/>
          <w:lang w:eastAsia="zh-CN"/>
        </w:rPr>
        <w:t xml:space="preserve"> </w:t>
      </w:r>
      <w:r>
        <w:rPr>
          <w:rFonts w:hint="eastAsia" w:ascii="Times New Roman" w:hAnsi="Times New Roman" w:eastAsia="仿宋_GB2312"/>
          <w:color w:val="111113"/>
          <w:spacing w:val="0"/>
          <w:w w:val="100"/>
          <w:sz w:val="32"/>
          <w:szCs w:val="28"/>
          <w:lang w:eastAsia="zh-CN"/>
        </w:rPr>
        <w:t>正阳门箭楼景区加入北京市、京津冀地区发行的景区套票的使用按发售时约定执行。</w:t>
      </w:r>
    </w:p>
    <w:p>
      <w:pPr>
        <w:widowControl w:val="0"/>
        <w:wordWrap/>
        <w:autoSpaceDE w:val="0"/>
        <w:autoSpaceDN w:val="0"/>
        <w:adjustRightInd/>
        <w:snapToGrid/>
        <w:spacing w:line="560" w:lineRule="exact"/>
        <w:ind w:left="2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111113"/>
          <w:spacing w:val="0"/>
          <w:w w:val="100"/>
          <w:sz w:val="32"/>
          <w:szCs w:val="28"/>
          <w:lang w:eastAsia="zh-CN"/>
        </w:rPr>
      </w:pPr>
      <w:r>
        <w:rPr>
          <w:rFonts w:hint="eastAsia" w:ascii="黑体" w:hAnsi="黑体" w:eastAsia="黑体" w:cs="黑体"/>
          <w:color w:val="111113"/>
          <w:spacing w:val="0"/>
          <w:w w:val="100"/>
          <w:sz w:val="32"/>
          <w:szCs w:val="28"/>
          <w:lang w:eastAsia="zh-CN"/>
        </w:rPr>
        <w:t>二、执行时间</w:t>
      </w:r>
    </w:p>
    <w:p>
      <w:pPr>
        <w:widowControl w:val="0"/>
        <w:wordWrap/>
        <w:autoSpaceDE w:val="0"/>
        <w:autoSpaceDN w:val="0"/>
        <w:adjustRightInd/>
        <w:snapToGrid/>
        <w:spacing w:line="560" w:lineRule="exact"/>
        <w:ind w:left="2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111113"/>
          <w:spacing w:val="0"/>
          <w:w w:val="100"/>
          <w:sz w:val="32"/>
          <w:szCs w:val="28"/>
          <w:lang w:eastAsia="zh-CN"/>
        </w:rPr>
      </w:pPr>
      <w:r>
        <w:rPr>
          <w:rFonts w:hint="eastAsia" w:ascii="Times New Roman" w:hAnsi="Times New Roman" w:eastAsia="仿宋_GB2312"/>
          <w:color w:val="111113"/>
          <w:spacing w:val="0"/>
          <w:w w:val="100"/>
          <w:sz w:val="32"/>
          <w:szCs w:val="28"/>
          <w:lang w:eastAsia="zh-CN"/>
        </w:rPr>
        <w:t>正阳门箭楼景区开放之日起执行。</w:t>
      </w:r>
    </w:p>
    <w:p>
      <w:pPr>
        <w:widowControl w:val="0"/>
        <w:wordWrap/>
        <w:autoSpaceDE w:val="0"/>
        <w:autoSpaceDN w:val="0"/>
        <w:adjustRightInd/>
        <w:snapToGrid/>
        <w:spacing w:line="560" w:lineRule="exact"/>
        <w:ind w:left="2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111113"/>
          <w:spacing w:val="0"/>
          <w:w w:val="100"/>
          <w:sz w:val="32"/>
          <w:szCs w:val="28"/>
          <w:lang w:eastAsia="zh-CN"/>
        </w:rPr>
      </w:pPr>
      <w:r>
        <w:rPr>
          <w:rFonts w:hint="eastAsia" w:ascii="黑体" w:hAnsi="黑体" w:eastAsia="黑体" w:cs="黑体"/>
          <w:color w:val="111113"/>
          <w:spacing w:val="0"/>
          <w:w w:val="100"/>
          <w:sz w:val="32"/>
          <w:szCs w:val="28"/>
          <w:lang w:eastAsia="zh-CN"/>
        </w:rPr>
        <w:t>三、价格管理</w:t>
      </w:r>
    </w:p>
    <w:p>
      <w:pPr>
        <w:widowControl w:val="0"/>
        <w:wordWrap/>
        <w:autoSpaceDE w:val="0"/>
        <w:autoSpaceDN w:val="0"/>
        <w:adjustRightInd/>
        <w:snapToGrid/>
        <w:spacing w:line="560" w:lineRule="exact"/>
        <w:ind w:left="2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111113"/>
          <w:spacing w:val="0"/>
          <w:w w:val="100"/>
          <w:sz w:val="32"/>
          <w:szCs w:val="28"/>
          <w:lang w:eastAsia="zh-CN"/>
        </w:rPr>
      </w:pPr>
      <w:r>
        <w:rPr>
          <w:rFonts w:hint="eastAsia" w:ascii="Times New Roman" w:hAnsi="Times New Roman" w:eastAsia="仿宋_GB2312"/>
          <w:color w:val="111113"/>
          <w:spacing w:val="0"/>
          <w:w w:val="100"/>
          <w:sz w:val="32"/>
          <w:szCs w:val="28"/>
          <w:lang w:eastAsia="zh-CN"/>
        </w:rPr>
        <w:t>1.经营主体应严格执行明码标价的规定，在经营场所显著位置做好价格公示，公开价格项目、价格标准、服务内容、12345和12315监督电话等信息，自觉接受政府和社会的监督。</w:t>
      </w:r>
    </w:p>
    <w:p>
      <w:pPr>
        <w:widowControl w:val="0"/>
        <w:wordWrap/>
        <w:autoSpaceDE w:val="0"/>
        <w:autoSpaceDN w:val="0"/>
        <w:adjustRightInd/>
        <w:snapToGrid/>
        <w:spacing w:line="560" w:lineRule="exact"/>
        <w:ind w:left="2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080A0C"/>
          <w:spacing w:val="0"/>
          <w:w w:val="100"/>
          <w:sz w:val="32"/>
          <w:szCs w:val="28"/>
          <w:lang w:eastAsia="zh-CN"/>
        </w:rPr>
      </w:pPr>
      <w:r>
        <w:rPr>
          <w:rFonts w:hint="eastAsia" w:ascii="Times New Roman" w:hAnsi="Times New Roman" w:eastAsia="仿宋_GB2312"/>
          <w:color w:val="111113"/>
          <w:spacing w:val="0"/>
          <w:w w:val="100"/>
          <w:sz w:val="32"/>
          <w:szCs w:val="28"/>
          <w:lang w:eastAsia="zh-CN"/>
        </w:rPr>
        <w:t>2.原则上每3年对门票成本监审1次，如需调价，由区价格主管部门拟定方案上报区政府审批。如政策或成本等发生重大变化，可提前调整。如调整变化幅度过大，可以适当降低调整幅度，避免价格大幅波动。对应调未调产生的收入差额，可分摊到未来年度进行补偿或扣减。如政策对动态调整周期等有新的规定，按新规定执行。</w:t>
      </w:r>
    </w:p>
    <w:p>
      <w:pPr>
        <w:widowControl w:val="0"/>
        <w:wordWrap/>
        <w:autoSpaceDE w:val="0"/>
        <w:autoSpaceDN w:val="0"/>
        <w:adjustRightInd/>
        <w:snapToGrid/>
        <w:spacing w:line="560" w:lineRule="exact"/>
        <w:ind w:left="2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111113"/>
          <w:spacing w:val="0"/>
          <w:w w:val="100"/>
          <w:sz w:val="32"/>
          <w:szCs w:val="28"/>
          <w:lang w:eastAsia="zh-CN"/>
        </w:rPr>
      </w:pPr>
      <w:bookmarkStart w:id="1" w:name="_Hlk178000820"/>
      <w:r>
        <w:rPr>
          <w:rFonts w:hint="eastAsia" w:ascii="Times New Roman" w:hAnsi="Times New Roman" w:eastAsia="仿宋_GB2312"/>
          <w:color w:val="111113"/>
          <w:spacing w:val="0"/>
          <w:w w:val="100"/>
          <w:sz w:val="32"/>
          <w:szCs w:val="28"/>
          <w:lang w:eastAsia="zh-CN"/>
        </w:rPr>
        <w:t>3.</w:t>
      </w:r>
      <w:r>
        <w:rPr>
          <w:rFonts w:ascii="Times New Roman" w:hAnsi="Times New Roman" w:eastAsia="仿宋_GB2312"/>
          <w:color w:val="111113"/>
          <w:spacing w:val="0"/>
          <w:w w:val="100"/>
          <w:sz w:val="32"/>
          <w:szCs w:val="28"/>
          <w:lang w:eastAsia="zh-CN"/>
        </w:rPr>
        <w:t>东城区政府</w:t>
      </w:r>
      <w:r>
        <w:rPr>
          <w:rFonts w:hint="eastAsia" w:ascii="Times New Roman" w:hAnsi="Times New Roman" w:eastAsia="仿宋_GB2312"/>
          <w:color w:val="111113"/>
          <w:spacing w:val="0"/>
          <w:w w:val="100"/>
          <w:sz w:val="32"/>
          <w:szCs w:val="28"/>
          <w:lang w:eastAsia="zh-CN"/>
        </w:rPr>
        <w:t>市场监管</w:t>
      </w:r>
      <w:bookmarkStart w:id="2" w:name="_GoBack"/>
      <w:bookmarkEnd w:id="2"/>
      <w:r>
        <w:rPr>
          <w:rFonts w:ascii="Times New Roman" w:hAnsi="Times New Roman" w:eastAsia="仿宋_GB2312"/>
          <w:color w:val="111113"/>
          <w:spacing w:val="0"/>
          <w:w w:val="100"/>
          <w:sz w:val="32"/>
          <w:szCs w:val="28"/>
          <w:lang w:eastAsia="zh-CN"/>
        </w:rPr>
        <w:t>部门将按照</w:t>
      </w:r>
      <w:r>
        <w:rPr>
          <w:rFonts w:hint="eastAsia" w:ascii="Times New Roman" w:hAnsi="Times New Roman" w:eastAsia="仿宋_GB2312"/>
          <w:color w:val="111113"/>
          <w:spacing w:val="0"/>
          <w:w w:val="100"/>
          <w:sz w:val="32"/>
          <w:szCs w:val="28"/>
          <w:lang w:eastAsia="zh-CN"/>
        </w:rPr>
        <w:t>相关</w:t>
      </w:r>
      <w:r>
        <w:rPr>
          <w:rFonts w:ascii="Times New Roman" w:hAnsi="Times New Roman" w:eastAsia="仿宋_GB2312"/>
          <w:color w:val="111113"/>
          <w:spacing w:val="0"/>
          <w:w w:val="100"/>
          <w:sz w:val="32"/>
          <w:szCs w:val="28"/>
          <w:lang w:eastAsia="zh-CN"/>
        </w:rPr>
        <w:t>规定对</w:t>
      </w:r>
      <w:r>
        <w:rPr>
          <w:rFonts w:hint="eastAsia" w:ascii="Times New Roman" w:hAnsi="Times New Roman" w:eastAsia="仿宋_GB2312"/>
          <w:color w:val="111113"/>
          <w:spacing w:val="0"/>
          <w:w w:val="100"/>
          <w:sz w:val="32"/>
          <w:szCs w:val="28"/>
          <w:lang w:eastAsia="zh-CN"/>
        </w:rPr>
        <w:t>正阳门箭楼</w:t>
      </w:r>
      <w:r>
        <w:rPr>
          <w:rFonts w:ascii="Times New Roman" w:hAnsi="Times New Roman" w:eastAsia="仿宋_GB2312"/>
          <w:color w:val="111113"/>
          <w:spacing w:val="0"/>
          <w:w w:val="100"/>
          <w:sz w:val="32"/>
          <w:szCs w:val="28"/>
          <w:lang w:eastAsia="zh-CN"/>
        </w:rPr>
        <w:t>门票价格的执行情况进行监督检查</w:t>
      </w:r>
      <w:r>
        <w:rPr>
          <w:rFonts w:hint="eastAsia" w:ascii="Times New Roman" w:hAnsi="Times New Roman" w:eastAsia="仿宋_GB2312"/>
          <w:color w:val="111113"/>
          <w:spacing w:val="0"/>
          <w:w w:val="100"/>
          <w:sz w:val="32"/>
          <w:szCs w:val="28"/>
          <w:lang w:eastAsia="zh-CN"/>
        </w:rPr>
        <w:t>，</w:t>
      </w:r>
      <w:r>
        <w:rPr>
          <w:rFonts w:ascii="Times New Roman" w:hAnsi="Times New Roman" w:eastAsia="仿宋_GB2312"/>
          <w:color w:val="111113"/>
          <w:spacing w:val="0"/>
          <w:w w:val="100"/>
          <w:sz w:val="32"/>
          <w:szCs w:val="28"/>
          <w:lang w:eastAsia="zh-CN"/>
        </w:rPr>
        <w:t>对违反上述规定的，将依法处理。</w:t>
      </w:r>
      <w:bookmarkEnd w:id="1"/>
    </w:p>
    <w:p>
      <w:pPr>
        <w:widowControl w:val="0"/>
        <w:wordWrap/>
        <w:autoSpaceDE w:val="0"/>
        <w:autoSpaceDN w:val="0"/>
        <w:adjustRightInd/>
        <w:snapToGrid/>
        <w:spacing w:line="560" w:lineRule="exact"/>
        <w:ind w:left="20" w:right="0" w:firstLine="503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0E0F11"/>
          <w:spacing w:val="0"/>
          <w:w w:val="100"/>
          <w:sz w:val="32"/>
          <w:szCs w:val="28"/>
          <w:lang w:eastAsia="zh-CN"/>
        </w:rPr>
      </w:pPr>
    </w:p>
    <w:p>
      <w:pPr>
        <w:widowControl w:val="0"/>
        <w:wordWrap/>
        <w:autoSpaceDE w:val="0"/>
        <w:autoSpaceDN w:val="0"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Times New Roman" w:hAnsi="Times New Roman" w:eastAsia="仿宋_GB2312"/>
          <w:color w:val="0E0F11"/>
          <w:spacing w:val="0"/>
          <w:w w:val="100"/>
          <w:sz w:val="32"/>
          <w:szCs w:val="28"/>
          <w:lang w:eastAsia="zh-CN"/>
        </w:rPr>
      </w:pPr>
      <w:r>
        <w:rPr>
          <w:rFonts w:hint="eastAsia" w:ascii="Times New Roman" w:hAnsi="Times New Roman" w:eastAsia="仿宋_GB2312"/>
          <w:color w:val="0E0F11"/>
          <w:spacing w:val="0"/>
          <w:w w:val="100"/>
          <w:sz w:val="32"/>
          <w:szCs w:val="28"/>
          <w:lang w:val="en-US" w:eastAsia="zh-CN"/>
        </w:rPr>
        <w:t xml:space="preserve">                                                  </w:t>
      </w:r>
      <w:r>
        <w:rPr>
          <w:rFonts w:ascii="Times New Roman" w:hAnsi="Times New Roman" w:eastAsia="仿宋_GB2312"/>
          <w:color w:val="0E0F11"/>
          <w:spacing w:val="0"/>
          <w:w w:val="100"/>
          <w:sz w:val="32"/>
          <w:szCs w:val="28"/>
          <w:lang w:eastAsia="zh-CN"/>
        </w:rPr>
        <w:t>北京市东城区发展和改革委员会</w:t>
      </w:r>
    </w:p>
    <w:p>
      <w:pPr>
        <w:widowControl w:val="0"/>
        <w:wordWrap/>
        <w:autoSpaceDE w:val="0"/>
        <w:autoSpaceDN w:val="0"/>
        <w:adjustRightInd/>
        <w:snapToGrid/>
        <w:spacing w:line="560" w:lineRule="exact"/>
        <w:ind w:left="23" w:right="0" w:firstLine="4224" w:firstLineChars="1400"/>
        <w:jc w:val="both"/>
        <w:textAlignment w:val="auto"/>
        <w:outlineLvl w:val="9"/>
        <w:rPr>
          <w:rFonts w:hint="eastAsia" w:ascii="Times New Roman" w:hAnsi="Times New Roman" w:eastAsia="仿宋_GB2312"/>
          <w:spacing w:val="0"/>
          <w:w w:val="100"/>
          <w:sz w:val="32"/>
          <w:szCs w:val="28"/>
          <w:lang w:eastAsia="zh-CN"/>
        </w:rPr>
      </w:pPr>
      <w:r>
        <w:rPr>
          <w:rFonts w:ascii="Times New Roman" w:hAnsi="Times New Roman" w:eastAsia="仿宋_GB2312"/>
          <w:color w:val="0E0F11"/>
          <w:spacing w:val="0"/>
          <w:w w:val="100"/>
          <w:sz w:val="32"/>
          <w:szCs w:val="28"/>
          <w:lang w:eastAsia="zh-CN"/>
        </w:rPr>
        <w:t>二</w:t>
      </w:r>
      <w:r>
        <w:rPr>
          <w:rFonts w:hint="eastAsia" w:ascii="Times New Roman" w:hAnsi="Times New Roman" w:eastAsia="仿宋_GB2312"/>
          <w:color w:val="0E0F11"/>
          <w:spacing w:val="0"/>
          <w:w w:val="100"/>
          <w:sz w:val="32"/>
          <w:szCs w:val="28"/>
          <w:lang w:eastAsia="zh-CN"/>
        </w:rPr>
        <w:t>〇二四</w:t>
      </w:r>
      <w:r>
        <w:rPr>
          <w:rFonts w:ascii="Times New Roman" w:hAnsi="Times New Roman" w:eastAsia="仿宋_GB2312"/>
          <w:color w:val="0E0F11"/>
          <w:spacing w:val="0"/>
          <w:w w:val="100"/>
          <w:sz w:val="32"/>
          <w:szCs w:val="28"/>
          <w:lang w:eastAsia="zh-CN"/>
        </w:rPr>
        <w:t>年</w:t>
      </w:r>
      <w:r>
        <w:rPr>
          <w:rFonts w:hint="eastAsia" w:ascii="Times New Roman" w:hAnsi="Times New Roman" w:eastAsia="仿宋_GB2312"/>
          <w:color w:val="0E0F11"/>
          <w:spacing w:val="0"/>
          <w:w w:val="100"/>
          <w:sz w:val="32"/>
          <w:szCs w:val="28"/>
          <w:lang w:eastAsia="zh-CN"/>
        </w:rPr>
        <w:t>十一</w:t>
      </w:r>
      <w:r>
        <w:rPr>
          <w:rFonts w:ascii="Times New Roman" w:hAnsi="Times New Roman" w:eastAsia="仿宋_GB2312"/>
          <w:color w:val="0E0F11"/>
          <w:spacing w:val="0"/>
          <w:w w:val="100"/>
          <w:sz w:val="32"/>
          <w:szCs w:val="28"/>
          <w:lang w:eastAsia="zh-CN"/>
        </w:rPr>
        <w:t>月</w:t>
      </w:r>
      <w:r>
        <w:rPr>
          <w:rFonts w:hint="eastAsia" w:ascii="Times New Roman" w:hAnsi="Times New Roman" w:eastAsia="仿宋_GB2312"/>
          <w:color w:val="0E0F11"/>
          <w:spacing w:val="0"/>
          <w:w w:val="100"/>
          <w:sz w:val="32"/>
          <w:szCs w:val="28"/>
          <w:lang w:val="en-US" w:eastAsia="zh-CN"/>
        </w:rPr>
        <w:t>四</w:t>
      </w:r>
      <w:r>
        <w:rPr>
          <w:rFonts w:ascii="Times New Roman" w:hAnsi="Times New Roman" w:eastAsia="仿宋_GB2312"/>
          <w:color w:val="0E0F11"/>
          <w:spacing w:val="0"/>
          <w:w w:val="100"/>
          <w:sz w:val="32"/>
          <w:szCs w:val="28"/>
          <w:lang w:eastAsia="zh-CN"/>
        </w:rPr>
        <w:t>日</w:t>
      </w:r>
    </w:p>
    <w:sectPr>
      <w:headerReference r:id="rId4" w:type="default"/>
      <w:footerReference r:id="rId5" w:type="default"/>
      <w:pgSz w:w="11906" w:h="16838"/>
      <w:pgMar w:top="2098" w:right="1474" w:bottom="1984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宋体" w:hAnsi="宋体" w:eastAsia="宋体" w:cs="宋体"/>
        <w:sz w:val="18"/>
        <w:szCs w:val="18"/>
        <w:lang w:val="en-US" w:eastAsia="en-US" w:bidi="ar-SA"/>
      </w:rPr>
      <w:pict>
        <v:shape id="文本框 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TJhYzNmYWFjNTI4YTViN2RhODg2NTZmNWM2Yzg1MDcifQ=="/>
  </w:docVars>
  <w:rsids>
    <w:rsidRoot w:val="00FD293E"/>
    <w:rsid w:val="00022E04"/>
    <w:rsid w:val="0003514D"/>
    <w:rsid w:val="00041D4B"/>
    <w:rsid w:val="00043487"/>
    <w:rsid w:val="000435AF"/>
    <w:rsid w:val="00084582"/>
    <w:rsid w:val="000C5472"/>
    <w:rsid w:val="001140F5"/>
    <w:rsid w:val="00145EB6"/>
    <w:rsid w:val="00181079"/>
    <w:rsid w:val="001A324F"/>
    <w:rsid w:val="001C398E"/>
    <w:rsid w:val="001D1CE1"/>
    <w:rsid w:val="001E3A3D"/>
    <w:rsid w:val="00221C0B"/>
    <w:rsid w:val="00306169"/>
    <w:rsid w:val="00320F6F"/>
    <w:rsid w:val="00327319"/>
    <w:rsid w:val="003479D1"/>
    <w:rsid w:val="00370B8E"/>
    <w:rsid w:val="003821A7"/>
    <w:rsid w:val="003E232F"/>
    <w:rsid w:val="00441425"/>
    <w:rsid w:val="00443B43"/>
    <w:rsid w:val="00453463"/>
    <w:rsid w:val="0047001A"/>
    <w:rsid w:val="004906F6"/>
    <w:rsid w:val="00493958"/>
    <w:rsid w:val="004C0DA1"/>
    <w:rsid w:val="004C5076"/>
    <w:rsid w:val="004C6101"/>
    <w:rsid w:val="005020B4"/>
    <w:rsid w:val="005316FA"/>
    <w:rsid w:val="00541981"/>
    <w:rsid w:val="005751FD"/>
    <w:rsid w:val="0059479C"/>
    <w:rsid w:val="005B7894"/>
    <w:rsid w:val="0061568F"/>
    <w:rsid w:val="00625B62"/>
    <w:rsid w:val="00661F05"/>
    <w:rsid w:val="006821D0"/>
    <w:rsid w:val="006A132E"/>
    <w:rsid w:val="006B5B66"/>
    <w:rsid w:val="0075642C"/>
    <w:rsid w:val="007852DE"/>
    <w:rsid w:val="007921BB"/>
    <w:rsid w:val="00797C76"/>
    <w:rsid w:val="007A389B"/>
    <w:rsid w:val="007A78A3"/>
    <w:rsid w:val="007B513B"/>
    <w:rsid w:val="007E5689"/>
    <w:rsid w:val="008256D3"/>
    <w:rsid w:val="008263B6"/>
    <w:rsid w:val="00826D91"/>
    <w:rsid w:val="0085415F"/>
    <w:rsid w:val="0088350F"/>
    <w:rsid w:val="008F6171"/>
    <w:rsid w:val="0095000F"/>
    <w:rsid w:val="0096233D"/>
    <w:rsid w:val="00977662"/>
    <w:rsid w:val="009F3B8C"/>
    <w:rsid w:val="009F77CB"/>
    <w:rsid w:val="00A34C85"/>
    <w:rsid w:val="00A5357B"/>
    <w:rsid w:val="00B42DDD"/>
    <w:rsid w:val="00B70503"/>
    <w:rsid w:val="00B85947"/>
    <w:rsid w:val="00BA100F"/>
    <w:rsid w:val="00BA62E0"/>
    <w:rsid w:val="00BD4219"/>
    <w:rsid w:val="00C00E4F"/>
    <w:rsid w:val="00C161B9"/>
    <w:rsid w:val="00C85CB6"/>
    <w:rsid w:val="00C9295C"/>
    <w:rsid w:val="00C93CCD"/>
    <w:rsid w:val="00CE1257"/>
    <w:rsid w:val="00CE6F0C"/>
    <w:rsid w:val="00D02D5A"/>
    <w:rsid w:val="00D67625"/>
    <w:rsid w:val="00D94289"/>
    <w:rsid w:val="00D95E9A"/>
    <w:rsid w:val="00DF5BEF"/>
    <w:rsid w:val="00E5554A"/>
    <w:rsid w:val="00E84DC4"/>
    <w:rsid w:val="00E91523"/>
    <w:rsid w:val="00E96C99"/>
    <w:rsid w:val="00EF43FD"/>
    <w:rsid w:val="00F05B2D"/>
    <w:rsid w:val="00F56BBF"/>
    <w:rsid w:val="00F82DAD"/>
    <w:rsid w:val="00F90918"/>
    <w:rsid w:val="00FC3D00"/>
    <w:rsid w:val="00FD293E"/>
    <w:rsid w:val="0FFB03DE"/>
    <w:rsid w:val="14954012"/>
    <w:rsid w:val="277811CF"/>
    <w:rsid w:val="5F2E7F6C"/>
    <w:rsid w:val="63365722"/>
    <w:rsid w:val="684969A7"/>
    <w:rsid w:val="6F181E24"/>
    <w:rsid w:val="70770E10"/>
    <w:rsid w:val="72C53ED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link w:val="8"/>
    <w:qFormat/>
    <w:uiPriority w:val="1"/>
    <w:rPr>
      <w:sz w:val="33"/>
      <w:szCs w:val="33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Revision"/>
    <w:hidden/>
    <w:unhideWhenUsed/>
    <w:uiPriority w:val="99"/>
    <w:rPr>
      <w:rFonts w:ascii="宋体" w:hAnsi="宋体" w:eastAsia="宋体" w:cs="宋体"/>
      <w:sz w:val="22"/>
      <w:szCs w:val="22"/>
      <w:lang w:val="en-US" w:eastAsia="en-US" w:bidi="ar-SA"/>
    </w:rPr>
  </w:style>
  <w:style w:type="character" w:customStyle="1" w:styleId="8">
    <w:name w:val="正文文本 字符"/>
    <w:basedOn w:val="5"/>
    <w:link w:val="2"/>
    <w:uiPriority w:val="1"/>
    <w:rPr>
      <w:rFonts w:ascii="宋体" w:hAnsi="宋体" w:eastAsia="宋体" w:cs="宋体"/>
      <w:kern w:val="0"/>
      <w:sz w:val="33"/>
      <w:szCs w:val="33"/>
      <w:lang w:eastAsia="en-US"/>
    </w:rPr>
  </w:style>
  <w:style w:type="character" w:customStyle="1" w:styleId="9">
    <w:name w:val="页眉 字符"/>
    <w:basedOn w:val="5"/>
    <w:link w:val="4"/>
    <w:uiPriority w:val="99"/>
    <w:rPr>
      <w:rFonts w:ascii="宋体" w:hAnsi="宋体" w:eastAsia="宋体" w:cs="宋体"/>
      <w:kern w:val="0"/>
      <w:sz w:val="18"/>
      <w:szCs w:val="18"/>
      <w:lang w:eastAsia="en-US"/>
    </w:rPr>
  </w:style>
  <w:style w:type="character" w:customStyle="1" w:styleId="10">
    <w:name w:val="页脚 字符"/>
    <w:basedOn w:val="5"/>
    <w:link w:val="3"/>
    <w:qFormat/>
    <w:uiPriority w:val="99"/>
    <w:rPr>
      <w:rFonts w:ascii="宋体" w:hAnsi="宋体" w:eastAsia="宋体" w:cs="宋体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192</Words>
  <Characters>1097</Characters>
  <Lines>9</Lines>
  <Paragraphs>2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2024-10-30T07:11:00Z</dcterms:created>
  <dc:creator>congmin zhu</dc:creator>
  <cp:lastModifiedBy>宋艳芮</cp:lastModifiedBy>
  <cp:lastPrinted>2024-10-31T06:05:00Z</cp:lastPrinted>
  <dcterms:modified xsi:type="dcterms:W3CDTF">2024-11-04T02:31:05Z</dcterms:modified>
  <dc:title>北京市东城区正阳门箭楼门票价格方案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  <property fmtid="{D5CDD505-2E9C-101B-9397-08002B2CF9AE}" pid="3" name="ICV">
    <vt:lpwstr>446E5CD00F714E5B8DFF11944971432A_12</vt:lpwstr>
  </property>
</Properties>
</file>