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F225F">
      <w:pPr>
        <w:spacing w:line="560" w:lineRule="exac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关于《海淀区弹性算力实验室建设项目揭榜</w:t>
      </w:r>
    </w:p>
    <w:p w14:paraId="76C15C53">
      <w:pPr>
        <w:spacing w:line="560" w:lineRule="exac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挂帅方案（征求意见稿）》起草说明</w:t>
      </w:r>
    </w:p>
    <w:p w14:paraId="4DD18856">
      <w:pPr>
        <w:spacing w:line="560" w:lineRule="exact"/>
        <w:jc w:val="left"/>
        <w:rPr>
          <w:rFonts w:hint="eastAsia" w:ascii="仿宋_GB2312" w:eastAsia="仿宋_GB2312"/>
          <w:spacing w:val="-10"/>
          <w:sz w:val="32"/>
          <w:szCs w:val="32"/>
        </w:rPr>
      </w:pPr>
      <w:r>
        <w:rPr>
          <w:rFonts w:hint="eastAsia" w:ascii="方正小标宋简体" w:eastAsia="方正小标宋简体"/>
          <w:spacing w:val="-10"/>
          <w:sz w:val="44"/>
          <w:szCs w:val="44"/>
        </w:rPr>
        <w:t>　</w:t>
      </w:r>
      <w:r>
        <w:rPr>
          <w:rFonts w:hint="eastAsia" w:ascii="仿宋_GB2312" w:eastAsia="仿宋_GB2312"/>
          <w:spacing w:val="-10"/>
          <w:sz w:val="32"/>
          <w:szCs w:val="32"/>
        </w:rPr>
        <w:t>　</w:t>
      </w:r>
    </w:p>
    <w:p w14:paraId="18145D9C">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一、起草背景</w:t>
      </w:r>
    </w:p>
    <w:p w14:paraId="79368ED5">
      <w:pPr>
        <w:adjustRightInd w:val="0"/>
        <w:snapToGrid w:val="0"/>
        <w:spacing w:after="0" w:line="560" w:lineRule="exact"/>
        <w:ind w:firstLine="44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为进一步促进人工智能大模型产业创新发展，中关村科学城管委会拟建设海淀区首家弹性算力实验室（以下简称算力实验室)，通过便利灵活的算力服务，面向青年科学家、新兴项目、前沿探索，</w:t>
      </w:r>
      <w:r>
        <w:rPr>
          <w:rFonts w:hint="eastAsia" w:ascii="仿宋_GB2312" w:eastAsia="仿宋_GB2312"/>
          <w:sz w:val="32"/>
          <w:szCs w:val="32"/>
        </w:rPr>
        <w:t>帮助大模型、具身智能、AI for science等领域优质科创企业</w:t>
      </w:r>
      <w:r>
        <w:rPr>
          <w:rFonts w:hint="eastAsia" w:ascii="仿宋_GB2312" w:eastAsia="仿宋_GB2312"/>
          <w:sz w:val="32"/>
          <w:szCs w:val="32"/>
          <w:lang w:val="en-US" w:eastAsia="zh-CN"/>
        </w:rPr>
        <w:t>快速成长，</w:t>
      </w:r>
      <w:r>
        <w:rPr>
          <w:rFonts w:hint="eastAsia" w:ascii="仿宋_GB2312" w:hAnsi="仿宋_GB2312" w:eastAsia="仿宋_GB2312" w:cs="仿宋_GB2312"/>
          <w:color w:val="000000"/>
          <w:sz w:val="32"/>
          <w:szCs w:val="32"/>
          <w:highlight w:val="none"/>
          <w:lang w:val="en-US" w:eastAsia="zh-CN"/>
        </w:rPr>
        <w:t>特制定《海淀区弹性算力实验室建设项目揭榜挂帅方案（征求意见稿）》。</w:t>
      </w:r>
    </w:p>
    <w:p w14:paraId="67135C88">
      <w:pPr>
        <w:adjustRightInd w:val="0"/>
        <w:snapToGrid w:val="0"/>
        <w:spacing w:after="0" w:line="560" w:lineRule="exact"/>
        <w:ind w:firstLine="440"/>
        <w:rPr>
          <w:rFonts w:hint="eastAsia" w:ascii="黑体" w:hAnsi="黑体" w:eastAsia="黑体"/>
          <w:sz w:val="32"/>
          <w:szCs w:val="32"/>
        </w:rPr>
      </w:pPr>
      <w:r>
        <w:rPr>
          <w:rFonts w:hint="eastAsia" w:ascii="黑体" w:hAnsi="黑体" w:eastAsia="黑体" w:cs="黑体"/>
          <w:color w:val="000000"/>
          <w:sz w:val="32"/>
          <w:szCs w:val="32"/>
          <w:highlight w:val="none"/>
          <w:lang w:val="en-US" w:eastAsia="zh-CN"/>
        </w:rPr>
        <w:t>二、</w:t>
      </w:r>
      <w:r>
        <w:rPr>
          <w:rFonts w:hint="eastAsia" w:ascii="黑体" w:hAnsi="黑体" w:eastAsia="黑体"/>
          <w:sz w:val="32"/>
          <w:szCs w:val="32"/>
        </w:rPr>
        <w:t>支持方向</w:t>
      </w:r>
    </w:p>
    <w:p w14:paraId="2C53AE26">
      <w:pPr>
        <w:adjustRightInd w:val="0"/>
        <w:snapToGrid w:val="0"/>
        <w:spacing w:after="0" w:line="560" w:lineRule="exact"/>
        <w:ind w:firstLine="440"/>
        <w:rPr>
          <w:rFonts w:hint="eastAsia" w:ascii="仿宋_GB2312" w:eastAsia="仿宋_GB2312"/>
          <w:sz w:val="32"/>
          <w:szCs w:val="32"/>
          <w:lang w:val="en-US" w:eastAsia="zh-CN"/>
        </w:rPr>
      </w:pPr>
      <w:r>
        <w:rPr>
          <w:rFonts w:hint="eastAsia" w:ascii="仿宋_GB2312" w:eastAsia="仿宋_GB2312"/>
          <w:sz w:val="32"/>
          <w:szCs w:val="32"/>
        </w:rPr>
        <w:t>支持</w:t>
      </w:r>
      <w:r>
        <w:rPr>
          <w:rFonts w:hint="eastAsia" w:ascii="仿宋_GB2312" w:eastAsia="仿宋_GB2312"/>
          <w:sz w:val="32"/>
          <w:szCs w:val="32"/>
          <w:lang w:val="en-US" w:eastAsia="zh-CN"/>
        </w:rPr>
        <w:t>申</w:t>
      </w:r>
      <w:r>
        <w:rPr>
          <w:rFonts w:hint="eastAsia" w:ascii="仿宋_GB2312" w:eastAsia="仿宋_GB2312"/>
          <w:sz w:val="32"/>
          <w:szCs w:val="32"/>
          <w:highlight w:val="none"/>
          <w:lang w:val="en-US" w:eastAsia="zh-CN"/>
        </w:rPr>
        <w:t>报方</w:t>
      </w:r>
      <w:r>
        <w:rPr>
          <w:rFonts w:hint="eastAsia" w:ascii="仿宋_GB2312" w:eastAsia="仿宋_GB2312"/>
          <w:sz w:val="32"/>
          <w:szCs w:val="32"/>
          <w:highlight w:val="none"/>
        </w:rPr>
        <w:t>聚焦人</w:t>
      </w:r>
      <w:r>
        <w:rPr>
          <w:rFonts w:hint="eastAsia" w:ascii="仿宋_GB2312" w:eastAsia="仿宋_GB2312"/>
          <w:sz w:val="32"/>
          <w:szCs w:val="32"/>
        </w:rPr>
        <w:t>工智能产业领域，帮助潜力科创企业高效训练测试大模型产品，快速完成创新验证与迭代，推动垂直领域应用场景探索，帮助大模型、具身智能、AI for science等领域优质科创企业</w:t>
      </w:r>
      <w:r>
        <w:rPr>
          <w:rFonts w:hint="eastAsia" w:ascii="仿宋_GB2312" w:eastAsia="仿宋_GB2312"/>
          <w:sz w:val="32"/>
          <w:szCs w:val="32"/>
          <w:lang w:val="en-US" w:eastAsia="zh-CN"/>
        </w:rPr>
        <w:t>快速成长。</w:t>
      </w:r>
    </w:p>
    <w:p w14:paraId="6A6761C4">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三、主要内容</w:t>
      </w:r>
    </w:p>
    <w:p w14:paraId="6F5A2895">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算力实验室的建议主要是为了让早期项目快速进行模型微调和垂直领域的训练，一是帮助潜力科创企业高效训练测试大模型产品，快速完成创新验证与迭代，推动垂直领域应用场景探索；二是以算力池吸引撬动一批新兴前沿方向的顶尖创新创业人才；三是推动国内外大模型、具身智能、AI for science等优质科创企业培育。</w:t>
      </w:r>
    </w:p>
    <w:p w14:paraId="63558EA9">
      <w:pPr>
        <w:adjustRightInd w:val="0"/>
        <w:snapToGrid w:val="0"/>
        <w:spacing w:after="0" w:line="560" w:lineRule="exact"/>
        <w:ind w:firstLine="440"/>
        <w:rPr>
          <w:rFonts w:hint="eastAsia" w:ascii="黑体" w:hAnsi="黑体" w:eastAsia="黑体"/>
          <w:sz w:val="32"/>
          <w:szCs w:val="32"/>
        </w:rPr>
      </w:pPr>
      <w:r>
        <w:rPr>
          <w:rFonts w:hint="eastAsia" w:ascii="黑体" w:hAnsi="黑体" w:eastAsia="黑体"/>
          <w:sz w:val="32"/>
          <w:szCs w:val="32"/>
        </w:rPr>
        <w:t>四、支持措施</w:t>
      </w:r>
    </w:p>
    <w:p w14:paraId="20D9FEA5">
      <w:pPr>
        <w:adjustRightInd w:val="0"/>
        <w:snapToGrid w:val="0"/>
        <w:spacing w:after="0" w:line="560" w:lineRule="exact"/>
        <w:ind w:firstLine="440"/>
        <w:rPr>
          <w:rFonts w:hint="default" w:ascii="仿宋_GB2312" w:eastAsia="仿宋_GB2312"/>
          <w:sz w:val="32"/>
          <w:szCs w:val="32"/>
          <w:highlight w:val="none"/>
          <w:lang w:val="en-US" w:eastAsia="zh-CN"/>
        </w:rPr>
      </w:pPr>
      <w:r>
        <w:rPr>
          <w:rFonts w:hint="eastAsia" w:ascii="仿宋_GB2312" w:eastAsia="仿宋_GB2312"/>
          <w:color w:val="auto"/>
          <w:sz w:val="32"/>
          <w:szCs w:val="32"/>
          <w:highlight w:val="none"/>
        </w:rPr>
        <w:t>算力实验室建设项目周期不超过3年，</w:t>
      </w:r>
      <w:r>
        <w:rPr>
          <w:rFonts w:hint="eastAsia" w:ascii="仿宋_GB2312" w:eastAsia="仿宋_GB2312"/>
          <w:color w:val="auto"/>
          <w:sz w:val="32"/>
          <w:szCs w:val="32"/>
          <w:highlight w:val="none"/>
          <w:lang w:val="en-US" w:eastAsia="zh-CN"/>
        </w:rPr>
        <w:t>第一年支持资金</w:t>
      </w:r>
      <w:r>
        <w:rPr>
          <w:rFonts w:hint="eastAsia" w:ascii="仿宋_GB2312" w:eastAsia="仿宋_GB2312"/>
          <w:color w:val="auto"/>
          <w:sz w:val="32"/>
          <w:szCs w:val="32"/>
          <w:highlight w:val="none"/>
        </w:rPr>
        <w:t>不超过2700万元，资金应用于算力租赁、关联配置以及运维服务，为前置支持。</w:t>
      </w:r>
      <w:r>
        <w:rPr>
          <w:rFonts w:hint="eastAsia" w:ascii="仿宋_GB2312" w:eastAsia="仿宋_GB2312"/>
          <w:sz w:val="32"/>
          <w:szCs w:val="32"/>
          <w:highlight w:val="none"/>
        </w:rPr>
        <w:t>算力实验室算力每年用于不少于30个优质项目或优秀人才团队使用，培育转化不少于8家企业。</w:t>
      </w:r>
      <w:r>
        <w:rPr>
          <w:rFonts w:hint="eastAsia" w:ascii="仿宋_GB2312" w:eastAsia="仿宋_GB2312"/>
          <w:sz w:val="32"/>
          <w:szCs w:val="32"/>
          <w:highlight w:val="none"/>
          <w:lang w:val="en-US" w:eastAsia="zh-CN"/>
        </w:rPr>
        <w:t>后两年支持资金根据第一年建设运营情况确定。</w:t>
      </w:r>
    </w:p>
    <w:p w14:paraId="0CD7FE9A">
      <w:pPr>
        <w:adjustRightInd w:val="0"/>
        <w:snapToGrid w:val="0"/>
        <w:spacing w:after="0" w:line="560" w:lineRule="exact"/>
        <w:ind w:firstLine="440"/>
        <w:rPr>
          <w:rFonts w:hint="eastAsia" w:ascii="黑体" w:hAnsi="黑体" w:eastAsia="黑体"/>
          <w:sz w:val="32"/>
          <w:szCs w:val="32"/>
        </w:rPr>
      </w:pPr>
      <w:r>
        <w:rPr>
          <w:rFonts w:hint="eastAsia" w:ascii="黑体" w:hAnsi="黑体" w:eastAsia="黑体"/>
          <w:sz w:val="32"/>
          <w:szCs w:val="32"/>
        </w:rPr>
        <w:t>五、实施方式</w:t>
      </w:r>
    </w:p>
    <w:p w14:paraId="554F12D1">
      <w:pPr>
        <w:adjustRightInd w:val="0"/>
        <w:snapToGrid w:val="0"/>
        <w:spacing w:after="0" w:line="560" w:lineRule="exact"/>
        <w:ind w:firstLine="440"/>
        <w:rPr>
          <w:rFonts w:hint="eastAsia" w:ascii="仿宋_GB2312" w:eastAsia="仿宋_GB2312"/>
          <w:sz w:val="32"/>
          <w:szCs w:val="32"/>
        </w:rPr>
      </w:pPr>
      <w:r>
        <w:rPr>
          <w:rFonts w:hint="eastAsia" w:ascii="仿宋_GB2312" w:eastAsia="仿宋_GB2312"/>
          <w:sz w:val="32"/>
          <w:szCs w:val="32"/>
        </w:rPr>
        <w:t>1.申报方依据榜单进行“揭榜”，制定</w:t>
      </w:r>
      <w:r>
        <w:rPr>
          <w:rFonts w:hint="eastAsia" w:ascii="仿宋_GB2312" w:eastAsia="仿宋_GB2312"/>
          <w:sz w:val="32"/>
          <w:szCs w:val="32"/>
          <w:lang w:val="en-US" w:eastAsia="zh-CN"/>
        </w:rPr>
        <w:t>建设</w:t>
      </w:r>
      <w:bookmarkStart w:id="0" w:name="_GoBack"/>
      <w:bookmarkEnd w:id="0"/>
      <w:r>
        <w:rPr>
          <w:rFonts w:hint="eastAsia" w:ascii="仿宋_GB2312" w:eastAsia="仿宋_GB2312"/>
          <w:sz w:val="32"/>
          <w:szCs w:val="32"/>
        </w:rPr>
        <w:t>方案，中关村科学城管委会对方案组织评审，并与项目单位签订项目任务书。</w:t>
      </w:r>
    </w:p>
    <w:p w14:paraId="036BF22B">
      <w:pPr>
        <w:adjustRightInd w:val="0"/>
        <w:snapToGrid w:val="0"/>
        <w:spacing w:after="0" w:line="560" w:lineRule="exact"/>
        <w:ind w:firstLine="440"/>
        <w:rPr>
          <w:rFonts w:hint="eastAsia" w:ascii="仿宋_GB2312" w:eastAsia="仿宋_GB2312"/>
          <w:sz w:val="32"/>
          <w:szCs w:val="32"/>
        </w:rPr>
      </w:pPr>
      <w:r>
        <w:rPr>
          <w:rFonts w:hint="eastAsia" w:ascii="仿宋_GB2312" w:eastAsia="仿宋_GB2312"/>
          <w:sz w:val="32"/>
          <w:szCs w:val="32"/>
        </w:rPr>
        <w:t>2.申报方应按照任务书约定指标进行建设，并根据要求提交算力的使用情况和培育转化情况进行跟踪形成季度报告、绩效目标完成情况年度报告；中关村科学城管委会对算力实验室绩效完成情况进行审核，根据第一年的实施情况进行效果评估，以决定是否继续支持。</w:t>
      </w:r>
    </w:p>
    <w:p w14:paraId="16C6D347"/>
    <w:sectPr>
      <w:headerReference r:id="rId5" w:type="first"/>
      <w:headerReference r:id="rId3" w:type="default"/>
      <w:footerReference r:id="rId6" w:type="default"/>
      <w:headerReference r:id="rId4" w:type="even"/>
      <w:footerReference r:id="rId7" w:type="even"/>
      <w:pgSz w:w="11906" w:h="16838"/>
      <w:pgMar w:top="2098" w:right="1531" w:bottom="1985" w:left="1531" w:header="851" w:footer="1588"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94B88C-465C-439A-997A-42F9AB8402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C6EE774-0A1C-4B35-921B-67E88BC7930B}"/>
  </w:font>
  <w:font w:name="方正小标宋简体">
    <w:panose1 w:val="02000000000000000000"/>
    <w:charset w:val="86"/>
    <w:family w:val="script"/>
    <w:pitch w:val="default"/>
    <w:sig w:usb0="00000001" w:usb1="08000000" w:usb2="00000000" w:usb3="00000000" w:csb0="00040000" w:csb1="00000000"/>
    <w:embedRegular r:id="rId3" w:fontKey="{7B75ADFE-7500-490B-A367-7A5944D512E3}"/>
  </w:font>
  <w:font w:name="仿宋_GB2312">
    <w:panose1 w:val="02010609030101010101"/>
    <w:charset w:val="86"/>
    <w:family w:val="modern"/>
    <w:pitch w:val="default"/>
    <w:sig w:usb0="00000001" w:usb1="080E0000" w:usb2="00000000" w:usb3="00000000" w:csb0="00040000" w:csb1="00000000"/>
    <w:embedRegular r:id="rId4" w:fontKey="{33DE6F02-E0E7-4101-8C67-687E9ED7114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6DDC3">
    <w:pPr>
      <w:pStyle w:val="2"/>
      <w:framePr w:w="1095" w:wrap="around" w:vAnchor="text" w:hAnchor="page" w:x="9272" w:y="3"/>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- 27 -</w:t>
    </w:r>
    <w:r>
      <w:rPr>
        <w:rFonts w:ascii="宋体" w:hAnsi="宋体"/>
        <w:sz w:val="28"/>
        <w:szCs w:val="28"/>
      </w:rPr>
      <w:fldChar w:fldCharType="end"/>
    </w:r>
    <w:r>
      <w:rPr>
        <w:rStyle w:val="6"/>
        <w:rFonts w:hint="eastAsia" w:ascii="宋体" w:hAnsi="宋体"/>
        <w:sz w:val="32"/>
        <w:szCs w:val="32"/>
      </w:rPr>
      <w:t>　</w:t>
    </w:r>
  </w:p>
  <w:p w14:paraId="720AA169">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3AED6">
    <w:pPr>
      <w:pStyle w:val="2"/>
      <w:framePr w:wrap="around" w:vAnchor="text" w:hAnchor="margin" w:xAlign="outside" w:y="1"/>
      <w:rPr>
        <w:rStyle w:val="6"/>
        <w:rFonts w:ascii="宋体" w:hAnsi="宋体"/>
        <w:sz w:val="28"/>
        <w:szCs w:val="28"/>
      </w:rPr>
    </w:pPr>
    <w:r>
      <w:rPr>
        <w:rStyle w:val="6"/>
        <w:rFonts w:hint="eastAsia" w:ascii="宋体" w:hAnsi="宋体"/>
        <w:sz w:val="32"/>
        <w:szCs w:val="32"/>
      </w:rPr>
      <w:t>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- 26 -</w:t>
    </w:r>
    <w:r>
      <w:rPr>
        <w:rFonts w:ascii="宋体" w:hAnsi="宋体"/>
        <w:sz w:val="28"/>
        <w:szCs w:val="28"/>
      </w:rPr>
      <w:fldChar w:fldCharType="end"/>
    </w:r>
  </w:p>
  <w:p w14:paraId="613DAA02">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D3E27">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B6555">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9E4C1">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NTQxNjYxYjIzNTAwNjdkYzgxNjJlMmUyYjkwN2MifQ=="/>
  </w:docVars>
  <w:rsids>
    <w:rsidRoot w:val="0B31620C"/>
    <w:rsid w:val="0B31620C"/>
    <w:rsid w:val="0E381ED2"/>
    <w:rsid w:val="20470026"/>
    <w:rsid w:val="30063901"/>
    <w:rsid w:val="67743CF9"/>
    <w:rsid w:val="7A6D3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 Char1"/>
    <w:basedOn w:val="1"/>
    <w:qFormat/>
    <w:uiPriority w:val="0"/>
    <w:pPr>
      <w:adjustRightInd w:val="0"/>
      <w:spacing w:line="360" w:lineRule="auto"/>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735</Words>
  <Characters>768</Characters>
  <Lines>0</Lines>
  <Paragraphs>0</Paragraphs>
  <TotalTime>1</TotalTime>
  <ScaleCrop>false</ScaleCrop>
  <LinksUpToDate>false</LinksUpToDate>
  <CharactersWithSpaces>776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2024-10-29T08:20:00Z</dcterms:created>
  <dc:creator>一人一语</dc:creator>
  <cp:lastModifiedBy>一人一语</cp:lastModifiedBy>
  <dcterms:modified xsi:type="dcterms:W3CDTF">2024-11-11T06:16:48Z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DF1739502E79467E98E33BC0602FFC11_11</vt:lpwstr>
  </property>
</Properties>
</file>