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4D3FE">
      <w:pPr>
        <w:keepNext w:val="0"/>
        <w:keepLines w:val="0"/>
        <w:pageBreakBefore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关于《北京城市副中心企业安全生产标准化建设“十二条”激励措施（征求意见稿）》</w:t>
      </w:r>
    </w:p>
    <w:p w14:paraId="0DF6140C">
      <w:pPr>
        <w:keepNext w:val="0"/>
        <w:keepLines w:val="0"/>
        <w:pageBreakBefore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黑体" w:hAnsi="黑体" w:eastAsia="黑体" w:cs="黑体"/>
          <w:color w:val="auto"/>
          <w:sz w:val="32"/>
          <w:szCs w:val="32"/>
          <w:lang w:val="en-US" w:eastAsia="zh-CN"/>
        </w:rPr>
      </w:pPr>
      <w:r>
        <w:rPr>
          <w:rFonts w:hint="eastAsia" w:ascii="方正小标宋简体" w:hAnsi="方正小标宋简体" w:eastAsia="方正小标宋简体" w:cs="方正小标宋简体"/>
          <w:sz w:val="44"/>
          <w:szCs w:val="44"/>
          <w:lang w:eastAsia="zh-CN"/>
        </w:rPr>
        <w:t>的起草说明</w:t>
      </w:r>
    </w:p>
    <w:p w14:paraId="0773FF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p>
    <w:p w14:paraId="75A8FA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一、目的与依据</w:t>
      </w:r>
    </w:p>
    <w:p w14:paraId="36899DBC">
      <w:pPr>
        <w:keepNext w:val="0"/>
        <w:keepLines w:val="0"/>
        <w:pageBreakBefore w:val="0"/>
        <w:kinsoku/>
        <w:wordWrap/>
        <w:overflowPunct/>
        <w:topLinePunct w:val="0"/>
        <w:autoSpaceDE/>
        <w:autoSpaceDN/>
        <w:bidi w:val="0"/>
        <w:adjustRightInd/>
        <w:snapToGrid/>
        <w:spacing w:line="580" w:lineRule="exact"/>
        <w:ind w:left="0" w:leftChars="0" w:firstLine="0" w:firstLineChars="0"/>
        <w:jc w:val="left"/>
        <w:textAlignment w:val="auto"/>
        <w:rPr>
          <w:rFonts w:hint="eastAsia" w:ascii="仿宋_GB2312" w:hAnsi="仿宋_GB2312" w:eastAsia="仿宋_GB2312" w:cs="仿宋_GB2312"/>
          <w:bCs/>
          <w:color w:val="000000"/>
          <w:sz w:val="32"/>
          <w:szCs w:val="32"/>
          <w:shd w:val="clear" w:color="auto" w:fill="FFFFFF"/>
          <w:lang w:val="en-US" w:eastAsia="zh-CN"/>
        </w:rPr>
      </w:pPr>
      <w:r>
        <w:rPr>
          <w:rFonts w:hint="eastAsia" w:ascii="仿宋_GB2312" w:hAnsi="仿宋_GB2312" w:cs="仿宋_GB2312"/>
          <w:bCs/>
          <w:color w:val="000000"/>
          <w:sz w:val="32"/>
          <w:szCs w:val="32"/>
          <w:shd w:val="clear" w:color="auto" w:fill="FFFFFF"/>
          <w:lang w:val="en-US" w:eastAsia="zh-CN"/>
        </w:rPr>
        <w:t xml:space="preserve">    </w:t>
      </w:r>
      <w:r>
        <w:rPr>
          <w:rFonts w:hint="eastAsia" w:ascii="仿宋_GB2312" w:hAnsi="仿宋_GB2312" w:eastAsia="仿宋_GB2312" w:cs="仿宋_GB2312"/>
          <w:bCs/>
          <w:color w:val="000000"/>
          <w:sz w:val="32"/>
          <w:szCs w:val="32"/>
          <w:shd w:val="clear" w:color="auto" w:fill="FFFFFF"/>
          <w:lang w:val="en-US" w:eastAsia="zh-CN"/>
        </w:rPr>
        <w:t>为进一步优化北京城市副中心安全生产领域营商环境，全面推进企业安全生产标准化建设，有效调动企业达标创建积极性，提高企业本质安全水平，促进北京城市副中心高质量发展，根据北京市安全生产监督管理局 北京市经济和信息化委员会 北京市人力资源和社会保障局 北京市财政局 北京市国有资产监督管理委员会 北京市工商行政管理局 北京市质量技术监督局 中国银行业监管委员会北京监管局等八部门制发的《关于进一步推进企业安全生产标准化建设若干激励政策意见的通知》（京安监发﹝2014﹞55号），结合我区安全生产工作实际，区应急管理局起草了</w:t>
      </w:r>
      <w:bookmarkStart w:id="0" w:name="_GoBack"/>
      <w:bookmarkEnd w:id="0"/>
      <w:r>
        <w:rPr>
          <w:rFonts w:hint="eastAsia" w:ascii="仿宋_GB2312" w:hAnsi="仿宋_GB2312" w:eastAsia="仿宋_GB2312" w:cs="仿宋_GB2312"/>
          <w:bCs/>
          <w:color w:val="000000"/>
          <w:sz w:val="32"/>
          <w:szCs w:val="32"/>
          <w:shd w:val="clear" w:color="auto" w:fill="FFFFFF"/>
          <w:lang w:val="en-US" w:eastAsia="zh-CN"/>
        </w:rPr>
        <w:t>《北京城市副中心企业安全生产标准化建设“十</w:t>
      </w:r>
      <w:r>
        <w:rPr>
          <w:rFonts w:hint="eastAsia" w:ascii="仿宋_GB2312" w:hAnsi="仿宋_GB2312" w:cs="仿宋_GB2312"/>
          <w:bCs/>
          <w:color w:val="000000"/>
          <w:sz w:val="32"/>
          <w:szCs w:val="32"/>
          <w:shd w:val="clear" w:color="auto" w:fill="FFFFFF"/>
          <w:lang w:val="en-US" w:eastAsia="zh-CN"/>
        </w:rPr>
        <w:t>二</w:t>
      </w:r>
      <w:r>
        <w:rPr>
          <w:rFonts w:hint="eastAsia" w:ascii="仿宋_GB2312" w:hAnsi="仿宋_GB2312" w:eastAsia="仿宋_GB2312" w:cs="仿宋_GB2312"/>
          <w:bCs/>
          <w:color w:val="000000"/>
          <w:sz w:val="32"/>
          <w:szCs w:val="32"/>
          <w:shd w:val="clear" w:color="auto" w:fill="FFFFFF"/>
          <w:lang w:val="en-US" w:eastAsia="zh-CN"/>
        </w:rPr>
        <w:t>条”激励措施（征求意见稿）》。</w:t>
      </w:r>
    </w:p>
    <w:p w14:paraId="26CC57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二、起草过程</w:t>
      </w:r>
    </w:p>
    <w:p w14:paraId="63263ABE">
      <w:pPr>
        <w:pStyle w:val="2"/>
        <w:ind w:left="0" w:leftChars="0" w:firstLine="640" w:firstLineChars="200"/>
        <w:rPr>
          <w:rFonts w:hint="default"/>
          <w:lang w:val="en-US" w:eastAsia="zh-CN"/>
        </w:rPr>
      </w:pPr>
      <w:r>
        <w:rPr>
          <w:rFonts w:hint="eastAsia" w:ascii="仿宋_GB2312" w:hAnsi="仿宋_GB2312" w:eastAsia="仿宋_GB2312" w:cs="仿宋_GB2312"/>
          <w:bCs/>
          <w:color w:val="000000"/>
          <w:sz w:val="32"/>
          <w:szCs w:val="32"/>
          <w:shd w:val="clear" w:color="auto" w:fill="FFFFFF"/>
          <w:lang w:val="en-US" w:eastAsia="zh-CN"/>
        </w:rPr>
        <w:t>在修订过程中，结合</w:t>
      </w:r>
      <w:r>
        <w:rPr>
          <w:rFonts w:hint="eastAsia" w:ascii="仿宋_GB2312" w:hAnsi="仿宋_GB2312" w:cs="仿宋_GB2312"/>
          <w:b w:val="0"/>
          <w:bCs w:val="0"/>
          <w:color w:val="auto"/>
          <w:sz w:val="32"/>
          <w:szCs w:val="32"/>
          <w:lang w:eastAsia="zh-CN"/>
        </w:rPr>
        <w:t>我区安全生产标准化工作现状</w:t>
      </w:r>
      <w:r>
        <w:rPr>
          <w:rFonts w:hint="eastAsia" w:ascii="仿宋_GB2312" w:hAnsi="仿宋_GB2312" w:cs="仿宋_GB2312"/>
          <w:b w:val="0"/>
          <w:bCs w:val="0"/>
          <w:color w:val="auto"/>
          <w:sz w:val="32"/>
          <w:szCs w:val="32"/>
          <w:lang w:val="en-US" w:eastAsia="zh-CN"/>
        </w:rPr>
        <w:t>和副中心安全发展需要，对</w:t>
      </w:r>
      <w:r>
        <w:rPr>
          <w:rFonts w:hint="eastAsia" w:ascii="仿宋_GB2312" w:hAnsi="仿宋_GB2312" w:eastAsia="仿宋_GB2312" w:cs="仿宋_GB2312"/>
          <w:bCs/>
          <w:color w:val="000000"/>
          <w:sz w:val="32"/>
          <w:szCs w:val="32"/>
          <w:shd w:val="clear" w:color="auto" w:fill="FFFFFF"/>
          <w:lang w:val="en-US" w:eastAsia="zh-CN"/>
        </w:rPr>
        <w:t>《关于进一步推进企业安全生产标准化建设若干激励政策意见的通知》（京安监发﹝2014﹞55号）</w:t>
      </w:r>
      <w:r>
        <w:rPr>
          <w:rFonts w:hint="eastAsia" w:ascii="仿宋_GB2312" w:hAnsi="仿宋_GB2312" w:cs="仿宋_GB2312"/>
          <w:bCs/>
          <w:color w:val="000000"/>
          <w:sz w:val="32"/>
          <w:szCs w:val="32"/>
          <w:shd w:val="clear" w:color="auto" w:fill="FFFFFF"/>
          <w:lang w:val="en-US" w:eastAsia="zh-CN"/>
        </w:rPr>
        <w:t>中与现行政策不一致的措施进行修订，同时结合副中心实际，研提彰显副中心特色的激励措施。</w:t>
      </w:r>
    </w:p>
    <w:p w14:paraId="09CC9F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、主要内容</w:t>
      </w:r>
    </w:p>
    <w:p w14:paraId="600D8405">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eastAsia="zh-CN"/>
        </w:rPr>
        <w:t>激励措施</w:t>
      </w:r>
      <w:r>
        <w:rPr>
          <w:rFonts w:hint="eastAsia" w:ascii="仿宋_GB2312" w:hAnsi="仿宋_GB2312" w:eastAsia="仿宋_GB2312" w:cs="仿宋_GB2312"/>
          <w:color w:val="auto"/>
          <w:sz w:val="32"/>
          <w:szCs w:val="32"/>
        </w:rPr>
        <w:t>》共</w:t>
      </w:r>
      <w:r>
        <w:rPr>
          <w:rFonts w:hint="eastAsia" w:ascii="仿宋_GB2312" w:hAnsi="仿宋_GB2312" w:cs="仿宋_GB2312"/>
          <w:color w:val="auto"/>
          <w:sz w:val="32"/>
          <w:szCs w:val="32"/>
          <w:lang w:val="en-US" w:eastAsia="zh-CN"/>
        </w:rPr>
        <w:t>12条</w:t>
      </w:r>
      <w:r>
        <w:rPr>
          <w:rFonts w:hint="eastAsia" w:ascii="仿宋_GB2312" w:hAnsi="仿宋_GB2312" w:eastAsia="仿宋_GB2312" w:cs="仿宋_GB2312"/>
          <w:color w:val="auto"/>
          <w:sz w:val="32"/>
          <w:szCs w:val="32"/>
          <w:lang w:eastAsia="zh-CN"/>
        </w:rPr>
        <w:t>。</w:t>
      </w:r>
      <w:r>
        <w:rPr>
          <w:rFonts w:hint="eastAsia" w:ascii="仿宋_GB2312" w:hAnsi="仿宋_GB2312" w:cs="仿宋_GB2312"/>
          <w:color w:val="auto"/>
          <w:sz w:val="32"/>
          <w:szCs w:val="32"/>
          <w:lang w:eastAsia="zh-CN"/>
        </w:rPr>
        <w:t>主要内容如下：</w:t>
      </w:r>
    </w:p>
    <w:p w14:paraId="1F0A77AC">
      <w:pPr>
        <w:numPr>
          <w:ilvl w:val="0"/>
          <w:numId w:val="1"/>
        </w:num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将企业安全生产标准化达标情况与工伤保险费率相挂钩。</w:t>
      </w:r>
    </w:p>
    <w:p w14:paraId="4C771284">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二、将企业安全生产标准化达标情况与安责险保险费率相挂钩。</w:t>
      </w:r>
    </w:p>
    <w:p w14:paraId="2F58AFC8">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三、将企业安全生产标准化达标情况与税收抵免相挂钩。</w:t>
      </w:r>
    </w:p>
    <w:p w14:paraId="78C0BF14">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四、将企业安全生产标准化达标情况与企业信用管理相挂钩。</w:t>
      </w:r>
    </w:p>
    <w:p w14:paraId="254B60B6">
      <w:pPr>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五</w:t>
      </w:r>
      <w:r>
        <w:rPr>
          <w:rFonts w:hint="eastAsia" w:ascii="仿宋_GB2312" w:hAnsi="仿宋_GB2312" w:eastAsia="仿宋_GB2312" w:cs="仿宋_GB2312"/>
          <w:color w:val="auto"/>
          <w:sz w:val="32"/>
          <w:szCs w:val="32"/>
          <w:lang w:val="en-US" w:eastAsia="zh-CN"/>
        </w:rPr>
        <w:t>、将企业安全生产标准化达标情况与评先创优相挂钩。</w:t>
      </w:r>
    </w:p>
    <w:p w14:paraId="7E7CB7F6">
      <w:pPr>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六</w:t>
      </w:r>
      <w:r>
        <w:rPr>
          <w:rFonts w:hint="eastAsia" w:ascii="仿宋_GB2312" w:hAnsi="仿宋_GB2312" w:eastAsia="仿宋_GB2312" w:cs="仿宋_GB2312"/>
          <w:color w:val="auto"/>
          <w:sz w:val="32"/>
          <w:szCs w:val="32"/>
          <w:lang w:val="en-US" w:eastAsia="zh-CN"/>
        </w:rPr>
        <w:t>、将企业安全生产标准化达标情况与安全生产许可证相挂钩。</w:t>
      </w:r>
    </w:p>
    <w:p w14:paraId="32D20697">
      <w:pPr>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七</w:t>
      </w:r>
      <w:r>
        <w:rPr>
          <w:rFonts w:hint="eastAsia" w:ascii="仿宋_GB2312" w:hAnsi="仿宋_GB2312" w:eastAsia="仿宋_GB2312" w:cs="仿宋_GB2312"/>
          <w:color w:val="auto"/>
          <w:sz w:val="32"/>
          <w:szCs w:val="32"/>
          <w:lang w:val="en-US" w:eastAsia="zh-CN"/>
        </w:rPr>
        <w:t>、将企业安全生产标准化达标情况与执法检查相挂钩。</w:t>
      </w:r>
    </w:p>
    <w:p w14:paraId="646FA50D">
      <w:pPr>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八</w:t>
      </w:r>
      <w:r>
        <w:rPr>
          <w:rFonts w:hint="eastAsia" w:ascii="仿宋_GB2312" w:hAnsi="仿宋_GB2312" w:eastAsia="仿宋_GB2312" w:cs="仿宋_GB2312"/>
          <w:color w:val="auto"/>
          <w:sz w:val="32"/>
          <w:szCs w:val="32"/>
          <w:lang w:val="en-US" w:eastAsia="zh-CN"/>
        </w:rPr>
        <w:t>、将企业安全生产标准化达标情况与加大安全生产标准化资金保障相挂钩。</w:t>
      </w:r>
    </w:p>
    <w:p w14:paraId="7629BED8">
      <w:pPr>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九</w:t>
      </w:r>
      <w:r>
        <w:rPr>
          <w:rFonts w:hint="eastAsia" w:ascii="仿宋_GB2312" w:hAnsi="仿宋_GB2312" w:eastAsia="仿宋_GB2312" w:cs="仿宋_GB2312"/>
          <w:color w:val="auto"/>
          <w:sz w:val="32"/>
          <w:szCs w:val="32"/>
          <w:lang w:val="en-US" w:eastAsia="zh-CN"/>
        </w:rPr>
        <w:t>、将企业安全生产标准化达标情况与复产验收挂钩。</w:t>
      </w:r>
    </w:p>
    <w:p w14:paraId="73629799">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十、将企业安全生产标准化达标情况与上市培育挂钩。</w:t>
      </w:r>
    </w:p>
    <w:p w14:paraId="19EBE599">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w:t>
      </w:r>
      <w:r>
        <w:rPr>
          <w:rFonts w:hint="eastAsia" w:ascii="仿宋_GB2312" w:hAnsi="仿宋_GB2312" w:cs="仿宋_GB2312"/>
          <w:color w:val="auto"/>
          <w:sz w:val="32"/>
          <w:szCs w:val="32"/>
          <w:lang w:val="en-US" w:eastAsia="zh-CN"/>
        </w:rPr>
        <w:t>一</w:t>
      </w:r>
      <w:r>
        <w:rPr>
          <w:rFonts w:hint="eastAsia" w:ascii="仿宋_GB2312" w:hAnsi="仿宋_GB2312" w:eastAsia="仿宋_GB2312" w:cs="仿宋_GB2312"/>
          <w:color w:val="auto"/>
          <w:sz w:val="32"/>
          <w:szCs w:val="32"/>
          <w:lang w:val="en-US" w:eastAsia="zh-CN"/>
        </w:rPr>
        <w:t>、将企业安全生产标准化达标情况与扶企惠企政策相挂钩。</w:t>
      </w:r>
    </w:p>
    <w:p w14:paraId="5ABD68AB">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十</w:t>
      </w:r>
      <w:r>
        <w:rPr>
          <w:rFonts w:hint="eastAsia" w:ascii="仿宋_GB2312" w:hAnsi="仿宋_GB2312" w:cs="仿宋_GB2312"/>
          <w:color w:val="auto"/>
          <w:sz w:val="32"/>
          <w:szCs w:val="32"/>
          <w:lang w:val="en-US" w:eastAsia="zh-CN"/>
        </w:rPr>
        <w:t>二</w:t>
      </w:r>
      <w:r>
        <w:rPr>
          <w:rFonts w:hint="eastAsia" w:ascii="仿宋_GB2312" w:hAnsi="仿宋_GB2312" w:eastAsia="仿宋_GB2312" w:cs="仿宋_GB2312"/>
          <w:color w:val="auto"/>
          <w:sz w:val="32"/>
          <w:szCs w:val="32"/>
          <w:lang w:val="en-US" w:eastAsia="zh-CN"/>
        </w:rPr>
        <w:t>、将企业安全生产标准化达标情况与企业应急预案备案相挂钩。</w:t>
      </w:r>
    </w:p>
    <w:p w14:paraId="11A8457D">
      <w:pPr>
        <w:rPr>
          <w:rFonts w:hint="eastAsia"/>
          <w:lang w:eastAsia="zh-CN"/>
        </w:rPr>
      </w:pPr>
      <w:r>
        <w:rPr>
          <w:rFonts w:hint="eastAsia" w:ascii="仿宋_GB2312" w:hAnsi="仿宋_GB2312" w:cs="仿宋_GB2312"/>
          <w:color w:val="auto"/>
          <w:sz w:val="32"/>
          <w:szCs w:val="32"/>
          <w:lang w:eastAsia="zh-CN"/>
        </w:rPr>
        <w:t>文末</w:t>
      </w:r>
      <w:r>
        <w:rPr>
          <w:rFonts w:hint="eastAsia" w:ascii="仿宋_GB2312" w:hAnsi="仿宋_GB2312" w:eastAsia="仿宋_GB2312" w:cs="仿宋_GB2312"/>
          <w:color w:val="auto"/>
          <w:sz w:val="32"/>
          <w:szCs w:val="32"/>
        </w:rPr>
        <w:t>明确了</w:t>
      </w:r>
      <w:r>
        <w:rPr>
          <w:rFonts w:hint="eastAsia" w:ascii="仿宋_GB2312" w:hAnsi="仿宋_GB2312" w:cs="仿宋_GB2312"/>
          <w:color w:val="auto"/>
          <w:sz w:val="32"/>
          <w:szCs w:val="32"/>
          <w:lang w:eastAsia="zh-CN"/>
        </w:rPr>
        <w:t>《激励措施》</w:t>
      </w:r>
      <w:r>
        <w:rPr>
          <w:rFonts w:hint="eastAsia" w:ascii="仿宋_GB2312" w:hAnsi="仿宋_GB2312" w:eastAsia="仿宋_GB2312" w:cs="仿宋_GB2312"/>
          <w:color w:val="auto"/>
          <w:sz w:val="32"/>
          <w:szCs w:val="32"/>
        </w:rPr>
        <w:t>的</w:t>
      </w:r>
      <w:r>
        <w:rPr>
          <w:rFonts w:hint="eastAsia" w:ascii="仿宋_GB2312" w:hAnsi="仿宋_GB2312" w:cs="仿宋_GB2312"/>
          <w:color w:val="auto"/>
          <w:sz w:val="32"/>
          <w:szCs w:val="32"/>
          <w:lang w:eastAsia="zh-CN"/>
        </w:rPr>
        <w:t>适用范围</w:t>
      </w:r>
      <w:r>
        <w:rPr>
          <w:rFonts w:hint="eastAsia" w:ascii="仿宋_GB2312" w:hAnsi="仿宋_GB2312" w:eastAsia="仿宋_GB2312" w:cs="仿宋_GB2312"/>
          <w:color w:val="auto"/>
          <w:sz w:val="32"/>
          <w:szCs w:val="32"/>
          <w:lang w:eastAsia="zh-CN"/>
        </w:rPr>
        <w:t>和</w:t>
      </w:r>
      <w:r>
        <w:rPr>
          <w:rFonts w:hint="eastAsia" w:ascii="仿宋_GB2312" w:hAnsi="仿宋_GB2312" w:cs="仿宋_GB2312"/>
          <w:color w:val="auto"/>
          <w:sz w:val="32"/>
          <w:szCs w:val="32"/>
          <w:lang w:eastAsia="zh-CN"/>
        </w:rPr>
        <w:t>施行日期。</w:t>
      </w:r>
    </w:p>
    <w:sectPr>
      <w:footerReference r:id="rId5" w:type="default"/>
      <w:pgSz w:w="11906" w:h="16838"/>
      <w:pgMar w:top="2098" w:right="1474" w:bottom="1984"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E9865">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31B5B5">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31B5B5">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4FA4EE"/>
    <w:multiLevelType w:val="singleLevel"/>
    <w:tmpl w:val="E74FA4E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6575239D"/>
    <w:rsid w:val="1C4F1C51"/>
    <w:rsid w:val="2B79D455"/>
    <w:rsid w:val="2D739952"/>
    <w:rsid w:val="37EE8922"/>
    <w:rsid w:val="3BD6CC08"/>
    <w:rsid w:val="3C7E4DC7"/>
    <w:rsid w:val="3D770C25"/>
    <w:rsid w:val="3EBE0C91"/>
    <w:rsid w:val="4F8F89C8"/>
    <w:rsid w:val="57FF61D3"/>
    <w:rsid w:val="59DF78F7"/>
    <w:rsid w:val="5D7F2F61"/>
    <w:rsid w:val="5FEBFEB7"/>
    <w:rsid w:val="63AF2C00"/>
    <w:rsid w:val="6575239D"/>
    <w:rsid w:val="66FBB3C3"/>
    <w:rsid w:val="6E7E2B76"/>
    <w:rsid w:val="6F7E5477"/>
    <w:rsid w:val="6FFE4FF0"/>
    <w:rsid w:val="766F8B99"/>
    <w:rsid w:val="775F2E94"/>
    <w:rsid w:val="77FE0C1A"/>
    <w:rsid w:val="7A77027B"/>
    <w:rsid w:val="7AAFA2EE"/>
    <w:rsid w:val="7B7FD2F2"/>
    <w:rsid w:val="7BDA7864"/>
    <w:rsid w:val="7BF5C7B0"/>
    <w:rsid w:val="7F5F14FE"/>
    <w:rsid w:val="7FBBDD27"/>
    <w:rsid w:val="7FEFF853"/>
    <w:rsid w:val="7FF53705"/>
    <w:rsid w:val="AEFE2975"/>
    <w:rsid w:val="B1EF4176"/>
    <w:rsid w:val="C57FED2E"/>
    <w:rsid w:val="D66F01B4"/>
    <w:rsid w:val="E7EDA48E"/>
    <w:rsid w:val="EB3E97FC"/>
    <w:rsid w:val="EDDEDB11"/>
    <w:rsid w:val="EFB7C7A6"/>
    <w:rsid w:val="F3DF48BB"/>
    <w:rsid w:val="F7FD39B0"/>
    <w:rsid w:val="FB7D1B70"/>
    <w:rsid w:val="FBFB70E3"/>
    <w:rsid w:val="FC230EE4"/>
    <w:rsid w:val="FE5EB48C"/>
    <w:rsid w:val="FEEF562B"/>
    <w:rsid w:val="FF17A445"/>
    <w:rsid w:val="FFAF53BB"/>
    <w:rsid w:val="FFE7B577"/>
    <w:rsid w:val="FFF7E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0"/>
    <w:pPr>
      <w:spacing w:before="0" w:beforeAutospacing="0" w:after="0" w:afterAutospacing="0"/>
      <w:jc w:val="left"/>
      <w:outlineLvl w:val="0"/>
    </w:pPr>
    <w:rPr>
      <w:rFonts w:hint="eastAsia" w:ascii="宋体" w:hAnsi="宋体" w:eastAsia="黑体" w:cs="宋体"/>
      <w:kern w:val="44"/>
      <w:szCs w:val="48"/>
      <w:lang w:bidi="ar"/>
    </w:rPr>
  </w:style>
  <w:style w:type="paragraph" w:styleId="5">
    <w:name w:val="heading 2"/>
    <w:basedOn w:val="1"/>
    <w:next w:val="1"/>
    <w:semiHidden/>
    <w:unhideWhenUsed/>
    <w:qFormat/>
    <w:uiPriority w:val="0"/>
    <w:pPr>
      <w:keepNext/>
      <w:keepLines/>
      <w:adjustRightInd w:val="0"/>
      <w:snapToGrid w:val="0"/>
      <w:spacing w:beforeLines="0" w:beforeAutospacing="0" w:afterLines="0" w:afterAutospacing="0" w:line="560" w:lineRule="atLeast"/>
      <w:outlineLvl w:val="1"/>
    </w:pPr>
    <w:rPr>
      <w:rFonts w:eastAsia="楷体_GB2312"/>
    </w:rPr>
  </w:style>
  <w:style w:type="paragraph" w:styleId="6">
    <w:name w:val="heading 3"/>
    <w:basedOn w:val="1"/>
    <w:next w:val="1"/>
    <w:semiHidden/>
    <w:unhideWhenUsed/>
    <w:qFormat/>
    <w:uiPriority w:val="0"/>
    <w:pPr>
      <w:keepNext/>
      <w:keepLines/>
      <w:spacing w:beforeLines="0" w:beforeAutospacing="0" w:afterLines="0" w:afterAutospacing="0" w:line="560" w:lineRule="exact"/>
      <w:outlineLvl w:val="2"/>
    </w:pPr>
    <w:rPr>
      <w:b/>
    </w:rPr>
  </w:style>
  <w:style w:type="paragraph" w:styleId="7">
    <w:name w:val="heading 4"/>
    <w:basedOn w:val="1"/>
    <w:next w:val="1"/>
    <w:semiHidden/>
    <w:unhideWhenUsed/>
    <w:qFormat/>
    <w:uiPriority w:val="0"/>
    <w:pPr>
      <w:keepNext/>
      <w:keepLines/>
      <w:spacing w:beforeLines="0" w:beforeAutospacing="0" w:afterLines="0" w:afterAutospacing="0" w:line="560" w:lineRule="exact"/>
      <w:outlineLvl w:val="3"/>
    </w:pPr>
    <w:rPr>
      <w:rFonts w:ascii="Times New Roman" w:hAnsi="Times New Roman" w:eastAsia="仿宋_GB2312"/>
      <w:sz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ind w:left="420" w:leftChars="200"/>
    </w:pPr>
  </w:style>
  <w:style w:type="paragraph" w:styleId="8">
    <w:name w:val="Body Text"/>
    <w:basedOn w:val="1"/>
    <w:next w:val="9"/>
    <w:qFormat/>
    <w:uiPriority w:val="0"/>
    <w:pPr>
      <w:spacing w:after="120" w:afterLines="0" w:afterAutospacing="0"/>
    </w:pPr>
  </w:style>
  <w:style w:type="paragraph" w:styleId="9">
    <w:name w:val="Body Text First Indent"/>
    <w:basedOn w:val="8"/>
    <w:next w:val="8"/>
    <w:qFormat/>
    <w:uiPriority w:val="0"/>
    <w:pPr>
      <w:ind w:firstLine="720"/>
    </w:pPr>
    <w:rPr>
      <w:rFonts w:eastAsia="仿宋_GB2312"/>
      <w:sz w:val="32"/>
    </w:r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7">
    <w:name w:val="Strong"/>
    <w:qFormat/>
    <w:uiPriority w:val="22"/>
    <w:rPr>
      <w:b/>
      <w:bCs/>
    </w:rPr>
  </w:style>
  <w:style w:type="paragraph" w:customStyle="1" w:styleId="18">
    <w:name w:val="大标题"/>
    <w:basedOn w:val="1"/>
    <w:next w:val="1"/>
    <w:qFormat/>
    <w:uiPriority w:val="0"/>
    <w:pPr>
      <w:ind w:firstLine="0" w:firstLineChars="0"/>
      <w:jc w:val="center"/>
    </w:pPr>
    <w:rPr>
      <w:rFonts w:eastAsia="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826</Words>
  <Characters>835</Characters>
  <Lines>0</Lines>
  <Paragraphs>0</Paragraphs>
  <TotalTime>3</TotalTime>
  <ScaleCrop>false</ScaleCrop>
  <LinksUpToDate>false</LinksUpToDate>
  <CharactersWithSpaces>846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2024-04-28T05:46:00Z</dcterms:created>
  <dc:creator>user</dc:creator>
  <cp:lastModifiedBy>孙彤</cp:lastModifiedBy>
  <dcterms:modified xsi:type="dcterms:W3CDTF">2024-10-29T06:19:35Z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3FD942D60BFD3E61064C306698581848</vt:lpwstr>
  </property>
</Properties>
</file>