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1</w:t>
      </w:r>
    </w:p>
    <w:p>
      <w:pPr>
        <w:pStyle w:val="3"/>
      </w:pPr>
    </w:p>
    <w:p>
      <w:pPr>
        <w:widowControl/>
        <w:spacing w:line="68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北京市西城区文艺精品创作引导</w:t>
      </w:r>
    </w:p>
    <w:p>
      <w:pPr>
        <w:widowControl/>
        <w:spacing w:line="68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专项资金项目管理办法</w:t>
      </w:r>
    </w:p>
    <w:p>
      <w:pPr>
        <w:widowControl/>
        <w:spacing w:line="68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bCs/>
          <w:kern w:val="0"/>
          <w:sz w:val="32"/>
          <w:szCs w:val="32"/>
        </w:rPr>
        <w:t>(</w:t>
      </w:r>
      <w:r>
        <w:rPr>
          <w:rFonts w:hint="eastAsia" w:ascii="楷体_GB2312" w:hAnsi="楷体_GB2312" w:eastAsia="楷体_GB2312" w:cs="楷体_GB2312"/>
          <w:bCs/>
          <w:kern w:val="0"/>
          <w:sz w:val="32"/>
          <w:szCs w:val="32"/>
          <w:lang w:eastAsia="zh-CN"/>
        </w:rPr>
        <w:t>修订征求意见稿</w:t>
      </w:r>
      <w:r>
        <w:rPr>
          <w:rFonts w:hint="eastAsia" w:ascii="楷体_GB2312" w:hAnsi="楷体_GB2312" w:eastAsia="楷体_GB2312" w:cs="楷体_GB2312"/>
          <w:bCs/>
          <w:kern w:val="0"/>
          <w:sz w:val="32"/>
          <w:szCs w:val="32"/>
        </w:rPr>
        <w:t>）</w:t>
      </w:r>
    </w:p>
    <w:p>
      <w:pPr>
        <w:spacing w:line="560" w:lineRule="exact"/>
        <w:jc w:val="center"/>
        <w:rPr>
          <w:rFonts w:hint="eastAsia" w:ascii="黑体" w:hAnsi="黑体" w:eastAsia="黑体" w:cs="黑体"/>
          <w:sz w:val="32"/>
          <w:szCs w:val="32"/>
        </w:rPr>
      </w:pPr>
    </w:p>
    <w:p>
      <w:pPr>
        <w:spacing w:line="560" w:lineRule="exact"/>
        <w:jc w:val="center"/>
        <w:rPr>
          <w:rFonts w:ascii="黑体" w:hAnsi="黑体" w:eastAsia="黑体" w:cs="黑体"/>
          <w:sz w:val="32"/>
          <w:szCs w:val="32"/>
        </w:rPr>
      </w:pPr>
      <w:r>
        <w:rPr>
          <w:rFonts w:hint="eastAsia" w:ascii="黑体" w:hAnsi="黑体" w:eastAsia="黑体" w:cs="黑体"/>
          <w:sz w:val="32"/>
          <w:szCs w:val="32"/>
        </w:rPr>
        <w:t>第一章 总 则</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第一条</w:t>
      </w:r>
      <w:r>
        <w:rPr>
          <w:rFonts w:hint="eastAsia" w:ascii="仿宋_GB2312" w:hAnsi="华文仿宋" w:eastAsia="仿宋_GB2312" w:cs="华文仿宋"/>
          <w:sz w:val="32"/>
          <w:szCs w:val="32"/>
        </w:rPr>
        <w:t xml:space="preserve"> 为深入贯彻落实习近平新时代中国特色社会主义思想和习近平文化思想，贯彻落实党的二十大关于推进文化自信自强、铸就社会主义文化新辉煌的战略部署，牢牢把握全国文化中心首都城市战略定位，发挥首都功能核心区资源优势，</w:t>
      </w:r>
      <w:r>
        <w:rPr>
          <w:rFonts w:hint="default" w:ascii="FangSong_GB2312" w:hAnsi="FangSong_GB2312" w:eastAsia="FangSong_GB2312"/>
          <w:color w:val="000000"/>
          <w:sz w:val="32"/>
        </w:rPr>
        <w:t>促进区域文艺</w:t>
      </w:r>
      <w:r>
        <w:rPr>
          <w:rFonts w:hint="eastAsia" w:ascii="FangSong_GB2312" w:hAnsi="FangSong_GB2312" w:eastAsia="FangSong_GB2312"/>
          <w:color w:val="000000"/>
          <w:sz w:val="32"/>
          <w:lang w:val="en-US" w:eastAsia="zh-CN"/>
        </w:rPr>
        <w:t>精品</w:t>
      </w:r>
      <w:r>
        <w:rPr>
          <w:rFonts w:hint="default" w:ascii="FangSong_GB2312" w:hAnsi="FangSong_GB2312" w:eastAsia="FangSong_GB2312"/>
          <w:color w:val="000000"/>
          <w:sz w:val="32"/>
        </w:rPr>
        <w:t>创作</w:t>
      </w:r>
      <w:r>
        <w:rPr>
          <w:rFonts w:hint="eastAsia" w:ascii="FangSong_GB2312" w:hAnsi="FangSong_GB2312" w:eastAsia="FangSong_GB2312"/>
          <w:color w:val="000000"/>
          <w:sz w:val="32"/>
          <w:lang w:val="en-US" w:eastAsia="zh-CN"/>
        </w:rPr>
        <w:t>与转化</w:t>
      </w:r>
      <w:r>
        <w:rPr>
          <w:rFonts w:hint="default" w:ascii="FangSong_GB2312" w:hAnsi="FangSong_GB2312" w:eastAsia="FangSong_GB2312"/>
          <w:color w:val="000000"/>
          <w:sz w:val="32"/>
        </w:rPr>
        <w:t>，</w:t>
      </w:r>
      <w:r>
        <w:rPr>
          <w:rFonts w:hint="eastAsia" w:ascii="仿宋_GB2312" w:hAnsi="华文仿宋" w:eastAsia="仿宋_GB2312" w:cs="华文仿宋"/>
          <w:sz w:val="32"/>
          <w:szCs w:val="32"/>
        </w:rPr>
        <w:t>推动我区文化事业和文化产业繁荣发展，根据《北京市推进全国文化中心建设中长期规划（2019年-2035年）》等规定，结合我区实际</w:t>
      </w:r>
      <w:r>
        <w:rPr>
          <w:rFonts w:hint="eastAsia" w:ascii="仿宋_GB2312" w:hAnsi="华文仿宋" w:eastAsia="仿宋_GB2312" w:cs="华文仿宋"/>
          <w:sz w:val="32"/>
          <w:szCs w:val="32"/>
          <w:lang w:eastAsia="zh-CN"/>
        </w:rPr>
        <w:t>，</w:t>
      </w:r>
      <w:r>
        <w:rPr>
          <w:rFonts w:hint="eastAsia" w:ascii="仿宋_GB2312" w:hAnsi="华文仿宋" w:eastAsia="仿宋_GB2312" w:cs="华文仿宋"/>
          <w:sz w:val="32"/>
          <w:szCs w:val="32"/>
        </w:rPr>
        <w:t>制定本办法。</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第二条</w:t>
      </w:r>
      <w:r>
        <w:rPr>
          <w:rFonts w:hint="eastAsia" w:ascii="仿宋_GB2312" w:hAnsi="华文仿宋" w:eastAsia="仿宋_GB2312" w:cs="华文仿宋"/>
          <w:sz w:val="32"/>
          <w:szCs w:val="32"/>
        </w:rPr>
        <w:t xml:space="preserve"> 本实施办法所称“北京市西城区文艺精品创作引导专项资金”（以下简称“专项资金”）是指由区级财政年度预算安排，专项用于文艺创作扶持和文艺精品奖励的专项资金。</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第三条 </w:t>
      </w:r>
      <w:r>
        <w:rPr>
          <w:rFonts w:hint="eastAsia" w:ascii="仿宋_GB2312" w:hAnsi="华文仿宋" w:eastAsia="仿宋_GB2312" w:cs="华文仿宋"/>
          <w:sz w:val="32"/>
          <w:szCs w:val="32"/>
        </w:rPr>
        <w:t>专项资金以古都文化、红色文化、京味文化、创新文化为核心，搭建文化艺术作品创作展示交流平台，重点资助优秀原创文艺作品的创作与</w:t>
      </w:r>
      <w:r>
        <w:rPr>
          <w:rFonts w:hint="eastAsia" w:ascii="仿宋_GB2312" w:hAnsi="华文仿宋" w:eastAsia="仿宋_GB2312" w:cs="华文仿宋"/>
          <w:sz w:val="32"/>
          <w:szCs w:val="32"/>
          <w:lang w:val="en-US" w:eastAsia="zh-CN"/>
        </w:rPr>
        <w:t>转化</w:t>
      </w:r>
      <w:r>
        <w:rPr>
          <w:rFonts w:hint="eastAsia" w:ascii="仿宋_GB2312" w:hAnsi="华文仿宋" w:eastAsia="仿宋_GB2312" w:cs="华文仿宋"/>
          <w:sz w:val="32"/>
          <w:szCs w:val="32"/>
        </w:rPr>
        <w:t>，着力打造精品力作，丰富“城之源·都之始·河之端”西城文化标识内涵，坚定推动文化强区建设。</w:t>
      </w:r>
    </w:p>
    <w:p>
      <w:pPr>
        <w:spacing w:line="560" w:lineRule="exact"/>
        <w:jc w:val="center"/>
        <w:rPr>
          <w:rFonts w:ascii="仿宋_GB2312" w:hAnsi="华文仿宋" w:eastAsia="仿宋_GB2312" w:cs="华文仿宋"/>
          <w:b/>
          <w:bCs/>
          <w:sz w:val="32"/>
          <w:szCs w:val="32"/>
        </w:rPr>
      </w:pPr>
      <w:r>
        <w:rPr>
          <w:rFonts w:hint="eastAsia" w:ascii="黑体" w:hAnsi="黑体" w:eastAsia="黑体" w:cs="黑体"/>
          <w:sz w:val="32"/>
          <w:szCs w:val="32"/>
        </w:rPr>
        <w:t>第二章 资金管理</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第四条</w:t>
      </w:r>
      <w:r>
        <w:rPr>
          <w:rFonts w:hint="eastAsia" w:ascii="仿宋_GB2312" w:hAnsi="华文仿宋" w:eastAsia="仿宋_GB2312" w:cs="华文仿宋"/>
          <w:sz w:val="32"/>
          <w:szCs w:val="32"/>
        </w:rPr>
        <w:t xml:space="preserve"> </w:t>
      </w:r>
      <w:r>
        <w:rPr>
          <w:rFonts w:hint="eastAsia" w:ascii="仿宋_GB2312" w:hAnsi="华文仿宋" w:eastAsia="仿宋_GB2312" w:cs="华文仿宋"/>
          <w:sz w:val="32"/>
          <w:szCs w:val="32"/>
          <w:highlight w:val="none"/>
        </w:rPr>
        <w:t>专项资金的管理使用遵循“</w:t>
      </w:r>
      <w:r>
        <w:rPr>
          <w:rFonts w:hint="default" w:ascii="FangSong_GB2312" w:hAnsi="FangSong_GB2312" w:eastAsia="FangSong_GB2312"/>
          <w:color w:val="000000"/>
          <w:sz w:val="32"/>
        </w:rPr>
        <w:t>统筹兼顾、择优</w:t>
      </w:r>
      <w:r>
        <w:rPr>
          <w:rFonts w:hint="eastAsia" w:ascii="FangSong_GB2312" w:hAnsi="FangSong_GB2312" w:eastAsia="FangSong_GB2312"/>
          <w:color w:val="000000"/>
          <w:sz w:val="32"/>
          <w:lang w:val="en-US" w:eastAsia="zh-CN"/>
        </w:rPr>
        <w:t>支持</w:t>
      </w:r>
      <w:r>
        <w:rPr>
          <w:rFonts w:hint="default" w:ascii="FangSong_GB2312" w:hAnsi="FangSong_GB2312" w:eastAsia="FangSong_GB2312"/>
          <w:color w:val="000000"/>
          <w:sz w:val="32"/>
        </w:rPr>
        <w:t>、激励创新、公正透明</w:t>
      </w:r>
      <w:r>
        <w:rPr>
          <w:rFonts w:hint="eastAsia" w:ascii="仿宋_GB2312" w:hAnsi="华文仿宋" w:eastAsia="仿宋_GB2312" w:cs="华文仿宋"/>
          <w:sz w:val="32"/>
          <w:szCs w:val="32"/>
          <w:highlight w:val="none"/>
        </w:rPr>
        <w:t>”的原则，提高财政资金使用效能，通过对“文艺创作扶持”和“文艺精品奖励”两类项目的资助和奖励，引导优秀文化企业、优秀作者和艺术人才积极创作生产优秀原创文艺作品，着力打造精品力作，提升西城区文化影响力。</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第五条</w:t>
      </w:r>
      <w:r>
        <w:rPr>
          <w:rFonts w:hint="eastAsia" w:ascii="仿宋_GB2312" w:hAnsi="华文仿宋" w:eastAsia="仿宋_GB2312" w:cs="华文仿宋"/>
          <w:sz w:val="32"/>
          <w:szCs w:val="32"/>
        </w:rPr>
        <w:t xml:space="preserve"> 设立北京市西城区文艺精品创作引导工作专班（以下简称：“工作专班”），负责专项资金项目的组织实施工作。</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第六条</w:t>
      </w:r>
      <w:r>
        <w:rPr>
          <w:rFonts w:hint="eastAsia" w:ascii="仿宋_GB2312" w:hAnsi="华文仿宋" w:eastAsia="仿宋_GB2312" w:cs="华文仿宋"/>
          <w:sz w:val="32"/>
          <w:szCs w:val="32"/>
        </w:rPr>
        <w:t xml:space="preserve"> 专项资金的使用和管理严格遵守国家和北京市相关法律法规和规章制度，采取先评审后</w:t>
      </w:r>
      <w:r>
        <w:rPr>
          <w:rFonts w:hint="eastAsia" w:ascii="仿宋_GB2312" w:hAnsi="华文仿宋" w:eastAsia="仿宋_GB2312" w:cs="华文仿宋"/>
          <w:sz w:val="32"/>
          <w:szCs w:val="32"/>
          <w:lang w:val="en-US" w:eastAsia="zh-CN"/>
        </w:rPr>
        <w:t>支持</w:t>
      </w:r>
      <w:r>
        <w:rPr>
          <w:rFonts w:hint="eastAsia" w:ascii="仿宋_GB2312" w:hAnsi="华文仿宋" w:eastAsia="仿宋_GB2312" w:cs="华文仿宋"/>
          <w:sz w:val="32"/>
          <w:szCs w:val="32"/>
        </w:rPr>
        <w:t>的方式，纳入北京市西城区文化和旅游局预算管理。</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第七条</w:t>
      </w:r>
      <w:r>
        <w:rPr>
          <w:rFonts w:hint="eastAsia" w:ascii="仿宋_GB2312" w:hAnsi="华文仿宋" w:eastAsia="仿宋_GB2312" w:cs="华文仿宋"/>
          <w:sz w:val="32"/>
          <w:szCs w:val="32"/>
        </w:rPr>
        <w:t xml:space="preserve"> 按照“谁申报谁负责、谁使用谁负责”的原则，扶持资金申报单位和实施主体对推荐项目和申报材料的合规性、合理性、真实性负责，对申报项目的政治方向导向、质量进度管理、绩效管理和资金安全负责。</w:t>
      </w:r>
    </w:p>
    <w:p>
      <w:pPr>
        <w:spacing w:line="560" w:lineRule="exact"/>
        <w:jc w:val="center"/>
        <w:rPr>
          <w:rFonts w:ascii="仿宋_GB2312" w:hAnsi="华文仿宋" w:eastAsia="仿宋_GB2312" w:cs="华文仿宋"/>
          <w:b/>
          <w:bCs/>
          <w:sz w:val="32"/>
          <w:szCs w:val="32"/>
        </w:rPr>
      </w:pPr>
      <w:r>
        <w:rPr>
          <w:rFonts w:hint="eastAsia" w:ascii="黑体" w:hAnsi="黑体" w:eastAsia="黑体" w:cs="黑体"/>
          <w:sz w:val="32"/>
          <w:szCs w:val="32"/>
        </w:rPr>
        <w:t>第三章 文艺创作扶持</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第八条</w:t>
      </w:r>
      <w:r>
        <w:rPr>
          <w:rFonts w:hint="eastAsia" w:ascii="仿宋_GB2312" w:hAnsi="华文仿宋" w:eastAsia="仿宋_GB2312" w:cs="华文仿宋"/>
          <w:sz w:val="32"/>
          <w:szCs w:val="32"/>
        </w:rPr>
        <w:t xml:space="preserve"> 文艺创作扶持坚持以人民为中心的创作导向，鼓励“西城人写世界事”、“世界人写西城事”，重点聚焦思想精深、艺术精湛、制作精良，具有获得国家级常设性文艺奖项潜力，有助于提升西城区文化影响力的创作项目。</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第九条 </w:t>
      </w:r>
      <w:r>
        <w:rPr>
          <w:rFonts w:hint="eastAsia" w:ascii="仿宋_GB2312" w:hAnsi="华文仿宋" w:eastAsia="仿宋_GB2312" w:cs="华文仿宋"/>
          <w:sz w:val="32"/>
          <w:szCs w:val="32"/>
        </w:rPr>
        <w:t>文艺创作扶持的</w:t>
      </w:r>
      <w:r>
        <w:rPr>
          <w:rFonts w:hint="eastAsia" w:ascii="仿宋_GB2312" w:hAnsi="华文仿宋" w:eastAsia="仿宋_GB2312" w:cs="华文仿宋"/>
          <w:b/>
          <w:bCs/>
          <w:sz w:val="32"/>
          <w:szCs w:val="32"/>
        </w:rPr>
        <w:t>项目申报主体</w:t>
      </w:r>
      <w:r>
        <w:rPr>
          <w:rFonts w:hint="eastAsia" w:ascii="仿宋_GB2312" w:hAnsi="华文仿宋" w:eastAsia="仿宋_GB2312" w:cs="华文仿宋"/>
          <w:sz w:val="32"/>
          <w:szCs w:val="32"/>
        </w:rPr>
        <w:t>须拥有所申报项目的作品版权、评奖申报权和荣誉权，征信良好，且满足以下基本条件之一：</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（一）</w:t>
      </w:r>
      <w:r>
        <w:rPr>
          <w:rFonts w:hint="default" w:ascii="FangSong_GB2312" w:hAnsi="FangSong_GB2312" w:eastAsia="FangSong_GB2312"/>
          <w:color w:val="000000"/>
          <w:sz w:val="32"/>
        </w:rPr>
        <w:t>申报主体为</w:t>
      </w:r>
      <w:r>
        <w:rPr>
          <w:rFonts w:hint="eastAsia" w:ascii="FangSong_GB2312" w:hAnsi="FangSong_GB2312" w:eastAsia="FangSong_GB2312"/>
          <w:color w:val="000000"/>
          <w:sz w:val="32"/>
          <w:lang w:val="en-US" w:eastAsia="zh-CN"/>
        </w:rPr>
        <w:t>北京市</w:t>
      </w:r>
      <w:r>
        <w:rPr>
          <w:rFonts w:hint="default" w:ascii="FangSong_GB2312" w:hAnsi="FangSong_GB2312" w:eastAsia="FangSong_GB2312"/>
          <w:color w:val="000000"/>
          <w:sz w:val="32"/>
        </w:rPr>
        <w:t>西城区内登记注册的独立法人企业或机构</w:t>
      </w:r>
      <w:r>
        <w:rPr>
          <w:rFonts w:hint="eastAsia" w:ascii="FangSong_GB2312" w:hAnsi="FangSong_GB2312" w:eastAsia="FangSong_GB2312"/>
          <w:color w:val="000000"/>
          <w:sz w:val="32"/>
          <w:lang w:val="en-US" w:eastAsia="zh-CN"/>
        </w:rPr>
        <w:t>的</w:t>
      </w:r>
      <w:r>
        <w:rPr>
          <w:rFonts w:hint="eastAsia" w:ascii="仿宋_GB2312" w:hAnsi="华文仿宋" w:eastAsia="仿宋_GB2312" w:cs="华文仿宋"/>
          <w:sz w:val="32"/>
          <w:szCs w:val="32"/>
        </w:rPr>
        <w:t>，申报项目创作题材不限；</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（二）申报主体为具有北京市西城区籍户口的公民个人的，申报项目创作题材不限；</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（三）申报项目题材及内容突出西城元素、充分展示西城形象的，申报主体为</w:t>
      </w:r>
      <w:r>
        <w:rPr>
          <w:rFonts w:hint="default" w:ascii="FangSong_GB2312" w:hAnsi="FangSong_GB2312" w:eastAsia="FangSong_GB2312"/>
          <w:color w:val="000000"/>
          <w:sz w:val="32"/>
        </w:rPr>
        <w:t>企业或机构</w:t>
      </w:r>
      <w:r>
        <w:rPr>
          <w:rFonts w:hint="eastAsia" w:ascii="仿宋_GB2312" w:hAnsi="华文仿宋" w:eastAsia="仿宋_GB2312" w:cs="华文仿宋"/>
          <w:sz w:val="32"/>
          <w:szCs w:val="32"/>
        </w:rPr>
        <w:t>的，注册地不限；申报主体为公民个人的，户籍地不限。</w:t>
      </w:r>
    </w:p>
    <w:p>
      <w:pPr>
        <w:spacing w:line="560" w:lineRule="exact"/>
        <w:ind w:firstLine="643" w:firstLineChars="200"/>
        <w:rPr>
          <w:rFonts w:ascii="仿宋_GB2312" w:hAnsi="华文仿宋" w:eastAsia="仿宋_GB2312" w:cs="华文仿宋"/>
          <w:b/>
          <w:bCs/>
          <w:sz w:val="32"/>
          <w:szCs w:val="32"/>
        </w:rPr>
      </w:pPr>
      <w:r>
        <w:rPr>
          <w:rFonts w:hint="eastAsia" w:ascii="仿宋_GB2312" w:hAnsi="华文仿宋" w:eastAsia="仿宋_GB2312" w:cs="华文仿宋"/>
          <w:b/>
          <w:bCs/>
          <w:sz w:val="32"/>
          <w:szCs w:val="32"/>
        </w:rPr>
        <w:t xml:space="preserve">第十条 </w:t>
      </w:r>
      <w:r>
        <w:rPr>
          <w:rFonts w:hint="eastAsia" w:ascii="仿宋_GB2312" w:hAnsi="华文仿宋" w:eastAsia="仿宋_GB2312" w:cs="华文仿宋"/>
          <w:sz w:val="32"/>
          <w:szCs w:val="32"/>
        </w:rPr>
        <w:t>文艺创作扶持的</w:t>
      </w:r>
      <w:r>
        <w:rPr>
          <w:rFonts w:hint="eastAsia" w:ascii="仿宋_GB2312" w:hAnsi="华文仿宋" w:eastAsia="仿宋_GB2312" w:cs="华文仿宋"/>
          <w:b/>
          <w:bCs/>
          <w:sz w:val="32"/>
          <w:szCs w:val="32"/>
        </w:rPr>
        <w:t>项目申报范围</w:t>
      </w:r>
      <w:r>
        <w:rPr>
          <w:rFonts w:hint="eastAsia" w:ascii="仿宋_GB2312" w:hAnsi="华文仿宋" w:eastAsia="仿宋_GB2312" w:cs="华文仿宋"/>
          <w:sz w:val="32"/>
          <w:szCs w:val="32"/>
        </w:rPr>
        <w:t>包括：文学创作及成果转化项目、剧本（影视剧、舞台剧）创作及成果转化项目、音乐创作生产项目、其他艺术门类创作生产项目。</w:t>
      </w:r>
    </w:p>
    <w:p>
      <w:pPr>
        <w:spacing w:line="560" w:lineRule="exact"/>
        <w:ind w:firstLine="643" w:firstLineChars="200"/>
        <w:jc w:val="left"/>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第十一条 </w:t>
      </w:r>
      <w:r>
        <w:rPr>
          <w:rFonts w:hint="eastAsia" w:ascii="仿宋_GB2312" w:hAnsi="华文仿宋" w:eastAsia="仿宋_GB2312" w:cs="华文仿宋"/>
          <w:sz w:val="32"/>
          <w:szCs w:val="32"/>
        </w:rPr>
        <w:t>文艺创作扶持的</w:t>
      </w:r>
      <w:r>
        <w:rPr>
          <w:rFonts w:hint="eastAsia" w:ascii="仿宋_GB2312" w:hAnsi="华文仿宋" w:eastAsia="仿宋_GB2312" w:cs="华文仿宋"/>
          <w:b/>
          <w:bCs/>
          <w:sz w:val="32"/>
          <w:szCs w:val="32"/>
        </w:rPr>
        <w:t>项目入围资格</w:t>
      </w:r>
      <w:r>
        <w:rPr>
          <w:rFonts w:hint="eastAsia" w:ascii="仿宋_GB2312" w:hAnsi="华文仿宋" w:eastAsia="仿宋_GB2312" w:cs="华文仿宋"/>
          <w:sz w:val="32"/>
          <w:szCs w:val="32"/>
        </w:rPr>
        <w:t>需经项目综合评审确定，入围项目按照以下范围及标准分阶段扶持：</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（一）文学创作及成果转化项目：</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1.具体包括：长篇小说、长篇报告文学、长篇纪实文学、中短篇小说集、诗歌集、散文集、儿童文学、文学评论集、文艺理论专著等；</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2.申报项目创作阶段须完成初稿，成果转化阶段须完成出版发行；</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3.文学项目创作阶段最高资助额度创作阶段不超过</w:t>
      </w:r>
      <w:r>
        <w:rPr>
          <w:rFonts w:hint="eastAsia" w:ascii="仿宋_GB2312" w:hAnsi="华文仿宋" w:eastAsia="仿宋_GB2312" w:cs="华文仿宋"/>
          <w:sz w:val="32"/>
          <w:szCs w:val="32"/>
          <w:lang w:val="en-US" w:eastAsia="zh-CN"/>
        </w:rPr>
        <w:t>15</w:t>
      </w:r>
      <w:r>
        <w:rPr>
          <w:rFonts w:hint="eastAsia" w:ascii="仿宋_GB2312" w:hAnsi="华文仿宋" w:eastAsia="仿宋_GB2312" w:cs="华文仿宋"/>
          <w:sz w:val="32"/>
          <w:szCs w:val="32"/>
        </w:rPr>
        <w:t>万元，成果转化阶段最高资助额度不超过</w:t>
      </w:r>
      <w:r>
        <w:rPr>
          <w:rFonts w:hint="eastAsia" w:ascii="仿宋_GB2312" w:hAnsi="华文仿宋" w:eastAsia="仿宋_GB2312" w:cs="华文仿宋"/>
          <w:sz w:val="32"/>
          <w:szCs w:val="32"/>
          <w:lang w:val="en-US" w:eastAsia="zh-CN"/>
        </w:rPr>
        <w:t>15</w:t>
      </w:r>
      <w:r>
        <w:rPr>
          <w:rFonts w:hint="eastAsia" w:ascii="仿宋_GB2312" w:hAnsi="华文仿宋" w:eastAsia="仿宋_GB2312" w:cs="华文仿宋"/>
          <w:sz w:val="32"/>
          <w:szCs w:val="32"/>
        </w:rPr>
        <w:t>万元。</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（二）剧本（影视剧、舞台剧）创作及成果转化项目：</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1.具体包括：</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（1）影视剧本：电影（含动画电影、纪录电影）、电视剧（含电视纪录片、电视动画片）；</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（2）舞台剧本：根据文本在成果转化中的占比分为语言类和非语言类剧本；</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①语言类：话剧、音乐剧、戏曲、曲艺、儿童剧等</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②非语言类：杂技剧、舞剧、跨界融合多媒体项目等</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2.影视剧本、语言类舞台剧本项目创作阶段须完成初稿、非语言类舞台剧本须完成彩排；影视剧本成果转化阶段须完成首映、舞台剧本成果转化阶段须完成首演；</w:t>
      </w:r>
    </w:p>
    <w:p>
      <w:pPr>
        <w:spacing w:line="560" w:lineRule="exact"/>
        <w:ind w:firstLine="640" w:firstLineChars="200"/>
        <w:jc w:val="left"/>
        <w:rPr>
          <w:rFonts w:ascii="仿宋_GB2312" w:hAnsi="华文仿宋" w:eastAsia="仿宋_GB2312" w:cs="华文仿宋"/>
          <w:color w:val="auto"/>
          <w:sz w:val="32"/>
          <w:szCs w:val="32"/>
          <w:highlight w:val="none"/>
          <w:shd w:val="clear" w:fill="000000"/>
        </w:rPr>
      </w:pPr>
      <w:r>
        <w:rPr>
          <w:rFonts w:hint="eastAsia" w:ascii="仿宋_GB2312" w:hAnsi="华文仿宋" w:eastAsia="仿宋_GB2312" w:cs="华文仿宋"/>
          <w:sz w:val="32"/>
          <w:szCs w:val="32"/>
        </w:rPr>
        <w:t>3.剧本项目创作阶段最高资助额度不超过50万元；成果转化阶段，影视剧最高资助额度不超过150万元、舞台剧最高资助额度不超过100万元（在辖区内授牌的演艺新空间首演以及演出场次达10场（含）以上的，成果转化阶段对应再奖励3万、10万）。</w:t>
      </w:r>
    </w:p>
    <w:p>
      <w:pPr>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（三）音乐创作生产项目</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1.具体包括：单首音乐或歌曲创作生产、专辑音乐或歌曲创作生产（或整台音乐演出）等；</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2.申报当年年内，音乐创作生产项目须完成上线发行或首演；</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3.单首音乐或歌曲创作最高资助额度原则上不超过5万元；</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4.专辑音乐或歌曲创作生产（或整台音乐演出）最高资助额度不超过20万元。</w:t>
      </w:r>
    </w:p>
    <w:p>
      <w:pPr>
        <w:spacing w:line="560" w:lineRule="exact"/>
        <w:ind w:firstLine="640" w:firstLineChars="200"/>
        <w:jc w:val="left"/>
        <w:rPr>
          <w:rFonts w:ascii="仿宋_GB2312" w:hAnsi="华文仿宋" w:eastAsia="仿宋_GB2312" w:cs="华文仿宋"/>
          <w:b/>
          <w:bCs/>
          <w:sz w:val="32"/>
          <w:szCs w:val="32"/>
        </w:rPr>
      </w:pPr>
      <w:r>
        <w:rPr>
          <w:rFonts w:hint="eastAsia" w:ascii="楷体" w:hAnsi="楷体" w:eastAsia="楷体" w:cs="楷体"/>
          <w:sz w:val="32"/>
          <w:szCs w:val="32"/>
        </w:rPr>
        <w:t>（四）其他艺术门类创作生产项目</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1.具体包括：视觉艺术创作展示（美术、书法、摄影、雕塑、装置、民间工艺等）、剧本娱乐活动创作运营（剧本推理游戏、桌面游戏、密室等）、视听类网络文艺创作播放（短视频、播客、广播剧等）等；</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2.申报当年年内，视觉艺术创作生产须进行展览展示、剧本娱乐活动创作生产须投入运营、视听类网络文艺创作生产须上线播放；</w:t>
      </w:r>
    </w:p>
    <w:p>
      <w:pPr>
        <w:spacing w:line="560" w:lineRule="exact"/>
        <w:ind w:firstLine="640" w:firstLineChars="200"/>
        <w:jc w:val="left"/>
        <w:rPr>
          <w:rFonts w:ascii="仿宋_GB2312" w:hAnsi="华文仿宋" w:eastAsia="仿宋_GB2312" w:cs="华文仿宋"/>
          <w:sz w:val="32"/>
          <w:szCs w:val="32"/>
        </w:rPr>
      </w:pPr>
      <w:r>
        <w:rPr>
          <w:rFonts w:hint="eastAsia" w:ascii="仿宋_GB2312" w:hAnsi="华文仿宋" w:eastAsia="仿宋_GB2312" w:cs="华文仿宋"/>
          <w:sz w:val="32"/>
          <w:szCs w:val="32"/>
        </w:rPr>
        <w:t>3.其他艺术门类作品最高资助额度不超过30万元。</w:t>
      </w:r>
    </w:p>
    <w:p>
      <w:pPr>
        <w:spacing w:line="560" w:lineRule="exact"/>
        <w:jc w:val="center"/>
        <w:rPr>
          <w:rFonts w:ascii="仿宋_GB2312" w:hAnsi="华文仿宋" w:eastAsia="仿宋_GB2312" w:cs="华文仿宋"/>
          <w:b/>
          <w:bCs/>
          <w:sz w:val="32"/>
          <w:szCs w:val="32"/>
        </w:rPr>
      </w:pPr>
      <w:r>
        <w:rPr>
          <w:rFonts w:hint="eastAsia" w:ascii="黑体" w:hAnsi="黑体" w:eastAsia="黑体" w:cs="黑体"/>
          <w:sz w:val="32"/>
          <w:szCs w:val="32"/>
        </w:rPr>
        <w:t>第四章 文艺精品奖励</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第十二条</w:t>
      </w:r>
      <w:r>
        <w:rPr>
          <w:rFonts w:hint="eastAsia" w:ascii="仿宋_GB2312" w:hAnsi="华文仿宋" w:eastAsia="仿宋_GB2312" w:cs="华文仿宋"/>
          <w:sz w:val="32"/>
          <w:szCs w:val="32"/>
        </w:rPr>
        <w:t xml:space="preserve"> 文艺精品奖励的</w:t>
      </w:r>
      <w:r>
        <w:rPr>
          <w:rFonts w:hint="eastAsia" w:ascii="仿宋_GB2312" w:hAnsi="华文仿宋" w:eastAsia="仿宋_GB2312" w:cs="华文仿宋"/>
          <w:b/>
          <w:bCs/>
          <w:sz w:val="32"/>
          <w:szCs w:val="32"/>
        </w:rPr>
        <w:t>项目申报主体</w:t>
      </w:r>
      <w:r>
        <w:rPr>
          <w:rFonts w:hint="eastAsia" w:ascii="仿宋_GB2312" w:hAnsi="华文仿宋" w:eastAsia="仿宋_GB2312" w:cs="华文仿宋"/>
          <w:sz w:val="32"/>
          <w:szCs w:val="32"/>
        </w:rPr>
        <w:t>须拥有所申报项目的作品版权、评奖申报权和荣誉权，且满足以下基本条件之一：</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（一）</w:t>
      </w:r>
      <w:r>
        <w:rPr>
          <w:rFonts w:hint="default" w:ascii="FangSong_GB2312" w:hAnsi="FangSong_GB2312" w:eastAsia="FangSong_GB2312"/>
          <w:color w:val="000000"/>
          <w:sz w:val="32"/>
        </w:rPr>
        <w:t>申报主体为</w:t>
      </w:r>
      <w:r>
        <w:rPr>
          <w:rFonts w:hint="eastAsia" w:ascii="FangSong_GB2312" w:hAnsi="FangSong_GB2312" w:eastAsia="FangSong_GB2312"/>
          <w:color w:val="000000"/>
          <w:sz w:val="32"/>
          <w:lang w:val="en-US" w:eastAsia="zh-CN"/>
        </w:rPr>
        <w:t>北京市</w:t>
      </w:r>
      <w:r>
        <w:rPr>
          <w:rFonts w:hint="default" w:ascii="FangSong_GB2312" w:hAnsi="FangSong_GB2312" w:eastAsia="FangSong_GB2312"/>
          <w:color w:val="000000"/>
          <w:sz w:val="32"/>
        </w:rPr>
        <w:t>西城区内登记注册的独立法人企业或机构</w:t>
      </w:r>
      <w:r>
        <w:rPr>
          <w:rFonts w:hint="eastAsia" w:ascii="FangSong_GB2312" w:hAnsi="FangSong_GB2312" w:eastAsia="FangSong_GB2312"/>
          <w:color w:val="000000"/>
          <w:sz w:val="32"/>
          <w:lang w:val="en-US" w:eastAsia="zh-CN"/>
        </w:rPr>
        <w:t>的</w:t>
      </w:r>
      <w:r>
        <w:rPr>
          <w:rFonts w:hint="eastAsia" w:ascii="仿宋_GB2312" w:hAnsi="华文仿宋" w:eastAsia="仿宋_GB2312" w:cs="华文仿宋"/>
          <w:sz w:val="32"/>
          <w:szCs w:val="32"/>
        </w:rPr>
        <w:t>，申报项目创作题材不限；</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（二）申报主体为具有北京市西城区籍户口的公民个人的，申报项目创作题材不限；</w:t>
      </w:r>
    </w:p>
    <w:p>
      <w:pPr>
        <w:spacing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（三）申报项目题材及内容突出西城元素、充分展示西城形象的，申报主体为</w:t>
      </w:r>
      <w:r>
        <w:rPr>
          <w:rFonts w:hint="default" w:ascii="FangSong_GB2312" w:hAnsi="FangSong_GB2312" w:eastAsia="FangSong_GB2312"/>
          <w:color w:val="000000"/>
          <w:sz w:val="32"/>
        </w:rPr>
        <w:t>企业或机构</w:t>
      </w:r>
      <w:r>
        <w:rPr>
          <w:rFonts w:hint="eastAsia" w:ascii="仿宋_GB2312" w:hAnsi="华文仿宋" w:eastAsia="仿宋_GB2312" w:cs="华文仿宋"/>
          <w:sz w:val="32"/>
          <w:szCs w:val="32"/>
        </w:rPr>
        <w:t>的，注册地不限；申报主体为公民个人的，户籍地不限。</w:t>
      </w:r>
    </w:p>
    <w:p>
      <w:pPr>
        <w:pStyle w:val="3"/>
        <w:sectPr>
          <w:footerReference r:id="rId3" w:type="default"/>
          <w:pgSz w:w="11906" w:h="16838"/>
          <w:pgMar w:top="1440" w:right="1800" w:bottom="1440" w:left="1800" w:header="851" w:footer="992" w:gutter="0"/>
          <w:cols w:space="425" w:num="1"/>
          <w:docGrid w:type="lines" w:linePitch="312" w:charSpace="0"/>
        </w:sectPr>
      </w:pPr>
    </w:p>
    <w:p>
      <w:pPr>
        <w:spacing w:line="560" w:lineRule="exact"/>
        <w:ind w:firstLine="643" w:firstLineChars="200"/>
        <w:rPr>
          <w:rFonts w:ascii="仿宋_GB2312" w:hAnsi="华文仿宋" w:eastAsia="仿宋_GB2312" w:cs="华文仿宋"/>
          <w:b/>
          <w:bCs/>
          <w:sz w:val="32"/>
          <w:szCs w:val="32"/>
        </w:rPr>
      </w:pPr>
      <w:r>
        <w:rPr>
          <w:rFonts w:hint="eastAsia" w:ascii="仿宋_GB2312" w:hAnsi="华文仿宋" w:eastAsia="仿宋_GB2312" w:cs="华文仿宋"/>
          <w:b/>
          <w:bCs/>
          <w:sz w:val="32"/>
          <w:szCs w:val="32"/>
        </w:rPr>
        <w:t xml:space="preserve">第十三条 </w:t>
      </w:r>
      <w:r>
        <w:rPr>
          <w:rFonts w:hint="eastAsia" w:ascii="仿宋_GB2312" w:hAnsi="华文仿宋" w:eastAsia="仿宋_GB2312" w:cs="华文仿宋"/>
          <w:sz w:val="32"/>
          <w:szCs w:val="32"/>
        </w:rPr>
        <w:t>文艺精品奖励的申报项目应为获得过</w:t>
      </w:r>
      <w:r>
        <w:rPr>
          <w:rFonts w:hint="eastAsia" w:ascii="仿宋_GB2312" w:hAnsi="华文仿宋" w:eastAsia="仿宋_GB2312" w:cs="华文仿宋"/>
          <w:sz w:val="32"/>
          <w:szCs w:val="32"/>
          <w:lang w:val="en-US" w:eastAsia="zh-CN"/>
        </w:rPr>
        <w:t>中共</w:t>
      </w:r>
      <w:r>
        <w:rPr>
          <w:rFonts w:hint="eastAsia" w:ascii="仿宋_GB2312" w:hAnsi="华文仿宋" w:eastAsia="仿宋_GB2312" w:cs="华文仿宋"/>
          <w:sz w:val="32"/>
          <w:szCs w:val="32"/>
        </w:rPr>
        <w:t>中央宣传部等国家部委批准设立的常设全国性文艺奖项或在国内外产生重大影响力的优秀文艺作品。其中，舞台剧项目鼓励在辖区内演艺新空间演出，具体奖励标准如下：</w:t>
      </w:r>
    </w:p>
    <w:tbl>
      <w:tblPr>
        <w:tblStyle w:val="7"/>
        <w:tblpPr w:leftFromText="180" w:rightFromText="180" w:vertAnchor="text" w:horzAnchor="page" w:tblpX="1486" w:tblpY="78"/>
        <w:tblOverlap w:val="never"/>
        <w:tblW w:w="14053" w:type="dxa"/>
        <w:tblInd w:w="0" w:type="dxa"/>
        <w:tblLayout w:type="fixed"/>
        <w:tblCellMar>
          <w:top w:w="0" w:type="dxa"/>
          <w:left w:w="0" w:type="dxa"/>
          <w:bottom w:w="0" w:type="dxa"/>
          <w:right w:w="0" w:type="dxa"/>
        </w:tblCellMar>
      </w:tblPr>
      <w:tblGrid>
        <w:gridCol w:w="945"/>
        <w:gridCol w:w="1208"/>
        <w:gridCol w:w="3393"/>
        <w:gridCol w:w="422"/>
        <w:gridCol w:w="972"/>
        <w:gridCol w:w="4754"/>
        <w:gridCol w:w="33"/>
        <w:gridCol w:w="2293"/>
        <w:gridCol w:w="33"/>
      </w:tblGrid>
      <w:tr>
        <w:tblPrEx>
          <w:tblCellMar>
            <w:top w:w="0" w:type="dxa"/>
            <w:left w:w="0" w:type="dxa"/>
            <w:bottom w:w="0" w:type="dxa"/>
            <w:right w:w="0" w:type="dxa"/>
          </w:tblCellMar>
        </w:tblPrEx>
        <w:trPr>
          <w:trHeight w:val="9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文艺门类</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奖励事项</w:t>
            </w: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奖项名称</w:t>
            </w:r>
          </w:p>
        </w:tc>
        <w:tc>
          <w:tcPr>
            <w:tcW w:w="57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类别</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奖励标准</w:t>
            </w:r>
          </w:p>
        </w:tc>
      </w:tr>
      <w:tr>
        <w:tblPrEx>
          <w:tblCellMar>
            <w:top w:w="0" w:type="dxa"/>
            <w:left w:w="0" w:type="dxa"/>
            <w:bottom w:w="0" w:type="dxa"/>
            <w:right w:w="0" w:type="dxa"/>
          </w:tblCellMar>
        </w:tblPrEx>
        <w:trPr>
          <w:trHeight w:val="386"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电影</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获奖奖励</w:t>
            </w:r>
          </w:p>
        </w:tc>
        <w:tc>
          <w:tcPr>
            <w:tcW w:w="957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中央宣传部精神文明建设“五个一工程”奖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100万元</w:t>
            </w:r>
          </w:p>
        </w:tc>
      </w:tr>
      <w:tr>
        <w:tblPrEx>
          <w:tblCellMar>
            <w:top w:w="0" w:type="dxa"/>
            <w:left w:w="0" w:type="dxa"/>
            <w:bottom w:w="0" w:type="dxa"/>
            <w:right w:w="0" w:type="dxa"/>
          </w:tblCellMar>
        </w:tblPrEx>
        <w:trPr>
          <w:trHeight w:val="65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中国广播影视大奖电影华表奖</w:t>
            </w:r>
          </w:p>
        </w:tc>
        <w:tc>
          <w:tcPr>
            <w:tcW w:w="575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优秀故事片奖、优秀少儿影片奖、优秀青年创作影片、优秀少数民族题材影片、优秀农村题材影片及提名奖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80万元（提名奖20万元）</w:t>
            </w:r>
          </w:p>
        </w:tc>
      </w:tr>
      <w:tr>
        <w:tblPrEx>
          <w:tblCellMar>
            <w:top w:w="0" w:type="dxa"/>
            <w:left w:w="0" w:type="dxa"/>
            <w:bottom w:w="0" w:type="dxa"/>
            <w:right w:w="0" w:type="dxa"/>
          </w:tblCellMar>
        </w:tblPrEx>
        <w:trPr>
          <w:trHeight w:val="87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中国电影金鸡奖</w:t>
            </w:r>
          </w:p>
        </w:tc>
        <w:tc>
          <w:tcPr>
            <w:tcW w:w="575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最佳故事片奖、最佳中小成本故事片奖、最佳纪录/科教片奖、最佳儿童奖、最佳美术片奖、最佳戏曲片奖、最佳外语片奖及提名奖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60万元（提名奖15万元）</w:t>
            </w:r>
          </w:p>
        </w:tc>
      </w:tr>
      <w:tr>
        <w:tblPrEx>
          <w:tblCellMar>
            <w:top w:w="0" w:type="dxa"/>
            <w:left w:w="0" w:type="dxa"/>
            <w:bottom w:w="0" w:type="dxa"/>
            <w:right w:w="0" w:type="dxa"/>
          </w:tblCellMar>
        </w:tblPrEx>
        <w:trPr>
          <w:trHeight w:val="30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大众电影百花奖</w:t>
            </w:r>
          </w:p>
        </w:tc>
        <w:tc>
          <w:tcPr>
            <w:tcW w:w="575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最佳故事片奖及提名奖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60万元（提名奖15万元）</w:t>
            </w:r>
          </w:p>
        </w:tc>
      </w:tr>
      <w:tr>
        <w:tblPrEx>
          <w:tblCellMar>
            <w:top w:w="0" w:type="dxa"/>
            <w:left w:w="0" w:type="dxa"/>
            <w:bottom w:w="0" w:type="dxa"/>
            <w:right w:w="0" w:type="dxa"/>
          </w:tblCellMar>
        </w:tblPrEx>
        <w:trPr>
          <w:trHeight w:val="283"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75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优秀故事片及提名奖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20万元（提名奖5万元）</w:t>
            </w:r>
          </w:p>
        </w:tc>
      </w:tr>
      <w:tr>
        <w:tblPrEx>
          <w:tblCellMar>
            <w:top w:w="0" w:type="dxa"/>
            <w:left w:w="0" w:type="dxa"/>
            <w:bottom w:w="0" w:type="dxa"/>
            <w:right w:w="0" w:type="dxa"/>
          </w:tblCellMar>
        </w:tblPrEx>
        <w:trPr>
          <w:trHeight w:val="1004"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奥斯卡金像奖、国际A类电影节（威尼斯国际电影节、戛纳国际电影节、柏林国际电影节、上海国际电影节）</w:t>
            </w:r>
          </w:p>
        </w:tc>
        <w:tc>
          <w:tcPr>
            <w:tcW w:w="575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主竞赛单元奖项（正能量、主旋律为前提）</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80万元（提名奖40万元）</w:t>
            </w:r>
          </w:p>
        </w:tc>
      </w:tr>
      <w:tr>
        <w:tblPrEx>
          <w:tblCellMar>
            <w:top w:w="0" w:type="dxa"/>
            <w:left w:w="0" w:type="dxa"/>
            <w:bottom w:w="0" w:type="dxa"/>
            <w:right w:w="0" w:type="dxa"/>
          </w:tblCellMar>
        </w:tblPrEx>
        <w:trPr>
          <w:trHeight w:val="386" w:hRule="atLeast"/>
        </w:trPr>
        <w:tc>
          <w:tcPr>
            <w:tcW w:w="94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815"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北京市文学艺术奖</w:t>
            </w:r>
          </w:p>
        </w:tc>
        <w:tc>
          <w:tcPr>
            <w:tcW w:w="5759" w:type="dxa"/>
            <w:gridSpan w:val="3"/>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电影奖</w:t>
            </w:r>
          </w:p>
        </w:tc>
        <w:tc>
          <w:tcPr>
            <w:tcW w:w="2326"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20万元</w:t>
            </w:r>
          </w:p>
        </w:tc>
      </w:tr>
      <w:tr>
        <w:tblPrEx>
          <w:tblCellMar>
            <w:top w:w="0" w:type="dxa"/>
            <w:left w:w="0" w:type="dxa"/>
            <w:bottom w:w="0" w:type="dxa"/>
            <w:right w:w="0" w:type="dxa"/>
          </w:tblCellMar>
        </w:tblPrEx>
        <w:trPr>
          <w:trHeight w:val="506" w:hRule="atLeast"/>
        </w:trPr>
        <w:tc>
          <w:tcPr>
            <w:tcW w:w="94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电视剧</w:t>
            </w:r>
          </w:p>
        </w:tc>
        <w:tc>
          <w:tcPr>
            <w:tcW w:w="1208"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获奖奖励</w:t>
            </w:r>
          </w:p>
        </w:tc>
        <w:tc>
          <w:tcPr>
            <w:tcW w:w="9574"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中央宣传部精神文明建设“五个一工程”奖</w:t>
            </w:r>
          </w:p>
        </w:tc>
        <w:tc>
          <w:tcPr>
            <w:tcW w:w="232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100万元</w:t>
            </w:r>
          </w:p>
        </w:tc>
      </w:tr>
      <w:tr>
        <w:tblPrEx>
          <w:tblCellMar>
            <w:top w:w="0" w:type="dxa"/>
            <w:left w:w="0" w:type="dxa"/>
            <w:bottom w:w="0" w:type="dxa"/>
            <w:right w:w="0" w:type="dxa"/>
          </w:tblCellMar>
        </w:tblPrEx>
        <w:trPr>
          <w:trHeight w:val="856" w:hRule="atLeast"/>
        </w:trPr>
        <w:tc>
          <w:tcPr>
            <w:tcW w:w="94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81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中国广播影视大奖电视剧飞天奖</w:t>
            </w:r>
          </w:p>
        </w:tc>
        <w:tc>
          <w:tcPr>
            <w:tcW w:w="575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电视剧一、二、三等奖及提名奖</w:t>
            </w:r>
          </w:p>
        </w:tc>
        <w:tc>
          <w:tcPr>
            <w:tcW w:w="232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80、60、40万元（提名奖20万元）</w:t>
            </w:r>
          </w:p>
        </w:tc>
      </w:tr>
      <w:tr>
        <w:tblPrEx>
          <w:tblCellMar>
            <w:top w:w="0" w:type="dxa"/>
            <w:left w:w="0" w:type="dxa"/>
            <w:bottom w:w="0" w:type="dxa"/>
            <w:right w:w="0" w:type="dxa"/>
          </w:tblCellMar>
        </w:tblPrEx>
        <w:trPr>
          <w:trHeight w:val="615" w:hRule="atLeast"/>
        </w:trPr>
        <w:tc>
          <w:tcPr>
            <w:tcW w:w="94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815" w:type="dxa"/>
            <w:gridSpan w:val="2"/>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中国电视金鹰奖</w:t>
            </w:r>
          </w:p>
        </w:tc>
        <w:tc>
          <w:tcPr>
            <w:tcW w:w="5759"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最佳电视剧及提名奖</w:t>
            </w:r>
          </w:p>
        </w:tc>
        <w:tc>
          <w:tcPr>
            <w:tcW w:w="232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60万元（提名奖15万元）</w:t>
            </w:r>
          </w:p>
        </w:tc>
      </w:tr>
      <w:tr>
        <w:tblPrEx>
          <w:tblCellMar>
            <w:top w:w="0" w:type="dxa"/>
            <w:left w:w="0" w:type="dxa"/>
            <w:bottom w:w="0" w:type="dxa"/>
            <w:right w:w="0" w:type="dxa"/>
          </w:tblCellMar>
        </w:tblPrEx>
        <w:trPr>
          <w:trHeight w:val="361" w:hRule="atLeast"/>
        </w:trPr>
        <w:tc>
          <w:tcPr>
            <w:tcW w:w="94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815"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759"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优秀电视剧及提名奖</w:t>
            </w:r>
          </w:p>
        </w:tc>
        <w:tc>
          <w:tcPr>
            <w:tcW w:w="232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20万元（提名奖5万元）</w:t>
            </w:r>
          </w:p>
        </w:tc>
      </w:tr>
      <w:tr>
        <w:tblPrEx>
          <w:tblCellMar>
            <w:top w:w="0" w:type="dxa"/>
            <w:left w:w="0" w:type="dxa"/>
            <w:bottom w:w="0" w:type="dxa"/>
            <w:right w:w="0" w:type="dxa"/>
          </w:tblCellMar>
        </w:tblPrEx>
        <w:trPr>
          <w:trHeight w:val="381" w:hRule="atLeast"/>
        </w:trPr>
        <w:tc>
          <w:tcPr>
            <w:tcW w:w="94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81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上海电视节白玉兰奖</w:t>
            </w:r>
          </w:p>
        </w:tc>
        <w:tc>
          <w:tcPr>
            <w:tcW w:w="575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最佳中国电视剧</w:t>
            </w:r>
            <w:r>
              <w:rPr>
                <w:rFonts w:hint="eastAsia" w:ascii="宋体" w:hAnsi="宋体" w:cs="宋体"/>
                <w:color w:val="000000"/>
                <w:kern w:val="0"/>
                <w:sz w:val="22"/>
                <w:szCs w:val="22"/>
                <w:lang w:eastAsia="zh-CN" w:bidi="ar"/>
              </w:rPr>
              <w:t>奖</w:t>
            </w:r>
            <w:r>
              <w:rPr>
                <w:rFonts w:hint="eastAsia" w:ascii="宋体" w:hAnsi="宋体" w:cs="宋体"/>
                <w:color w:val="000000"/>
                <w:kern w:val="0"/>
                <w:sz w:val="22"/>
                <w:szCs w:val="22"/>
                <w:lang w:bidi="ar"/>
              </w:rPr>
              <w:t>及提名奖</w:t>
            </w:r>
          </w:p>
        </w:tc>
        <w:tc>
          <w:tcPr>
            <w:tcW w:w="232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50万元（提名奖20万元）</w:t>
            </w:r>
          </w:p>
        </w:tc>
      </w:tr>
      <w:tr>
        <w:tblPrEx>
          <w:tblCellMar>
            <w:top w:w="0" w:type="dxa"/>
            <w:left w:w="0" w:type="dxa"/>
            <w:bottom w:w="0" w:type="dxa"/>
            <w:right w:w="0" w:type="dxa"/>
          </w:tblCellMar>
        </w:tblPrEx>
        <w:trPr>
          <w:trHeight w:val="473" w:hRule="atLeast"/>
        </w:trPr>
        <w:tc>
          <w:tcPr>
            <w:tcW w:w="94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81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北京市文学艺术奖</w:t>
            </w:r>
          </w:p>
        </w:tc>
        <w:tc>
          <w:tcPr>
            <w:tcW w:w="5759"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电视剧奖</w:t>
            </w:r>
          </w:p>
        </w:tc>
        <w:tc>
          <w:tcPr>
            <w:tcW w:w="232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20万元（提名奖5万元）</w:t>
            </w:r>
          </w:p>
        </w:tc>
      </w:tr>
      <w:tr>
        <w:tblPrEx>
          <w:tblCellMar>
            <w:top w:w="0" w:type="dxa"/>
            <w:left w:w="0" w:type="dxa"/>
            <w:bottom w:w="0" w:type="dxa"/>
            <w:right w:w="0" w:type="dxa"/>
          </w:tblCellMar>
        </w:tblPrEx>
        <w:trPr>
          <w:trHeight w:val="600" w:hRule="atLeast"/>
        </w:trPr>
        <w:tc>
          <w:tcPr>
            <w:tcW w:w="945" w:type="dxa"/>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舞台剧</w:t>
            </w:r>
          </w:p>
        </w:tc>
        <w:tc>
          <w:tcPr>
            <w:tcW w:w="1208"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获奖奖励</w:t>
            </w:r>
          </w:p>
        </w:tc>
        <w:tc>
          <w:tcPr>
            <w:tcW w:w="3815" w:type="dxa"/>
            <w:gridSpan w:val="2"/>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中央宣传部精神文明建设“五个一工程”奖</w:t>
            </w:r>
          </w:p>
        </w:tc>
        <w:tc>
          <w:tcPr>
            <w:tcW w:w="5759"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戏剧</w:t>
            </w:r>
          </w:p>
        </w:tc>
        <w:tc>
          <w:tcPr>
            <w:tcW w:w="2326"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50万元</w:t>
            </w:r>
          </w:p>
        </w:tc>
      </w:tr>
      <w:tr>
        <w:tblPrEx>
          <w:tblCellMar>
            <w:top w:w="0" w:type="dxa"/>
            <w:left w:w="0" w:type="dxa"/>
            <w:bottom w:w="0" w:type="dxa"/>
            <w:right w:w="0" w:type="dxa"/>
          </w:tblCellMar>
        </w:tblPrEx>
        <w:trPr>
          <w:trHeight w:val="47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815" w:type="dxa"/>
            <w:gridSpan w:val="2"/>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中国文化艺术政府奖</w:t>
            </w:r>
          </w:p>
        </w:tc>
        <w:tc>
          <w:tcPr>
            <w:tcW w:w="57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文华大奖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30万元</w:t>
            </w:r>
          </w:p>
        </w:tc>
      </w:tr>
      <w:tr>
        <w:tblPrEx>
          <w:tblCellMar>
            <w:top w:w="0" w:type="dxa"/>
            <w:left w:w="0" w:type="dxa"/>
            <w:bottom w:w="0" w:type="dxa"/>
            <w:right w:w="0" w:type="dxa"/>
          </w:tblCellMar>
        </w:tblPrEx>
        <w:trPr>
          <w:trHeight w:val="47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815" w:type="dxa"/>
            <w:gridSpan w:val="2"/>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7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文华单项奖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15万元</w:t>
            </w:r>
          </w:p>
        </w:tc>
      </w:tr>
      <w:tr>
        <w:tblPrEx>
          <w:tblCellMar>
            <w:top w:w="0" w:type="dxa"/>
            <w:left w:w="0" w:type="dxa"/>
            <w:bottom w:w="0" w:type="dxa"/>
            <w:right w:w="0" w:type="dxa"/>
          </w:tblCellMar>
        </w:tblPrEx>
        <w:trPr>
          <w:trHeight w:val="463"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815" w:type="dxa"/>
            <w:gridSpan w:val="2"/>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中国戏剧奖</w:t>
            </w:r>
          </w:p>
        </w:tc>
        <w:tc>
          <w:tcPr>
            <w:tcW w:w="57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梅花表演奖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15万元</w:t>
            </w:r>
          </w:p>
        </w:tc>
      </w:tr>
      <w:tr>
        <w:tblPrEx>
          <w:tblCellMar>
            <w:top w:w="0" w:type="dxa"/>
            <w:left w:w="0" w:type="dxa"/>
            <w:bottom w:w="0" w:type="dxa"/>
            <w:right w:w="0" w:type="dxa"/>
          </w:tblCellMar>
        </w:tblPrEx>
        <w:trPr>
          <w:trHeight w:val="36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815" w:type="dxa"/>
            <w:gridSpan w:val="2"/>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7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曹禺剧本奖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15万元</w:t>
            </w:r>
          </w:p>
        </w:tc>
      </w:tr>
      <w:tr>
        <w:tblPrEx>
          <w:tblCellMar>
            <w:top w:w="0" w:type="dxa"/>
            <w:left w:w="0" w:type="dxa"/>
            <w:bottom w:w="0" w:type="dxa"/>
            <w:right w:w="0" w:type="dxa"/>
          </w:tblCellMar>
        </w:tblPrEx>
        <w:trPr>
          <w:trHeight w:val="344"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815" w:type="dxa"/>
            <w:gridSpan w:val="2"/>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57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其他单项奖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5万元</w:t>
            </w:r>
          </w:p>
        </w:tc>
      </w:tr>
      <w:tr>
        <w:tblPrEx>
          <w:tblCellMar>
            <w:top w:w="0" w:type="dxa"/>
            <w:left w:w="0" w:type="dxa"/>
            <w:bottom w:w="0" w:type="dxa"/>
            <w:right w:w="0" w:type="dxa"/>
          </w:tblCellMar>
        </w:tblPrEx>
        <w:trPr>
          <w:trHeight w:val="391"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381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北京市文学艺术奖</w:t>
            </w:r>
          </w:p>
        </w:tc>
        <w:tc>
          <w:tcPr>
            <w:tcW w:w="57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戏剧奖</w:t>
            </w:r>
            <w:bookmarkStart w:id="1" w:name="_GoBack"/>
            <w:bookmarkEnd w:id="1"/>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5万元</w:t>
            </w:r>
          </w:p>
        </w:tc>
      </w:tr>
      <w:tr>
        <w:tblPrEx>
          <w:tblCellMar>
            <w:top w:w="0" w:type="dxa"/>
            <w:left w:w="0" w:type="dxa"/>
            <w:bottom w:w="0" w:type="dxa"/>
            <w:right w:w="0" w:type="dxa"/>
          </w:tblCellMar>
        </w:tblPrEx>
        <w:trPr>
          <w:trHeight w:val="106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入选中央、国家、北京重点项目（活动）奖励</w:t>
            </w:r>
          </w:p>
        </w:tc>
        <w:tc>
          <w:tcPr>
            <w:tcW w:w="9574" w:type="dxa"/>
            <w:gridSpan w:val="5"/>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入选国家舞台艺术精品创作扶持工程重点扶持剧目</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10万元</w:t>
            </w:r>
          </w:p>
        </w:tc>
      </w:tr>
      <w:tr>
        <w:tblPrEx>
          <w:tblCellMar>
            <w:top w:w="0" w:type="dxa"/>
            <w:left w:w="0" w:type="dxa"/>
            <w:bottom w:w="0" w:type="dxa"/>
            <w:right w:w="0" w:type="dxa"/>
          </w:tblCellMar>
        </w:tblPrEx>
        <w:trPr>
          <w:trHeight w:val="148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9574" w:type="dxa"/>
            <w:gridSpan w:val="5"/>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入选北京文化艺术基金扶持</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5万元</w:t>
            </w:r>
          </w:p>
        </w:tc>
      </w:tr>
      <w:tr>
        <w:tblPrEx>
          <w:tblCellMar>
            <w:top w:w="0" w:type="dxa"/>
            <w:left w:w="0" w:type="dxa"/>
            <w:bottom w:w="0" w:type="dxa"/>
            <w:right w:w="0" w:type="dxa"/>
          </w:tblCellMar>
        </w:tblPrEx>
        <w:trPr>
          <w:trHeight w:val="159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有助于演艺新空间培育</w:t>
            </w:r>
          </w:p>
        </w:tc>
        <w:tc>
          <w:tcPr>
            <w:tcW w:w="95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在辖区内授牌的演艺新空间内首演，以及演出场次达10场（含）以上。</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对应奖励3万、10万元。</w:t>
            </w:r>
          </w:p>
        </w:tc>
      </w:tr>
      <w:tr>
        <w:tblPrEx>
          <w:tblCellMar>
            <w:top w:w="0" w:type="dxa"/>
            <w:left w:w="0" w:type="dxa"/>
            <w:bottom w:w="0" w:type="dxa"/>
            <w:right w:w="0" w:type="dxa"/>
          </w:tblCellMar>
        </w:tblPrEx>
        <w:trPr>
          <w:trHeight w:val="857" w:hRule="atLeast"/>
        </w:trPr>
        <w:tc>
          <w:tcPr>
            <w:tcW w:w="94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文学作品</w:t>
            </w:r>
          </w:p>
        </w:tc>
        <w:tc>
          <w:tcPr>
            <w:tcW w:w="12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获奖奖励</w:t>
            </w:r>
          </w:p>
        </w:tc>
        <w:tc>
          <w:tcPr>
            <w:tcW w:w="47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中央宣传部精神文明建设“五个一工程”奖</w:t>
            </w:r>
          </w:p>
        </w:tc>
        <w:tc>
          <w:tcPr>
            <w:tcW w:w="47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图书</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60万元</w:t>
            </w:r>
          </w:p>
        </w:tc>
      </w:tr>
      <w:tr>
        <w:tblPrEx>
          <w:tblCellMar>
            <w:top w:w="0" w:type="dxa"/>
            <w:left w:w="0" w:type="dxa"/>
            <w:bottom w:w="0" w:type="dxa"/>
            <w:right w:w="0" w:type="dxa"/>
          </w:tblCellMar>
        </w:tblPrEx>
        <w:trPr>
          <w:trHeight w:val="352" w:hRule="atLeast"/>
        </w:trPr>
        <w:tc>
          <w:tcPr>
            <w:tcW w:w="9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95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茅盾文学奖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60万元</w:t>
            </w:r>
          </w:p>
        </w:tc>
      </w:tr>
      <w:tr>
        <w:tblPrEx>
          <w:tblCellMar>
            <w:top w:w="0" w:type="dxa"/>
            <w:left w:w="0" w:type="dxa"/>
            <w:bottom w:w="0" w:type="dxa"/>
            <w:right w:w="0" w:type="dxa"/>
          </w:tblCellMar>
        </w:tblPrEx>
        <w:trPr>
          <w:trHeight w:val="352" w:hRule="atLeast"/>
        </w:trPr>
        <w:tc>
          <w:tcPr>
            <w:tcW w:w="9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95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鲁迅文学奖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30万元</w:t>
            </w:r>
          </w:p>
        </w:tc>
      </w:tr>
      <w:tr>
        <w:tblPrEx>
          <w:tblCellMar>
            <w:top w:w="0" w:type="dxa"/>
            <w:left w:w="0" w:type="dxa"/>
            <w:bottom w:w="0" w:type="dxa"/>
            <w:right w:w="0" w:type="dxa"/>
          </w:tblCellMar>
        </w:tblPrEx>
        <w:trPr>
          <w:trHeight w:val="334" w:hRule="atLeast"/>
        </w:trPr>
        <w:tc>
          <w:tcPr>
            <w:tcW w:w="9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95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中国出版政府奖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30万元</w:t>
            </w:r>
          </w:p>
        </w:tc>
      </w:tr>
      <w:tr>
        <w:tblPrEx>
          <w:tblCellMar>
            <w:top w:w="0" w:type="dxa"/>
            <w:left w:w="0" w:type="dxa"/>
            <w:bottom w:w="0" w:type="dxa"/>
            <w:right w:w="0" w:type="dxa"/>
          </w:tblCellMar>
        </w:tblPrEx>
        <w:trPr>
          <w:trHeight w:val="334" w:hRule="atLeast"/>
        </w:trPr>
        <w:tc>
          <w:tcPr>
            <w:tcW w:w="9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95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中华优秀出版物奖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10万元</w:t>
            </w:r>
          </w:p>
        </w:tc>
      </w:tr>
      <w:tr>
        <w:tblPrEx>
          <w:tblCellMar>
            <w:top w:w="0" w:type="dxa"/>
            <w:left w:w="0" w:type="dxa"/>
            <w:bottom w:w="0" w:type="dxa"/>
            <w:right w:w="0" w:type="dxa"/>
          </w:tblCellMar>
        </w:tblPrEx>
        <w:trPr>
          <w:trHeight w:val="334" w:hRule="atLeast"/>
        </w:trPr>
        <w:tc>
          <w:tcPr>
            <w:tcW w:w="9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95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全国优秀儿童文学奖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10万元</w:t>
            </w:r>
          </w:p>
        </w:tc>
      </w:tr>
      <w:tr>
        <w:tblPrEx>
          <w:tblCellMar>
            <w:top w:w="0" w:type="dxa"/>
            <w:left w:w="0" w:type="dxa"/>
            <w:bottom w:w="0" w:type="dxa"/>
            <w:right w:w="0" w:type="dxa"/>
          </w:tblCellMar>
        </w:tblPrEx>
        <w:trPr>
          <w:trHeight w:val="305" w:hRule="atLeast"/>
        </w:trPr>
        <w:tc>
          <w:tcPr>
            <w:tcW w:w="9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95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全国少数民族文学创作骏马奖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10万元</w:t>
            </w:r>
          </w:p>
        </w:tc>
      </w:tr>
      <w:tr>
        <w:tblPrEx>
          <w:tblCellMar>
            <w:top w:w="0" w:type="dxa"/>
            <w:left w:w="0" w:type="dxa"/>
            <w:bottom w:w="0" w:type="dxa"/>
            <w:right w:w="0" w:type="dxa"/>
          </w:tblCellMar>
        </w:tblPrEx>
        <w:trPr>
          <w:trHeight w:val="577" w:hRule="atLeast"/>
        </w:trPr>
        <w:tc>
          <w:tcPr>
            <w:tcW w:w="9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95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入选“啄木鸟杯”中国文艺评论年度推优（年度优秀文艺评论著作、年度优秀文艺评论文章）</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3万元、1万元</w:t>
            </w:r>
          </w:p>
        </w:tc>
      </w:tr>
      <w:tr>
        <w:tblPrEx>
          <w:tblCellMar>
            <w:top w:w="0" w:type="dxa"/>
            <w:left w:w="0" w:type="dxa"/>
            <w:bottom w:w="0" w:type="dxa"/>
            <w:right w:w="0" w:type="dxa"/>
          </w:tblCellMar>
        </w:tblPrEx>
        <w:trPr>
          <w:trHeight w:val="334" w:hRule="atLeast"/>
        </w:trPr>
        <w:tc>
          <w:tcPr>
            <w:tcW w:w="94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入选中央、国家、北京重点项目（活动）奖励</w:t>
            </w:r>
          </w:p>
        </w:tc>
        <w:tc>
          <w:tcPr>
            <w:tcW w:w="95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入选中央宣传部、文化和旅游部、国家广电总局、中国文联、中国作协组织的重大主题文学创作工程、重点作品扶持项目</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每部10万元</w:t>
            </w:r>
          </w:p>
        </w:tc>
      </w:tr>
      <w:tr>
        <w:tblPrEx>
          <w:tblCellMar>
            <w:top w:w="0" w:type="dxa"/>
            <w:left w:w="0" w:type="dxa"/>
            <w:bottom w:w="0" w:type="dxa"/>
            <w:right w:w="0" w:type="dxa"/>
          </w:tblCellMar>
        </w:tblPrEx>
        <w:trPr>
          <w:trHeight w:val="334" w:hRule="atLeast"/>
        </w:trPr>
        <w:tc>
          <w:tcPr>
            <w:tcW w:w="945" w:type="dxa"/>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957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入选北京文化艺术基金、北京市文联的重大主题文学创作工程、重点作品扶持项目</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每部5万元</w:t>
            </w:r>
          </w:p>
        </w:tc>
      </w:tr>
      <w:tr>
        <w:tblPrEx>
          <w:tblCellMar>
            <w:top w:w="0" w:type="dxa"/>
            <w:left w:w="0" w:type="dxa"/>
            <w:bottom w:w="0" w:type="dxa"/>
            <w:right w:w="0" w:type="dxa"/>
          </w:tblCellMar>
        </w:tblPrEx>
        <w:trPr>
          <w:trHeight w:val="640" w:hRule="atLeast"/>
        </w:trPr>
        <w:tc>
          <w:tcPr>
            <w:tcW w:w="945" w:type="dxa"/>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电视纪录片（专题片）</w:t>
            </w:r>
          </w:p>
        </w:tc>
        <w:tc>
          <w:tcPr>
            <w:tcW w:w="120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获奖奖励</w:t>
            </w:r>
          </w:p>
        </w:tc>
        <w:tc>
          <w:tcPr>
            <w:tcW w:w="9574" w:type="dxa"/>
            <w:gridSpan w:val="5"/>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中央宣传部精神文明建设“五个一工程”奖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100万元</w:t>
            </w:r>
          </w:p>
        </w:tc>
      </w:tr>
      <w:tr>
        <w:tblPrEx>
          <w:tblCellMar>
            <w:top w:w="0" w:type="dxa"/>
            <w:left w:w="0" w:type="dxa"/>
            <w:bottom w:w="0" w:type="dxa"/>
            <w:right w:w="0" w:type="dxa"/>
          </w:tblCellMar>
        </w:tblPrEx>
        <w:trPr>
          <w:trHeight w:val="495" w:hRule="atLeast"/>
        </w:trPr>
        <w:tc>
          <w:tcPr>
            <w:tcW w:w="94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9574" w:type="dxa"/>
            <w:gridSpan w:val="5"/>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国家广电总局“年度优秀国产纪录片”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20万元</w:t>
            </w:r>
          </w:p>
        </w:tc>
      </w:tr>
      <w:tr>
        <w:tblPrEx>
          <w:tblCellMar>
            <w:top w:w="0" w:type="dxa"/>
            <w:left w:w="0" w:type="dxa"/>
            <w:bottom w:w="0" w:type="dxa"/>
            <w:right w:w="0" w:type="dxa"/>
          </w:tblCellMar>
        </w:tblPrEx>
        <w:trPr>
          <w:trHeight w:val="536" w:hRule="atLeast"/>
        </w:trPr>
        <w:tc>
          <w:tcPr>
            <w:tcW w:w="94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339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中国电视文艺星光奖</w:t>
            </w:r>
          </w:p>
        </w:tc>
        <w:tc>
          <w:tcPr>
            <w:tcW w:w="6181"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lang w:bidi="ar"/>
              </w:rPr>
              <w:t>优秀电视纪录片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20万元</w:t>
            </w:r>
          </w:p>
        </w:tc>
      </w:tr>
      <w:tr>
        <w:tblPrEx>
          <w:tblCellMar>
            <w:top w:w="0" w:type="dxa"/>
            <w:left w:w="0" w:type="dxa"/>
            <w:bottom w:w="0" w:type="dxa"/>
            <w:right w:w="0" w:type="dxa"/>
          </w:tblCellMar>
        </w:tblPrEx>
        <w:trPr>
          <w:trHeight w:val="547" w:hRule="atLeast"/>
        </w:trPr>
        <w:tc>
          <w:tcPr>
            <w:tcW w:w="945" w:type="dxa"/>
            <w:vMerge w:val="continue"/>
            <w:tcBorders>
              <w:left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3393"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中国电视金鹰奖</w:t>
            </w:r>
          </w:p>
        </w:tc>
        <w:tc>
          <w:tcPr>
            <w:tcW w:w="6181"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lang w:bidi="ar"/>
              </w:rPr>
              <w:t>优秀电视纪录片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20万元</w:t>
            </w:r>
          </w:p>
        </w:tc>
      </w:tr>
      <w:tr>
        <w:tblPrEx>
          <w:tblCellMar>
            <w:top w:w="0" w:type="dxa"/>
            <w:left w:w="0" w:type="dxa"/>
            <w:bottom w:w="0" w:type="dxa"/>
            <w:right w:w="0" w:type="dxa"/>
          </w:tblCellMar>
        </w:tblPrEx>
        <w:trPr>
          <w:trHeight w:val="458" w:hRule="atLeast"/>
        </w:trPr>
        <w:tc>
          <w:tcPr>
            <w:tcW w:w="945" w:type="dxa"/>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3393"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上海电视节白玉兰奖</w:t>
            </w:r>
          </w:p>
        </w:tc>
        <w:tc>
          <w:tcPr>
            <w:tcW w:w="6181"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lang w:bidi="ar"/>
              </w:rPr>
              <w:t>最佳系列纪录片、最佳纪录片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20万元</w:t>
            </w:r>
          </w:p>
        </w:tc>
      </w:tr>
      <w:tr>
        <w:tblPrEx>
          <w:tblCellMar>
            <w:top w:w="0" w:type="dxa"/>
            <w:left w:w="0" w:type="dxa"/>
            <w:bottom w:w="0" w:type="dxa"/>
            <w:right w:w="0" w:type="dxa"/>
          </w:tblCellMar>
        </w:tblPrEx>
        <w:trPr>
          <w:trHeight w:val="334" w:hRule="atLeast"/>
        </w:trPr>
        <w:tc>
          <w:tcPr>
            <w:tcW w:w="945"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电视动画片</w:t>
            </w:r>
          </w:p>
        </w:tc>
        <w:tc>
          <w:tcPr>
            <w:tcW w:w="120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获奖奖励</w:t>
            </w:r>
          </w:p>
        </w:tc>
        <w:tc>
          <w:tcPr>
            <w:tcW w:w="9574" w:type="dxa"/>
            <w:gridSpan w:val="5"/>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中央宣传部精神文明建设“五个一工程”奖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50万元</w:t>
            </w:r>
          </w:p>
        </w:tc>
      </w:tr>
      <w:tr>
        <w:tblPrEx>
          <w:tblCellMar>
            <w:top w:w="0" w:type="dxa"/>
            <w:left w:w="0" w:type="dxa"/>
            <w:bottom w:w="0" w:type="dxa"/>
            <w:right w:w="0" w:type="dxa"/>
          </w:tblCellMar>
        </w:tblPrEx>
        <w:trPr>
          <w:trHeight w:val="334" w:hRule="atLeast"/>
        </w:trPr>
        <w:tc>
          <w:tcPr>
            <w:tcW w:w="94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3393"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lang w:bidi="ar"/>
              </w:rPr>
              <w:t>中国电视金鹰奖</w:t>
            </w:r>
          </w:p>
        </w:tc>
        <w:tc>
          <w:tcPr>
            <w:tcW w:w="6181"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最佳电视动画片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30万元</w:t>
            </w:r>
          </w:p>
        </w:tc>
      </w:tr>
      <w:tr>
        <w:tblPrEx>
          <w:tblCellMar>
            <w:top w:w="0" w:type="dxa"/>
            <w:left w:w="0" w:type="dxa"/>
            <w:bottom w:w="0" w:type="dxa"/>
            <w:right w:w="0" w:type="dxa"/>
          </w:tblCellMar>
        </w:tblPrEx>
        <w:trPr>
          <w:trHeight w:val="90" w:hRule="atLeast"/>
        </w:trPr>
        <w:tc>
          <w:tcPr>
            <w:tcW w:w="94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3393"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6181"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优秀电视动画片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15万元</w:t>
            </w:r>
          </w:p>
        </w:tc>
      </w:tr>
      <w:tr>
        <w:tblPrEx>
          <w:tblCellMar>
            <w:top w:w="0" w:type="dxa"/>
            <w:left w:w="0" w:type="dxa"/>
            <w:bottom w:w="0" w:type="dxa"/>
            <w:right w:w="0" w:type="dxa"/>
          </w:tblCellMar>
        </w:tblPrEx>
        <w:trPr>
          <w:trHeight w:val="334" w:hRule="atLeast"/>
        </w:trPr>
        <w:tc>
          <w:tcPr>
            <w:tcW w:w="94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3393"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ascii="宋体" w:hAnsi="宋体" w:cs="宋体"/>
                <w:color w:val="000000"/>
                <w:kern w:val="0"/>
                <w:sz w:val="22"/>
                <w:szCs w:val="22"/>
                <w:lang w:bidi="ar"/>
              </w:rPr>
              <w:t>上海电视节白玉兰奖</w:t>
            </w:r>
          </w:p>
        </w:tc>
        <w:tc>
          <w:tcPr>
            <w:tcW w:w="6181"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最佳电视动画片</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15万元</w:t>
            </w:r>
          </w:p>
        </w:tc>
      </w:tr>
      <w:tr>
        <w:tblPrEx>
          <w:tblCellMar>
            <w:top w:w="0" w:type="dxa"/>
            <w:left w:w="0" w:type="dxa"/>
            <w:bottom w:w="0" w:type="dxa"/>
            <w:right w:w="0" w:type="dxa"/>
          </w:tblCellMar>
        </w:tblPrEx>
        <w:trPr>
          <w:trHeight w:val="334" w:hRule="atLeast"/>
        </w:trPr>
        <w:tc>
          <w:tcPr>
            <w:tcW w:w="945"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ascii="宋体" w:hAnsi="宋体" w:cs="宋体"/>
                <w:color w:val="000000"/>
                <w:kern w:val="0"/>
                <w:sz w:val="22"/>
                <w:szCs w:val="22"/>
                <w:lang w:bidi="ar"/>
              </w:rPr>
            </w:pPr>
          </w:p>
        </w:tc>
        <w:tc>
          <w:tcPr>
            <w:tcW w:w="120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cs="宋体"/>
                <w:color w:val="000000"/>
                <w:kern w:val="0"/>
                <w:sz w:val="22"/>
                <w:szCs w:val="22"/>
                <w:lang w:bidi="ar"/>
              </w:rPr>
            </w:pPr>
          </w:p>
        </w:tc>
        <w:tc>
          <w:tcPr>
            <w:tcW w:w="3393"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pPr>
          </w:p>
        </w:tc>
        <w:tc>
          <w:tcPr>
            <w:tcW w:w="6181"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最佳电视剧本奖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15万元</w:t>
            </w:r>
          </w:p>
        </w:tc>
      </w:tr>
      <w:tr>
        <w:tblPrEx>
          <w:tblCellMar>
            <w:top w:w="0" w:type="dxa"/>
            <w:left w:w="0" w:type="dxa"/>
            <w:bottom w:w="0" w:type="dxa"/>
            <w:right w:w="0" w:type="dxa"/>
          </w:tblCellMar>
        </w:tblPrEx>
        <w:trPr>
          <w:trHeight w:val="334" w:hRule="atLeast"/>
        </w:trPr>
        <w:tc>
          <w:tcPr>
            <w:tcW w:w="9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广播剧</w:t>
            </w:r>
          </w:p>
        </w:tc>
        <w:tc>
          <w:tcPr>
            <w:tcW w:w="12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获奖奖励</w:t>
            </w:r>
          </w:p>
        </w:tc>
        <w:tc>
          <w:tcPr>
            <w:tcW w:w="3393"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中央宣传部精神文明建设“五个一工程”奖</w:t>
            </w:r>
          </w:p>
        </w:tc>
        <w:tc>
          <w:tcPr>
            <w:tcW w:w="6181" w:type="dxa"/>
            <w:gridSpan w:val="4"/>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广播剧</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20万元</w:t>
            </w:r>
          </w:p>
        </w:tc>
      </w:tr>
      <w:tr>
        <w:tblPrEx>
          <w:tblCellMar>
            <w:top w:w="0" w:type="dxa"/>
            <w:left w:w="0" w:type="dxa"/>
            <w:bottom w:w="0" w:type="dxa"/>
            <w:right w:w="0" w:type="dxa"/>
          </w:tblCellMar>
        </w:tblPrEx>
        <w:trPr>
          <w:gridAfter w:val="1"/>
          <w:wAfter w:w="33" w:type="dxa"/>
          <w:trHeight w:val="27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其他影视类型</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获奖奖励</w:t>
            </w:r>
          </w:p>
        </w:tc>
        <w:tc>
          <w:tcPr>
            <w:tcW w:w="33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中国文化艺术政府奖——动漫奖</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最佳动漫作品奖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50万元</w:t>
            </w:r>
          </w:p>
        </w:tc>
      </w:tr>
      <w:tr>
        <w:tblPrEx>
          <w:tblCellMar>
            <w:top w:w="0" w:type="dxa"/>
            <w:left w:w="0" w:type="dxa"/>
            <w:bottom w:w="0" w:type="dxa"/>
            <w:right w:w="0" w:type="dxa"/>
          </w:tblCellMar>
        </w:tblPrEx>
        <w:trPr>
          <w:gridAfter w:val="1"/>
          <w:wAfter w:w="33" w:type="dxa"/>
          <w:trHeight w:val="27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最佳动漫团队、技术、形象奖等</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25万元</w:t>
            </w:r>
          </w:p>
        </w:tc>
      </w:tr>
      <w:tr>
        <w:tblPrEx>
          <w:tblCellMar>
            <w:top w:w="0" w:type="dxa"/>
            <w:left w:w="0" w:type="dxa"/>
            <w:bottom w:w="0" w:type="dxa"/>
            <w:right w:w="0" w:type="dxa"/>
          </w:tblCellMar>
        </w:tblPrEx>
        <w:trPr>
          <w:gridAfter w:val="1"/>
          <w:wAfter w:w="33" w:type="dxa"/>
          <w:trHeight w:val="5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中国广播电视节目奖、电视文艺星光奖</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广播剧、广播文艺、电视文艺等其他门类</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20万元</w:t>
            </w:r>
          </w:p>
        </w:tc>
      </w:tr>
      <w:tr>
        <w:tblPrEx>
          <w:tblCellMar>
            <w:top w:w="0" w:type="dxa"/>
            <w:left w:w="0" w:type="dxa"/>
            <w:bottom w:w="0" w:type="dxa"/>
            <w:right w:w="0" w:type="dxa"/>
          </w:tblCellMar>
        </w:tblPrEx>
        <w:trPr>
          <w:gridAfter w:val="1"/>
          <w:wAfter w:w="33" w:type="dxa"/>
          <w:trHeight w:val="336" w:hRule="atLeast"/>
        </w:trPr>
        <w:tc>
          <w:tcPr>
            <w:tcW w:w="94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舞蹈、戏剧、曲艺、歌曲、杂技、民间文艺等独立呈现的节目或作品</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获奖奖励</w:t>
            </w: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中央宣传部精神文明建设“五个一工程”奖</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歌曲</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5万元</w:t>
            </w:r>
          </w:p>
        </w:tc>
      </w:tr>
      <w:tr>
        <w:tblPrEx>
          <w:tblCellMar>
            <w:top w:w="0" w:type="dxa"/>
            <w:left w:w="0" w:type="dxa"/>
            <w:bottom w:w="0" w:type="dxa"/>
            <w:right w:w="0" w:type="dxa"/>
          </w:tblCellMar>
        </w:tblPrEx>
        <w:trPr>
          <w:gridAfter w:val="1"/>
          <w:wAfter w:w="33" w:type="dxa"/>
          <w:trHeight w:val="540" w:hRule="atLeast"/>
        </w:trPr>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中国文化艺术政府奖——群星奖</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音乐、舞蹈、戏剧（小品）、曲艺、广场舞、群众合唱</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5万元</w:t>
            </w:r>
          </w:p>
        </w:tc>
      </w:tr>
      <w:tr>
        <w:tblPrEx>
          <w:tblCellMar>
            <w:top w:w="0" w:type="dxa"/>
            <w:left w:w="0" w:type="dxa"/>
            <w:bottom w:w="0" w:type="dxa"/>
            <w:right w:w="0" w:type="dxa"/>
          </w:tblCellMar>
        </w:tblPrEx>
        <w:trPr>
          <w:gridAfter w:val="1"/>
          <w:wAfter w:w="33" w:type="dxa"/>
          <w:trHeight w:val="270" w:hRule="atLeast"/>
        </w:trPr>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中国音乐金钟奖</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声乐、器乐</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5万元</w:t>
            </w:r>
          </w:p>
        </w:tc>
      </w:tr>
      <w:tr>
        <w:tblPrEx>
          <w:tblCellMar>
            <w:top w:w="0" w:type="dxa"/>
            <w:left w:w="0" w:type="dxa"/>
            <w:bottom w:w="0" w:type="dxa"/>
            <w:right w:w="0" w:type="dxa"/>
          </w:tblCellMar>
        </w:tblPrEx>
        <w:trPr>
          <w:gridAfter w:val="1"/>
          <w:wAfter w:w="33" w:type="dxa"/>
          <w:trHeight w:val="270" w:hRule="atLeast"/>
        </w:trPr>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中国曲艺牡丹奖</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节目奖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5万元</w:t>
            </w:r>
          </w:p>
        </w:tc>
      </w:tr>
      <w:tr>
        <w:tblPrEx>
          <w:tblCellMar>
            <w:top w:w="0" w:type="dxa"/>
            <w:left w:w="0" w:type="dxa"/>
            <w:bottom w:w="0" w:type="dxa"/>
            <w:right w:w="0" w:type="dxa"/>
          </w:tblCellMar>
        </w:tblPrEx>
        <w:trPr>
          <w:gridAfter w:val="1"/>
          <w:wAfter w:w="33" w:type="dxa"/>
          <w:trHeight w:val="270" w:hRule="atLeast"/>
        </w:trPr>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文学奖、表演奖、新人奖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5万元</w:t>
            </w:r>
          </w:p>
        </w:tc>
      </w:tr>
      <w:tr>
        <w:tblPrEx>
          <w:tblCellMar>
            <w:top w:w="0" w:type="dxa"/>
            <w:left w:w="0" w:type="dxa"/>
            <w:bottom w:w="0" w:type="dxa"/>
            <w:right w:w="0" w:type="dxa"/>
          </w:tblCellMar>
        </w:tblPrEx>
        <w:trPr>
          <w:gridAfter w:val="1"/>
          <w:wAfter w:w="33" w:type="dxa"/>
          <w:trHeight w:val="270" w:hRule="atLeast"/>
        </w:trPr>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中国舞蹈荷花奖</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舞剧奖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20万元</w:t>
            </w:r>
          </w:p>
        </w:tc>
      </w:tr>
      <w:tr>
        <w:tblPrEx>
          <w:tblCellMar>
            <w:top w:w="0" w:type="dxa"/>
            <w:left w:w="0" w:type="dxa"/>
            <w:bottom w:w="0" w:type="dxa"/>
            <w:right w:w="0" w:type="dxa"/>
          </w:tblCellMar>
        </w:tblPrEx>
        <w:trPr>
          <w:gridAfter w:val="1"/>
          <w:wAfter w:w="33" w:type="dxa"/>
          <w:trHeight w:val="270" w:hRule="atLeast"/>
        </w:trPr>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民族民间舞、古典舞、现当代舞</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5万元</w:t>
            </w:r>
          </w:p>
        </w:tc>
      </w:tr>
      <w:tr>
        <w:tblPrEx>
          <w:tblCellMar>
            <w:top w:w="0" w:type="dxa"/>
            <w:left w:w="0" w:type="dxa"/>
            <w:bottom w:w="0" w:type="dxa"/>
            <w:right w:w="0" w:type="dxa"/>
          </w:tblCellMar>
        </w:tblPrEx>
        <w:trPr>
          <w:gridAfter w:val="1"/>
          <w:wAfter w:w="33" w:type="dxa"/>
          <w:trHeight w:val="540" w:hRule="atLeast"/>
        </w:trPr>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中国民间文艺山花奖</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优秀民间文艺学著作、优秀民间文学作品、优秀民间艺术表演、优秀民间工艺美术作品奖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5万元</w:t>
            </w:r>
          </w:p>
        </w:tc>
      </w:tr>
      <w:tr>
        <w:tblPrEx>
          <w:tblCellMar>
            <w:top w:w="0" w:type="dxa"/>
            <w:left w:w="0" w:type="dxa"/>
            <w:bottom w:w="0" w:type="dxa"/>
            <w:right w:w="0" w:type="dxa"/>
          </w:tblCellMar>
        </w:tblPrEx>
        <w:trPr>
          <w:gridAfter w:val="1"/>
          <w:wAfter w:w="33" w:type="dxa"/>
          <w:trHeight w:val="270" w:hRule="atLeast"/>
        </w:trPr>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中国杂技金菊奖</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杂技节目奖、魔术节目奖、滑稽节目奖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10万元</w:t>
            </w:r>
          </w:p>
        </w:tc>
      </w:tr>
      <w:tr>
        <w:tblPrEx>
          <w:tblCellMar>
            <w:top w:w="0" w:type="dxa"/>
            <w:left w:w="0" w:type="dxa"/>
            <w:bottom w:w="0" w:type="dxa"/>
            <w:right w:w="0" w:type="dxa"/>
          </w:tblCellMar>
        </w:tblPrEx>
        <w:trPr>
          <w:gridAfter w:val="1"/>
          <w:wAfter w:w="33" w:type="dxa"/>
          <w:trHeight w:val="540" w:hRule="atLeast"/>
        </w:trPr>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中国国际吴桥杂技艺术节</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金狮奖、银狮奖、铜狮奖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15、10、5万元</w:t>
            </w:r>
          </w:p>
        </w:tc>
      </w:tr>
      <w:tr>
        <w:tblPrEx>
          <w:tblCellMar>
            <w:top w:w="0" w:type="dxa"/>
            <w:left w:w="0" w:type="dxa"/>
            <w:bottom w:w="0" w:type="dxa"/>
            <w:right w:w="0" w:type="dxa"/>
          </w:tblCellMar>
        </w:tblPrEx>
        <w:trPr>
          <w:gridAfter w:val="1"/>
          <w:wAfter w:w="33" w:type="dxa"/>
          <w:trHeight w:val="404" w:hRule="atLeast"/>
        </w:trPr>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95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格莱美奖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5万元</w:t>
            </w:r>
          </w:p>
        </w:tc>
      </w:tr>
      <w:tr>
        <w:tblPrEx>
          <w:tblCellMar>
            <w:top w:w="0" w:type="dxa"/>
            <w:left w:w="0" w:type="dxa"/>
            <w:bottom w:w="0" w:type="dxa"/>
            <w:right w:w="0" w:type="dxa"/>
          </w:tblCellMar>
        </w:tblPrEx>
        <w:trPr>
          <w:gridAfter w:val="1"/>
          <w:wAfter w:w="33" w:type="dxa"/>
          <w:trHeight w:val="540" w:hRule="atLeast"/>
        </w:trPr>
        <w:tc>
          <w:tcPr>
            <w:tcW w:w="94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入选中央、国家、北京重点项目（活动）奖励</w:t>
            </w:r>
          </w:p>
        </w:tc>
        <w:tc>
          <w:tcPr>
            <w:tcW w:w="95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入选时代交响——中国交响音乐作品创作扶持计划重点扶持作品</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30万元（大型）、10万元（中小型）</w:t>
            </w:r>
          </w:p>
        </w:tc>
      </w:tr>
      <w:tr>
        <w:tblPrEx>
          <w:tblCellMar>
            <w:top w:w="0" w:type="dxa"/>
            <w:left w:w="0" w:type="dxa"/>
            <w:bottom w:w="0" w:type="dxa"/>
            <w:right w:w="0" w:type="dxa"/>
          </w:tblCellMar>
        </w:tblPrEx>
        <w:trPr>
          <w:gridAfter w:val="1"/>
          <w:wAfter w:w="33" w:type="dxa"/>
          <w:trHeight w:val="700" w:hRule="atLeast"/>
        </w:trPr>
        <w:tc>
          <w:tcPr>
            <w:tcW w:w="94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95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入选中央广播电视总台组织的春节联欢晚会以及元宵、中秋、元旦晚会等重大活动</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央视春晚每个节目10万元，其他晚会每个节目5万元</w:t>
            </w:r>
          </w:p>
        </w:tc>
      </w:tr>
      <w:tr>
        <w:tblPrEx>
          <w:tblCellMar>
            <w:top w:w="0" w:type="dxa"/>
            <w:left w:w="0" w:type="dxa"/>
            <w:bottom w:w="0" w:type="dxa"/>
            <w:right w:w="0" w:type="dxa"/>
          </w:tblCellMar>
        </w:tblPrEx>
        <w:trPr>
          <w:gridAfter w:val="1"/>
          <w:wAfter w:w="33" w:type="dxa"/>
          <w:trHeight w:val="5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美术、书法、摄影等作品</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获奖奖励</w:t>
            </w:r>
          </w:p>
        </w:tc>
        <w:tc>
          <w:tcPr>
            <w:tcW w:w="33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中国美术奖</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金、银、铜、优秀</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30、20、10、5万元</w:t>
            </w:r>
          </w:p>
        </w:tc>
      </w:tr>
      <w:tr>
        <w:tblPrEx>
          <w:tblCellMar>
            <w:top w:w="0" w:type="dxa"/>
            <w:left w:w="0" w:type="dxa"/>
            <w:bottom w:w="0" w:type="dxa"/>
            <w:right w:w="0" w:type="dxa"/>
          </w:tblCellMar>
        </w:tblPrEx>
        <w:trPr>
          <w:gridAfter w:val="1"/>
          <w:wAfter w:w="33" w:type="dxa"/>
          <w:trHeight w:val="27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终身成就奖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20万元</w:t>
            </w:r>
          </w:p>
        </w:tc>
      </w:tr>
      <w:tr>
        <w:tblPrEx>
          <w:tblCellMar>
            <w:top w:w="0" w:type="dxa"/>
            <w:left w:w="0" w:type="dxa"/>
            <w:bottom w:w="0" w:type="dxa"/>
            <w:right w:w="0" w:type="dxa"/>
          </w:tblCellMar>
        </w:tblPrEx>
        <w:trPr>
          <w:gridAfter w:val="1"/>
          <w:wAfter w:w="33" w:type="dxa"/>
          <w:trHeight w:val="27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理论评论奖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5万元</w:t>
            </w:r>
          </w:p>
        </w:tc>
      </w:tr>
      <w:tr>
        <w:tblPrEx>
          <w:tblCellMar>
            <w:top w:w="0" w:type="dxa"/>
            <w:left w:w="0" w:type="dxa"/>
            <w:bottom w:w="0" w:type="dxa"/>
            <w:right w:w="0" w:type="dxa"/>
          </w:tblCellMar>
        </w:tblPrEx>
        <w:trPr>
          <w:gridAfter w:val="1"/>
          <w:wAfter w:w="33" w:type="dxa"/>
          <w:trHeight w:val="27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中国摄影金像奖</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纪实类、艺术类、商业类</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10万元</w:t>
            </w:r>
          </w:p>
        </w:tc>
      </w:tr>
      <w:tr>
        <w:tblPrEx>
          <w:tblCellMar>
            <w:top w:w="0" w:type="dxa"/>
            <w:left w:w="0" w:type="dxa"/>
            <w:bottom w:w="0" w:type="dxa"/>
            <w:right w:w="0" w:type="dxa"/>
          </w:tblCellMar>
        </w:tblPrEx>
        <w:trPr>
          <w:gridAfter w:val="1"/>
          <w:wAfter w:w="33" w:type="dxa"/>
          <w:trHeight w:val="27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中国书法兰亭奖</w:t>
            </w: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金、银、铜</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30、20、10万元</w:t>
            </w:r>
          </w:p>
        </w:tc>
      </w:tr>
      <w:tr>
        <w:tblPrEx>
          <w:tblCellMar>
            <w:top w:w="0" w:type="dxa"/>
            <w:left w:w="0" w:type="dxa"/>
            <w:bottom w:w="0" w:type="dxa"/>
            <w:right w:w="0" w:type="dxa"/>
          </w:tblCellMar>
        </w:tblPrEx>
        <w:trPr>
          <w:gridAfter w:val="1"/>
          <w:wAfter w:w="33" w:type="dxa"/>
          <w:trHeight w:val="27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33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szCs w:val="22"/>
              </w:rPr>
            </w:pPr>
          </w:p>
        </w:tc>
        <w:tc>
          <w:tcPr>
            <w:tcW w:w="614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终身成就奖</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20万元</w:t>
            </w:r>
          </w:p>
        </w:tc>
      </w:tr>
    </w:tbl>
    <w:p>
      <w:pPr>
        <w:spacing w:line="560" w:lineRule="exact"/>
        <w:ind w:firstLine="640" w:firstLineChars="200"/>
        <w:rPr>
          <w:rFonts w:ascii="仿宋_GB2312" w:hAnsi="华文仿宋" w:eastAsia="仿宋_GB2312" w:cs="华文仿宋"/>
          <w:sz w:val="32"/>
          <w:szCs w:val="32"/>
        </w:rPr>
        <w:sectPr>
          <w:footerReference r:id="rId4" w:type="default"/>
          <w:pgSz w:w="16838" w:h="11906" w:orient="landscape"/>
          <w:pgMar w:top="1800" w:right="1440" w:bottom="1800" w:left="1440" w:header="851" w:footer="992" w:gutter="0"/>
          <w:cols w:space="425" w:num="1"/>
          <w:docGrid w:type="lines" w:linePitch="312" w:charSpace="0"/>
        </w:sectPr>
      </w:pPr>
      <w:r>
        <w:rPr>
          <w:rFonts w:hint="eastAsia" w:ascii="仿宋_GB2312" w:hAnsi="华文仿宋" w:eastAsia="仿宋_GB2312" w:cs="华文仿宋"/>
          <w:sz w:val="32"/>
          <w:szCs w:val="32"/>
        </w:rPr>
        <w:t>上述奖励中奖励标准未标明提名奖励额度的，若获得提名奖项，按照对应奖项我区最高奖励金额的10％进行奖励。</w:t>
      </w:r>
    </w:p>
    <w:p>
      <w:pPr>
        <w:spacing w:line="560" w:lineRule="exact"/>
        <w:ind w:firstLine="643" w:firstLineChars="200"/>
        <w:rPr>
          <w:rFonts w:ascii="仿宋_GB2312" w:hAnsi="华文仿宋" w:eastAsia="仿宋_GB2312" w:cs="华文仿宋"/>
          <w:b/>
          <w:bCs/>
          <w:sz w:val="32"/>
          <w:szCs w:val="32"/>
        </w:rPr>
      </w:pPr>
      <w:r>
        <w:rPr>
          <w:rFonts w:hint="eastAsia" w:ascii="仿宋_GB2312" w:hAnsi="华文仿宋" w:eastAsia="仿宋_GB2312" w:cs="华文仿宋"/>
          <w:b/>
          <w:bCs/>
          <w:sz w:val="32"/>
          <w:szCs w:val="32"/>
        </w:rPr>
        <w:t xml:space="preserve">第十四条 </w:t>
      </w:r>
      <w:r>
        <w:rPr>
          <w:rFonts w:hint="eastAsia" w:ascii="仿宋_GB2312" w:hAnsi="华文仿宋" w:eastAsia="仿宋_GB2312" w:cs="华文仿宋"/>
          <w:sz w:val="32"/>
          <w:szCs w:val="32"/>
        </w:rPr>
        <w:t>同一作品先后获得多项奖励的，按最高奖项相应标准奖励；同一作品符合多项区级财政资金奖励的，按照“就高、不重复”原则进行奖励。</w:t>
      </w:r>
    </w:p>
    <w:p>
      <w:pPr>
        <w:spacing w:line="560" w:lineRule="exact"/>
        <w:ind w:firstLine="640" w:firstLineChars="200"/>
        <w:jc w:val="center"/>
        <w:rPr>
          <w:rFonts w:ascii="仿宋_GB2312" w:hAnsi="华文仿宋" w:eastAsia="仿宋_GB2312" w:cs="华文仿宋"/>
          <w:sz w:val="32"/>
          <w:szCs w:val="32"/>
          <w:highlight w:val="cyan"/>
        </w:rPr>
      </w:pPr>
      <w:r>
        <w:rPr>
          <w:rFonts w:hint="eastAsia" w:ascii="黑体" w:hAnsi="黑体" w:eastAsia="黑体" w:cs="黑体"/>
          <w:sz w:val="32"/>
          <w:szCs w:val="32"/>
        </w:rPr>
        <w:t>第五章 项目申报与评审</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第十五条 </w:t>
      </w:r>
      <w:r>
        <w:rPr>
          <w:rFonts w:hint="eastAsia" w:ascii="仿宋_GB2312" w:hAnsi="华文仿宋" w:eastAsia="仿宋_GB2312" w:cs="华文仿宋"/>
          <w:sz w:val="32"/>
          <w:szCs w:val="32"/>
        </w:rPr>
        <w:t>工作专班根据区域文化艺术发展需求，制订征集公告，明确优先发展领域、资助范围、时限要求等，公开向社会发布，指导项目申报。</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第十六条 </w:t>
      </w:r>
      <w:r>
        <w:rPr>
          <w:rFonts w:hint="eastAsia" w:ascii="仿宋_GB2312" w:hAnsi="华文仿宋" w:eastAsia="仿宋_GB2312" w:cs="华文仿宋"/>
          <w:sz w:val="32"/>
          <w:szCs w:val="32"/>
        </w:rPr>
        <w:t>专项资金项目申报主体按照征集公告载明的条件与要求确定申报项目，提交申报资料。申报项目应无法律纠纷，无知识产权（版权）争议，同一项目未经重大修改或改版升级不得重复申报。</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第十七条 </w:t>
      </w:r>
      <w:r>
        <w:rPr>
          <w:rFonts w:hint="eastAsia" w:ascii="仿宋_GB2312" w:hAnsi="华文仿宋" w:eastAsia="仿宋_GB2312" w:cs="华文仿宋"/>
          <w:sz w:val="32"/>
          <w:szCs w:val="32"/>
        </w:rPr>
        <w:t>申报项目的作品权益属多方所有的，须得到权益所有者书面授权方可申报。由多家单位参与合作的项目，须经各参与合作单位同意，由主办单位或主要出资单位申报，对项目负主要责任。</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第十八条 </w:t>
      </w:r>
      <w:r>
        <w:rPr>
          <w:rFonts w:hint="eastAsia" w:ascii="仿宋_GB2312" w:hAnsi="华文仿宋" w:eastAsia="仿宋_GB2312" w:cs="华文仿宋"/>
          <w:sz w:val="32"/>
          <w:szCs w:val="32"/>
        </w:rPr>
        <w:t>工作专班对申报项目进行分类筛选，组织项目综合评审，分为资格认定、专家评审、项目答辩、项目复核四个环节。</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第十九条 </w:t>
      </w:r>
      <w:r>
        <w:rPr>
          <w:rFonts w:hint="eastAsia" w:ascii="仿宋_GB2312" w:hAnsi="华文仿宋" w:eastAsia="仿宋_GB2312" w:cs="华文仿宋"/>
          <w:sz w:val="32"/>
          <w:szCs w:val="32"/>
        </w:rPr>
        <w:t>工作专班聘请具有较高学术水平、良好职业道德的专家，组建评委库。开展项目综合评审工作时按照申报项目专业分类，随机抽取</w:t>
      </w:r>
      <w:r>
        <w:rPr>
          <w:rFonts w:hint="eastAsia" w:ascii="仿宋_GB2312" w:hAnsi="华文仿宋" w:eastAsia="仿宋_GB2312" w:cs="华文仿宋"/>
          <w:sz w:val="32"/>
          <w:szCs w:val="32"/>
          <w:lang w:val="en-US" w:eastAsia="zh-CN"/>
        </w:rPr>
        <w:t>确定</w:t>
      </w:r>
      <w:r>
        <w:rPr>
          <w:rFonts w:hint="eastAsia" w:ascii="仿宋_GB2312" w:hAnsi="华文仿宋" w:eastAsia="仿宋_GB2312" w:cs="华文仿宋"/>
          <w:sz w:val="32"/>
          <w:szCs w:val="32"/>
        </w:rPr>
        <w:t>若干名专家组成年度项目评审组对参评项目进行评审</w:t>
      </w:r>
      <w:r>
        <w:rPr>
          <w:rFonts w:hint="eastAsia" w:ascii="仿宋_GB2312" w:hAnsi="华文仿宋" w:eastAsia="仿宋_GB2312" w:cs="华文仿宋"/>
          <w:sz w:val="32"/>
          <w:szCs w:val="32"/>
          <w:lang w:val="en-US" w:eastAsia="zh-CN"/>
        </w:rPr>
        <w:t>打</w:t>
      </w:r>
      <w:r>
        <w:rPr>
          <w:rFonts w:hint="eastAsia" w:ascii="仿宋_GB2312" w:hAnsi="华文仿宋" w:eastAsia="仿宋_GB2312" w:cs="华文仿宋"/>
          <w:sz w:val="32"/>
          <w:szCs w:val="32"/>
        </w:rPr>
        <w:t>分并提出资助建议。</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第二十条 </w:t>
      </w:r>
      <w:r>
        <w:rPr>
          <w:rFonts w:hint="eastAsia" w:ascii="仿宋_GB2312" w:hAnsi="华文仿宋" w:eastAsia="仿宋_GB2312" w:cs="华文仿宋"/>
          <w:sz w:val="32"/>
          <w:szCs w:val="32"/>
        </w:rPr>
        <w:t>工作专班根据评审评分结果和资助建议拟定专项资金项目入围名单，经审定获得立项资助和奖励的入围项目应向社会公示、公告。</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第二十一条 </w:t>
      </w:r>
      <w:r>
        <w:rPr>
          <w:rFonts w:hint="eastAsia" w:ascii="仿宋_GB2312" w:hAnsi="华文仿宋" w:eastAsia="仿宋_GB2312" w:cs="华文仿宋"/>
          <w:sz w:val="32"/>
          <w:szCs w:val="32"/>
        </w:rPr>
        <w:t>申报主体对入围结果有异议的，可自结果公示之日起15日内，向工作专班提出书面复查请求。对项目评审组的艺术或学术判断持有不同的意见，不得作为提出复查请求的理由。</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第二十二条 </w:t>
      </w:r>
      <w:r>
        <w:rPr>
          <w:rFonts w:hint="eastAsia" w:ascii="仿宋_GB2312" w:hAnsi="华文仿宋" w:eastAsia="仿宋_GB2312" w:cs="华文仿宋"/>
          <w:sz w:val="32"/>
          <w:szCs w:val="32"/>
        </w:rPr>
        <w:t>对申报主体提出的复查请求，工作专班应自收到之日起60日内完成审查。认为原决定符合本办法规定的，予以维持，并书面通知申报主体；认为原决定不符合本办法规定的，撤销原决定，重新组织评审、作出决定，并书面通知申报主体。</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第二十三条 </w:t>
      </w:r>
      <w:r>
        <w:rPr>
          <w:rFonts w:hint="eastAsia" w:ascii="仿宋_GB2312" w:hAnsi="华文仿宋" w:eastAsia="仿宋_GB2312" w:cs="华文仿宋"/>
          <w:sz w:val="32"/>
          <w:szCs w:val="32"/>
        </w:rPr>
        <w:t>专项资金资助和奖励项目公示期结束后，北京市西城区文化和旅游局与获得立项资助和奖励的申报主体（即项目承担主体）签订《北京市西城区文艺精品创作引导专项资金资助/奖励项目协议书》，明确各方权利义务，按协议约定拨付项目资金。</w:t>
      </w:r>
    </w:p>
    <w:p>
      <w:pPr>
        <w:spacing w:line="560" w:lineRule="exact"/>
        <w:jc w:val="left"/>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     </w:t>
      </w:r>
      <w:bookmarkStart w:id="0" w:name="_Hlk149159757"/>
      <w:r>
        <w:rPr>
          <w:rFonts w:hint="eastAsia" w:ascii="仿宋_GB2312" w:hAnsi="华文仿宋" w:eastAsia="仿宋_GB2312" w:cs="华文仿宋"/>
          <w:b/>
          <w:bCs/>
          <w:sz w:val="32"/>
          <w:szCs w:val="32"/>
        </w:rPr>
        <w:t>第二十四条</w:t>
      </w:r>
      <w:bookmarkEnd w:id="0"/>
      <w:r>
        <w:rPr>
          <w:rFonts w:hint="eastAsia" w:ascii="仿宋_GB2312" w:hAnsi="华文仿宋" w:eastAsia="仿宋_GB2312" w:cs="华文仿宋"/>
          <w:b/>
          <w:bCs/>
          <w:sz w:val="32"/>
          <w:szCs w:val="32"/>
        </w:rPr>
        <w:t xml:space="preserve"> </w:t>
      </w:r>
      <w:r>
        <w:rPr>
          <w:rFonts w:hint="eastAsia" w:ascii="仿宋_GB2312" w:hAnsi="华文仿宋" w:eastAsia="仿宋_GB2312" w:cs="华文仿宋"/>
          <w:sz w:val="32"/>
          <w:szCs w:val="32"/>
        </w:rPr>
        <w:t>有下列情形之一的，不予资助和奖励：</w:t>
      </w:r>
    </w:p>
    <w:p>
      <w:pPr>
        <w:spacing w:line="560" w:lineRule="exact"/>
        <w:jc w:val="left"/>
        <w:rPr>
          <w:rFonts w:ascii="仿宋_GB2312" w:hAnsi="华文仿宋" w:eastAsia="仿宋_GB2312" w:cs="华文仿宋"/>
          <w:sz w:val="32"/>
          <w:szCs w:val="32"/>
        </w:rPr>
      </w:pPr>
      <w:r>
        <w:rPr>
          <w:rFonts w:hint="eastAsia" w:ascii="仿宋_GB2312" w:hAnsi="华文仿宋" w:eastAsia="仿宋_GB2312" w:cs="华文仿宋"/>
          <w:sz w:val="32"/>
          <w:szCs w:val="32"/>
        </w:rPr>
        <w:t>　　（一）项目不符合党和国家相关法律政策规定，或知识产权等存在争议；</w:t>
      </w:r>
    </w:p>
    <w:p>
      <w:pPr>
        <w:spacing w:line="560" w:lineRule="exact"/>
        <w:jc w:val="left"/>
        <w:rPr>
          <w:rFonts w:ascii="仿宋_GB2312" w:hAnsi="华文仿宋" w:eastAsia="仿宋_GB2312" w:cs="华文仿宋"/>
          <w:sz w:val="32"/>
          <w:szCs w:val="32"/>
        </w:rPr>
      </w:pPr>
      <w:r>
        <w:rPr>
          <w:rFonts w:hint="eastAsia" w:ascii="仿宋_GB2312" w:hAnsi="华文仿宋" w:eastAsia="仿宋_GB2312" w:cs="华文仿宋"/>
          <w:sz w:val="32"/>
          <w:szCs w:val="32"/>
        </w:rPr>
        <w:t>　　（二）申报主体通过欺骗、剽窃、贿赂等不正当或非法手段获得奖项；</w:t>
      </w:r>
    </w:p>
    <w:p>
      <w:pPr>
        <w:spacing w:line="560" w:lineRule="exact"/>
        <w:jc w:val="left"/>
        <w:rPr>
          <w:rFonts w:ascii="仿宋_GB2312" w:hAnsi="华文仿宋" w:eastAsia="仿宋_GB2312" w:cs="华文仿宋"/>
          <w:sz w:val="32"/>
          <w:szCs w:val="32"/>
        </w:rPr>
      </w:pPr>
      <w:r>
        <w:rPr>
          <w:rFonts w:hint="eastAsia" w:ascii="仿宋_GB2312" w:hAnsi="华文仿宋" w:eastAsia="仿宋_GB2312" w:cs="华文仿宋"/>
          <w:sz w:val="32"/>
          <w:szCs w:val="32"/>
        </w:rPr>
        <w:t>　　（三）申报主体正在进行影响该单位（机构）正常经营活动的重大诉讼或仲裁；</w:t>
      </w:r>
    </w:p>
    <w:p>
      <w:pPr>
        <w:spacing w:line="560" w:lineRule="exact"/>
        <w:jc w:val="left"/>
        <w:rPr>
          <w:rFonts w:ascii="仿宋_GB2312" w:hAnsi="华文仿宋" w:eastAsia="仿宋_GB2312" w:cs="华文仿宋"/>
          <w:sz w:val="32"/>
          <w:szCs w:val="32"/>
        </w:rPr>
      </w:pPr>
      <w:r>
        <w:rPr>
          <w:rFonts w:hint="eastAsia" w:ascii="仿宋_GB2312" w:hAnsi="华文仿宋" w:eastAsia="仿宋_GB2312" w:cs="华文仿宋"/>
          <w:sz w:val="32"/>
          <w:szCs w:val="32"/>
        </w:rPr>
        <w:t>　　（四）申报主体涉嫌违法行为正在被有关部门调查，或被市场监管、税务等部门列入经营异常企业名录或严重违法失信企业名单并在企业信用信息公示系统上被公示的；</w:t>
      </w:r>
    </w:p>
    <w:p>
      <w:pPr>
        <w:spacing w:line="560" w:lineRule="exact"/>
        <w:ind w:firstLine="640"/>
        <w:jc w:val="left"/>
        <w:rPr>
          <w:rFonts w:ascii="仿宋_GB2312" w:hAnsi="华文仿宋" w:eastAsia="仿宋_GB2312" w:cs="华文仿宋"/>
          <w:sz w:val="32"/>
          <w:szCs w:val="32"/>
        </w:rPr>
      </w:pPr>
      <w:r>
        <w:rPr>
          <w:rFonts w:hint="eastAsia" w:ascii="仿宋_GB2312" w:hAnsi="华文仿宋" w:eastAsia="仿宋_GB2312" w:cs="华文仿宋"/>
          <w:sz w:val="32"/>
          <w:szCs w:val="32"/>
        </w:rPr>
        <w:t>（五）其他不宜予以资助和奖励的情形。</w:t>
      </w:r>
    </w:p>
    <w:p>
      <w:pPr>
        <w:spacing w:line="560" w:lineRule="exact"/>
        <w:jc w:val="center"/>
        <w:rPr>
          <w:rFonts w:ascii="仿宋_GB2312" w:hAnsi="华文仿宋" w:eastAsia="仿宋_GB2312" w:cs="华文仿宋"/>
          <w:b/>
          <w:bCs/>
          <w:sz w:val="32"/>
          <w:szCs w:val="32"/>
        </w:rPr>
      </w:pPr>
      <w:r>
        <w:rPr>
          <w:rFonts w:hint="eastAsia" w:ascii="黑体" w:hAnsi="黑体" w:eastAsia="黑体" w:cs="黑体"/>
          <w:sz w:val="32"/>
          <w:szCs w:val="32"/>
        </w:rPr>
        <w:t>第六章 监督检查与违约责任</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第二十五条 </w:t>
      </w:r>
      <w:r>
        <w:rPr>
          <w:rFonts w:hint="eastAsia" w:ascii="仿宋_GB2312" w:hAnsi="华文仿宋" w:eastAsia="仿宋_GB2312" w:cs="华文仿宋"/>
          <w:sz w:val="32"/>
          <w:szCs w:val="32"/>
        </w:rPr>
        <w:t xml:space="preserve">以上政策条款与本区实施的其他政策条款性质相同的，申报主体只能适用其中之一条款，不得重复享受。  </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第二十六条</w:t>
      </w:r>
      <w:r>
        <w:rPr>
          <w:rFonts w:hint="eastAsia" w:ascii="仿宋_GB2312" w:hAnsi="华文仿宋" w:eastAsia="仿宋_GB2312" w:cs="华文仿宋"/>
          <w:sz w:val="32"/>
          <w:szCs w:val="32"/>
        </w:rPr>
        <w:t xml:space="preserve"> 获得立项资助和奖励的项目在使用成果时（包括且不限于播映、演出、展览、出版、发表、宣传、推介等），须在剧场海报、报纸广告、演出说明书及影视剧和书刊版权页等显著位置标注“北京市西城区文艺精品创作引导专项资金/奖励项目”字样。</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第二十七条</w:t>
      </w:r>
      <w:r>
        <w:rPr>
          <w:rFonts w:hint="eastAsia" w:ascii="仿宋_GB2312" w:hAnsi="华文仿宋" w:eastAsia="仿宋_GB2312" w:cs="华文仿宋"/>
          <w:sz w:val="32"/>
          <w:szCs w:val="32"/>
        </w:rPr>
        <w:t xml:space="preserve"> 工作专班应对专项资金项目的版权归属、成果转化和项目推广等情况加强审查和指导；对专项资金</w:t>
      </w:r>
      <w:r>
        <w:rPr>
          <w:rFonts w:hint="eastAsia" w:ascii="仿宋_GB2312" w:hAnsi="华文仿宋" w:eastAsia="仿宋_GB2312" w:cs="华文仿宋"/>
          <w:sz w:val="32"/>
          <w:szCs w:val="32"/>
          <w:lang w:eastAsia="zh-CN"/>
        </w:rPr>
        <w:t>第一名</w:t>
      </w:r>
      <w:r>
        <w:rPr>
          <w:rFonts w:hint="eastAsia" w:ascii="仿宋_GB2312" w:hAnsi="华文仿宋" w:eastAsia="仿宋_GB2312" w:cs="华文仿宋"/>
          <w:sz w:val="32"/>
          <w:szCs w:val="32"/>
        </w:rPr>
        <w:t>项目的工作计划、经费预算及执行情况和完成情况等加强管理和监督。</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第二十八条</w:t>
      </w:r>
      <w:r>
        <w:rPr>
          <w:rFonts w:hint="eastAsia" w:ascii="仿宋_GB2312" w:hAnsi="华文仿宋" w:eastAsia="仿宋_GB2312" w:cs="华文仿宋"/>
          <w:sz w:val="32"/>
          <w:szCs w:val="32"/>
        </w:rPr>
        <w:t xml:space="preserve"> 工作专班应对专项资金项目加强绩效管理，开展绩效评价，绩效评价结果作为下一年度项目工作实施与资金安排的重要依据。</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 xml:space="preserve">第二十九条 </w:t>
      </w:r>
      <w:r>
        <w:rPr>
          <w:rFonts w:hint="eastAsia" w:ascii="仿宋_GB2312" w:hAnsi="华文仿宋" w:eastAsia="仿宋_GB2312" w:cs="华文仿宋"/>
          <w:sz w:val="32"/>
          <w:szCs w:val="32"/>
        </w:rPr>
        <w:t>获得资助的申报主体应遵守国家财政、财务制度和财经纪律，自觉接受业务主管单位、财政、审计、监察等部门的监督检查。如拒不配合检查或存在相关违法违规情形，经查实后中止资助，并追究相关法律责任。</w:t>
      </w:r>
    </w:p>
    <w:p>
      <w:pPr>
        <w:spacing w:line="560" w:lineRule="exact"/>
        <w:ind w:firstLine="643" w:firstLineChars="200"/>
        <w:rPr>
          <w:rFonts w:ascii="仿宋_GB2312" w:hAnsi="华文仿宋" w:eastAsia="仿宋_GB2312" w:cs="华文仿宋"/>
          <w:b/>
          <w:bCs/>
          <w:sz w:val="32"/>
          <w:szCs w:val="32"/>
        </w:rPr>
      </w:pPr>
      <w:r>
        <w:rPr>
          <w:rFonts w:hint="eastAsia" w:ascii="仿宋_GB2312" w:hAnsi="华文仿宋" w:eastAsia="仿宋_GB2312" w:cs="华文仿宋"/>
          <w:b/>
          <w:bCs/>
          <w:sz w:val="32"/>
          <w:szCs w:val="32"/>
        </w:rPr>
        <w:t>第三十条</w:t>
      </w:r>
      <w:r>
        <w:rPr>
          <w:rFonts w:hint="eastAsia" w:ascii="仿宋_GB2312" w:hAnsi="华文仿宋" w:eastAsia="仿宋_GB2312" w:cs="华文仿宋"/>
          <w:sz w:val="32"/>
          <w:szCs w:val="32"/>
        </w:rPr>
        <w:t xml:space="preserve"> 对于申报主体提供虚假材料信息，抄袭、侵权等行为，经查实后追究其法律责任，取消项目申报资格。上述涉嫌骗取国家资助和奖励的行为构成犯罪的，移交司法机关处理。</w:t>
      </w:r>
    </w:p>
    <w:p>
      <w:pPr>
        <w:spacing w:line="560" w:lineRule="exact"/>
        <w:jc w:val="center"/>
        <w:rPr>
          <w:rFonts w:ascii="黑体" w:hAnsi="黑体" w:eastAsia="黑体" w:cs="黑体"/>
          <w:sz w:val="32"/>
          <w:szCs w:val="32"/>
        </w:rPr>
      </w:pPr>
      <w:r>
        <w:rPr>
          <w:rFonts w:hint="eastAsia" w:ascii="黑体" w:hAnsi="黑体" w:eastAsia="黑体" w:cs="黑体"/>
          <w:sz w:val="32"/>
          <w:szCs w:val="32"/>
        </w:rPr>
        <w:t>第七章 附 则</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第三十一条</w:t>
      </w:r>
      <w:r>
        <w:rPr>
          <w:rFonts w:hint="eastAsia" w:ascii="仿宋_GB2312" w:hAnsi="华文仿宋" w:eastAsia="仿宋_GB2312" w:cs="华文仿宋"/>
          <w:sz w:val="32"/>
          <w:szCs w:val="32"/>
        </w:rPr>
        <w:t xml:space="preserve"> 本办法由北京市西城区文化和旅游局负责解释。</w:t>
      </w:r>
    </w:p>
    <w:p>
      <w:pPr>
        <w:spacing w:line="560" w:lineRule="exact"/>
        <w:ind w:firstLine="643" w:firstLineChars="200"/>
        <w:rPr>
          <w:rFonts w:ascii="仿宋_GB2312" w:hAnsi="华文仿宋" w:eastAsia="仿宋_GB2312" w:cs="华文仿宋"/>
          <w:sz w:val="32"/>
          <w:szCs w:val="32"/>
        </w:rPr>
      </w:pPr>
      <w:r>
        <w:rPr>
          <w:rFonts w:hint="eastAsia" w:ascii="仿宋_GB2312" w:hAnsi="华文仿宋" w:eastAsia="仿宋_GB2312" w:cs="华文仿宋"/>
          <w:b/>
          <w:bCs/>
          <w:sz w:val="32"/>
          <w:szCs w:val="32"/>
        </w:rPr>
        <w:t>第三十二条</w:t>
      </w:r>
      <w:r>
        <w:rPr>
          <w:rFonts w:hint="eastAsia" w:ascii="仿宋_GB2312" w:hAnsi="华文仿宋" w:eastAsia="仿宋_GB2312" w:cs="华文仿宋"/>
          <w:sz w:val="32"/>
          <w:szCs w:val="32"/>
        </w:rPr>
        <w:t xml:space="preserve"> 本办法自  年  月    日起施行，有效期五年。2018年6月20日发布的《北京市西城区文化艺术创作扶持专项资金项目管理办法(试行)》（西行规发[2018]1号）和2021年7月1日发布的《北京市西城区文化艺术创作扶持专项资金项目管理实施细则》（西文旅发〔2021〕3号）同时废止。</w:t>
      </w:r>
    </w:p>
    <w:p>
      <w:pPr>
        <w:spacing w:line="560" w:lineRule="exact"/>
        <w:ind w:firstLine="640" w:firstLineChars="200"/>
        <w:rPr>
          <w:rFonts w:ascii="仿宋_GB2312" w:hAnsi="华文仿宋" w:eastAsia="仿宋_GB2312" w:cs="华文仿宋"/>
          <w:sz w:val="32"/>
          <w:szCs w:val="32"/>
        </w:rPr>
      </w:pPr>
    </w:p>
    <w:p>
      <w:pPr>
        <w:spacing w:line="560" w:lineRule="exact"/>
        <w:rPr>
          <w:rFonts w:ascii="仿宋_GB2312" w:hAnsi="华文仿宋" w:eastAsia="仿宋_GB2312" w:cs="华文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auto"/>
    <w:pitch w:val="default"/>
    <w:sig w:usb0="00000000" w:usb1="00000000" w:usb2="00000000" w:usb3="00000000" w:csb0="00000000" w:csb1="00000000"/>
  </w:font>
  <w:font w:name="FangSong_GB2312">
    <w:altName w:val="仿宋_GB2312"/>
    <w:panose1 w:val="00000000000000000000"/>
    <w:charset w:val="00"/>
    <w:family w:val="swiss"/>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mMjE3MDk2NWI1M2QyNTdlMjQwNjFkYjFlMDM1N2YifQ=="/>
  </w:docVars>
  <w:rsids>
    <w:rsidRoot w:val="00172A27"/>
    <w:rsid w:val="000769B6"/>
    <w:rsid w:val="000B1056"/>
    <w:rsid w:val="000D1CA7"/>
    <w:rsid w:val="001364CD"/>
    <w:rsid w:val="00154ED5"/>
    <w:rsid w:val="001C12FF"/>
    <w:rsid w:val="002134D9"/>
    <w:rsid w:val="00230572"/>
    <w:rsid w:val="0023307D"/>
    <w:rsid w:val="00261E1E"/>
    <w:rsid w:val="002717F8"/>
    <w:rsid w:val="002D13D7"/>
    <w:rsid w:val="002E727B"/>
    <w:rsid w:val="00310AD9"/>
    <w:rsid w:val="00327B9A"/>
    <w:rsid w:val="003B3241"/>
    <w:rsid w:val="003C270F"/>
    <w:rsid w:val="003E13CC"/>
    <w:rsid w:val="003F542E"/>
    <w:rsid w:val="00417407"/>
    <w:rsid w:val="0043405C"/>
    <w:rsid w:val="005874A3"/>
    <w:rsid w:val="00595ACB"/>
    <w:rsid w:val="005D1DC0"/>
    <w:rsid w:val="0061336E"/>
    <w:rsid w:val="006301E2"/>
    <w:rsid w:val="006347D1"/>
    <w:rsid w:val="0064170E"/>
    <w:rsid w:val="006446AD"/>
    <w:rsid w:val="00667AC1"/>
    <w:rsid w:val="006A337D"/>
    <w:rsid w:val="006F14B1"/>
    <w:rsid w:val="006F42CD"/>
    <w:rsid w:val="00701440"/>
    <w:rsid w:val="007111B7"/>
    <w:rsid w:val="00795266"/>
    <w:rsid w:val="007A5174"/>
    <w:rsid w:val="007B34FA"/>
    <w:rsid w:val="007C7B04"/>
    <w:rsid w:val="007D339A"/>
    <w:rsid w:val="007E6798"/>
    <w:rsid w:val="007F3A5B"/>
    <w:rsid w:val="00833002"/>
    <w:rsid w:val="008437D2"/>
    <w:rsid w:val="00864404"/>
    <w:rsid w:val="0089369B"/>
    <w:rsid w:val="008A215E"/>
    <w:rsid w:val="009128F1"/>
    <w:rsid w:val="00936A26"/>
    <w:rsid w:val="00945B61"/>
    <w:rsid w:val="00951616"/>
    <w:rsid w:val="00954AF5"/>
    <w:rsid w:val="00957E5B"/>
    <w:rsid w:val="00973E2A"/>
    <w:rsid w:val="009D41E1"/>
    <w:rsid w:val="00A07BE7"/>
    <w:rsid w:val="00AA00A9"/>
    <w:rsid w:val="00AB7A75"/>
    <w:rsid w:val="00AE7232"/>
    <w:rsid w:val="00AF0245"/>
    <w:rsid w:val="00B02B36"/>
    <w:rsid w:val="00B15B37"/>
    <w:rsid w:val="00B16248"/>
    <w:rsid w:val="00B44A07"/>
    <w:rsid w:val="00B8468C"/>
    <w:rsid w:val="00BA2EDC"/>
    <w:rsid w:val="00C51695"/>
    <w:rsid w:val="00CC3FE6"/>
    <w:rsid w:val="00CF3CC5"/>
    <w:rsid w:val="00D03E62"/>
    <w:rsid w:val="00D04BE3"/>
    <w:rsid w:val="00D1195A"/>
    <w:rsid w:val="00D333EF"/>
    <w:rsid w:val="00D51927"/>
    <w:rsid w:val="00D60997"/>
    <w:rsid w:val="00D83378"/>
    <w:rsid w:val="00DB00E9"/>
    <w:rsid w:val="00DB1BEF"/>
    <w:rsid w:val="00DB6572"/>
    <w:rsid w:val="00DC093A"/>
    <w:rsid w:val="00DE78CC"/>
    <w:rsid w:val="00DF58B1"/>
    <w:rsid w:val="00E760F8"/>
    <w:rsid w:val="00E848AE"/>
    <w:rsid w:val="00EB2B6D"/>
    <w:rsid w:val="00EC1F63"/>
    <w:rsid w:val="00EE47C1"/>
    <w:rsid w:val="00F01B59"/>
    <w:rsid w:val="00F05415"/>
    <w:rsid w:val="00F136F6"/>
    <w:rsid w:val="00FC0CBC"/>
    <w:rsid w:val="00FC1C5E"/>
    <w:rsid w:val="00FD15BD"/>
    <w:rsid w:val="00FD40AC"/>
    <w:rsid w:val="013A7488"/>
    <w:rsid w:val="01E92875"/>
    <w:rsid w:val="01FB49FA"/>
    <w:rsid w:val="0274193C"/>
    <w:rsid w:val="028E257C"/>
    <w:rsid w:val="02D54DB1"/>
    <w:rsid w:val="03020491"/>
    <w:rsid w:val="037D4B94"/>
    <w:rsid w:val="042F547D"/>
    <w:rsid w:val="046049BC"/>
    <w:rsid w:val="05042AC0"/>
    <w:rsid w:val="05237B0D"/>
    <w:rsid w:val="054C3DCD"/>
    <w:rsid w:val="05AD4E18"/>
    <w:rsid w:val="05B2574F"/>
    <w:rsid w:val="06092DF6"/>
    <w:rsid w:val="06513EDD"/>
    <w:rsid w:val="06A37D42"/>
    <w:rsid w:val="06A93D15"/>
    <w:rsid w:val="06F7773E"/>
    <w:rsid w:val="075C3E83"/>
    <w:rsid w:val="08230D63"/>
    <w:rsid w:val="08AD7F8B"/>
    <w:rsid w:val="099F0AF0"/>
    <w:rsid w:val="09E97CF6"/>
    <w:rsid w:val="0A013144"/>
    <w:rsid w:val="0A4E024F"/>
    <w:rsid w:val="0A5F4093"/>
    <w:rsid w:val="0A7D4739"/>
    <w:rsid w:val="0AF25974"/>
    <w:rsid w:val="0AFC3432"/>
    <w:rsid w:val="0B3251EC"/>
    <w:rsid w:val="0B8C3C06"/>
    <w:rsid w:val="0C097E1E"/>
    <w:rsid w:val="0C3231A9"/>
    <w:rsid w:val="0C5C631A"/>
    <w:rsid w:val="0C97743F"/>
    <w:rsid w:val="0CD35DBF"/>
    <w:rsid w:val="0CDF690B"/>
    <w:rsid w:val="0CEF01C3"/>
    <w:rsid w:val="0DC7145D"/>
    <w:rsid w:val="0E2942AB"/>
    <w:rsid w:val="0ED63E68"/>
    <w:rsid w:val="0F555DAE"/>
    <w:rsid w:val="0FD84466"/>
    <w:rsid w:val="0FF2765C"/>
    <w:rsid w:val="10633297"/>
    <w:rsid w:val="118123B1"/>
    <w:rsid w:val="122C11EE"/>
    <w:rsid w:val="12360796"/>
    <w:rsid w:val="124A0630"/>
    <w:rsid w:val="135E0ED8"/>
    <w:rsid w:val="13816792"/>
    <w:rsid w:val="13850CBF"/>
    <w:rsid w:val="13FC78D3"/>
    <w:rsid w:val="141C1D6C"/>
    <w:rsid w:val="157A0CC8"/>
    <w:rsid w:val="159F71F4"/>
    <w:rsid w:val="163C7F22"/>
    <w:rsid w:val="16427DE6"/>
    <w:rsid w:val="16D646B8"/>
    <w:rsid w:val="17A07DE6"/>
    <w:rsid w:val="17CD0E5B"/>
    <w:rsid w:val="18337A75"/>
    <w:rsid w:val="1834185A"/>
    <w:rsid w:val="183A5F40"/>
    <w:rsid w:val="18E2697E"/>
    <w:rsid w:val="190A3385"/>
    <w:rsid w:val="192334C0"/>
    <w:rsid w:val="1A20588B"/>
    <w:rsid w:val="1A4E3471"/>
    <w:rsid w:val="1AEB6F66"/>
    <w:rsid w:val="1B0877A0"/>
    <w:rsid w:val="1BB22238"/>
    <w:rsid w:val="1CB56950"/>
    <w:rsid w:val="1CDD12FC"/>
    <w:rsid w:val="1D356477"/>
    <w:rsid w:val="1D4068B5"/>
    <w:rsid w:val="1D5E10C9"/>
    <w:rsid w:val="1D8C547B"/>
    <w:rsid w:val="1DCD0CF0"/>
    <w:rsid w:val="1EB8393D"/>
    <w:rsid w:val="1F004D3E"/>
    <w:rsid w:val="1F1C53A4"/>
    <w:rsid w:val="1F2C7AD8"/>
    <w:rsid w:val="1FA23B94"/>
    <w:rsid w:val="1FBD35EC"/>
    <w:rsid w:val="1FFD3E09"/>
    <w:rsid w:val="20137BA9"/>
    <w:rsid w:val="20412D7A"/>
    <w:rsid w:val="2094542B"/>
    <w:rsid w:val="214F21D2"/>
    <w:rsid w:val="21C7350C"/>
    <w:rsid w:val="21FF3153"/>
    <w:rsid w:val="22661344"/>
    <w:rsid w:val="22C0366C"/>
    <w:rsid w:val="22F11CFE"/>
    <w:rsid w:val="22FA6E8E"/>
    <w:rsid w:val="234B083A"/>
    <w:rsid w:val="23BC5355"/>
    <w:rsid w:val="23C00B8A"/>
    <w:rsid w:val="24EA33B1"/>
    <w:rsid w:val="24EC46DD"/>
    <w:rsid w:val="25324C5B"/>
    <w:rsid w:val="25EC0E3B"/>
    <w:rsid w:val="2652444F"/>
    <w:rsid w:val="26E60FD5"/>
    <w:rsid w:val="277714F6"/>
    <w:rsid w:val="277F30ED"/>
    <w:rsid w:val="27A45EAE"/>
    <w:rsid w:val="27DE2541"/>
    <w:rsid w:val="28F076A5"/>
    <w:rsid w:val="29816109"/>
    <w:rsid w:val="298B0375"/>
    <w:rsid w:val="29941132"/>
    <w:rsid w:val="29F47EB1"/>
    <w:rsid w:val="2A01201A"/>
    <w:rsid w:val="2B750C9A"/>
    <w:rsid w:val="2BCC1FC4"/>
    <w:rsid w:val="2C3A794C"/>
    <w:rsid w:val="2C4E1622"/>
    <w:rsid w:val="2C5D1853"/>
    <w:rsid w:val="2CD12CA2"/>
    <w:rsid w:val="2D480052"/>
    <w:rsid w:val="2D850133"/>
    <w:rsid w:val="2E404FF0"/>
    <w:rsid w:val="2E6204E2"/>
    <w:rsid w:val="2E7D4FCF"/>
    <w:rsid w:val="2EBC22E9"/>
    <w:rsid w:val="2EED1770"/>
    <w:rsid w:val="2EFB5E45"/>
    <w:rsid w:val="2EFF4C49"/>
    <w:rsid w:val="2FD87EED"/>
    <w:rsid w:val="30027EE0"/>
    <w:rsid w:val="303042B0"/>
    <w:rsid w:val="30E6748D"/>
    <w:rsid w:val="317F7136"/>
    <w:rsid w:val="320758AC"/>
    <w:rsid w:val="324C1301"/>
    <w:rsid w:val="32C52A19"/>
    <w:rsid w:val="32FA3AAE"/>
    <w:rsid w:val="330C05C1"/>
    <w:rsid w:val="339F47D4"/>
    <w:rsid w:val="358E2343"/>
    <w:rsid w:val="35B5371B"/>
    <w:rsid w:val="35FA163F"/>
    <w:rsid w:val="35FD4EC8"/>
    <w:rsid w:val="36CB24CC"/>
    <w:rsid w:val="370D0AF1"/>
    <w:rsid w:val="374324DD"/>
    <w:rsid w:val="381B0AF2"/>
    <w:rsid w:val="382C4BFB"/>
    <w:rsid w:val="387D7C95"/>
    <w:rsid w:val="38B97D3A"/>
    <w:rsid w:val="38BB55C4"/>
    <w:rsid w:val="38CB449E"/>
    <w:rsid w:val="3968675C"/>
    <w:rsid w:val="396F4BCE"/>
    <w:rsid w:val="39B75605"/>
    <w:rsid w:val="39BC5794"/>
    <w:rsid w:val="3B456CAF"/>
    <w:rsid w:val="3BB87B4F"/>
    <w:rsid w:val="3C37239B"/>
    <w:rsid w:val="3C3A4220"/>
    <w:rsid w:val="3C403984"/>
    <w:rsid w:val="3D097C50"/>
    <w:rsid w:val="3D2965BF"/>
    <w:rsid w:val="3DAB2936"/>
    <w:rsid w:val="3DDD360E"/>
    <w:rsid w:val="3E4F78C2"/>
    <w:rsid w:val="3E57080A"/>
    <w:rsid w:val="3EBA3F99"/>
    <w:rsid w:val="3F8C1BE9"/>
    <w:rsid w:val="3FD937E0"/>
    <w:rsid w:val="41406C0E"/>
    <w:rsid w:val="41542472"/>
    <w:rsid w:val="419D0523"/>
    <w:rsid w:val="41B63DAF"/>
    <w:rsid w:val="41D042DF"/>
    <w:rsid w:val="423F151D"/>
    <w:rsid w:val="434919D2"/>
    <w:rsid w:val="43712361"/>
    <w:rsid w:val="4380276A"/>
    <w:rsid w:val="43BD1661"/>
    <w:rsid w:val="43BE4E6A"/>
    <w:rsid w:val="43D27D66"/>
    <w:rsid w:val="440C63A1"/>
    <w:rsid w:val="44187B37"/>
    <w:rsid w:val="450250B5"/>
    <w:rsid w:val="451B5CDA"/>
    <w:rsid w:val="45252909"/>
    <w:rsid w:val="45A8380A"/>
    <w:rsid w:val="46931314"/>
    <w:rsid w:val="4716669B"/>
    <w:rsid w:val="47667F70"/>
    <w:rsid w:val="476A40D1"/>
    <w:rsid w:val="47846ABC"/>
    <w:rsid w:val="48CD54B7"/>
    <w:rsid w:val="48FD1CD9"/>
    <w:rsid w:val="496A6C8F"/>
    <w:rsid w:val="4A1E2DC1"/>
    <w:rsid w:val="4A330EFA"/>
    <w:rsid w:val="4A7A7AFF"/>
    <w:rsid w:val="4B4E68C4"/>
    <w:rsid w:val="4B521308"/>
    <w:rsid w:val="4B953D1F"/>
    <w:rsid w:val="4C034182"/>
    <w:rsid w:val="4C3B170A"/>
    <w:rsid w:val="4C3E7C79"/>
    <w:rsid w:val="4C595FFF"/>
    <w:rsid w:val="4CD038FD"/>
    <w:rsid w:val="4D12538D"/>
    <w:rsid w:val="4E177D0A"/>
    <w:rsid w:val="4EF22FBB"/>
    <w:rsid w:val="4F226421"/>
    <w:rsid w:val="4F3D5D9A"/>
    <w:rsid w:val="4F9913F5"/>
    <w:rsid w:val="4FD934B9"/>
    <w:rsid w:val="4FDB2BA4"/>
    <w:rsid w:val="508E23CC"/>
    <w:rsid w:val="509D1478"/>
    <w:rsid w:val="511C00AF"/>
    <w:rsid w:val="517A6AE1"/>
    <w:rsid w:val="521C5EBB"/>
    <w:rsid w:val="53271757"/>
    <w:rsid w:val="537E6663"/>
    <w:rsid w:val="53D34117"/>
    <w:rsid w:val="549F3136"/>
    <w:rsid w:val="54BF7622"/>
    <w:rsid w:val="552D2524"/>
    <w:rsid w:val="55640A9B"/>
    <w:rsid w:val="560D4BBD"/>
    <w:rsid w:val="562629A9"/>
    <w:rsid w:val="565B7546"/>
    <w:rsid w:val="5726540D"/>
    <w:rsid w:val="57414FA3"/>
    <w:rsid w:val="5812103D"/>
    <w:rsid w:val="585E76A3"/>
    <w:rsid w:val="58820A53"/>
    <w:rsid w:val="58E97532"/>
    <w:rsid w:val="58FC5EC4"/>
    <w:rsid w:val="59DC57F9"/>
    <w:rsid w:val="5A217EAB"/>
    <w:rsid w:val="5A282F4B"/>
    <w:rsid w:val="5AE94830"/>
    <w:rsid w:val="5BB519B2"/>
    <w:rsid w:val="5C4A208D"/>
    <w:rsid w:val="5C967406"/>
    <w:rsid w:val="5E0C1BCF"/>
    <w:rsid w:val="5E9811BD"/>
    <w:rsid w:val="5EE12E48"/>
    <w:rsid w:val="5F784FF0"/>
    <w:rsid w:val="60E0652E"/>
    <w:rsid w:val="60E35D12"/>
    <w:rsid w:val="61410C03"/>
    <w:rsid w:val="626524D0"/>
    <w:rsid w:val="626B458B"/>
    <w:rsid w:val="62927F9F"/>
    <w:rsid w:val="65A327D4"/>
    <w:rsid w:val="667E0A0D"/>
    <w:rsid w:val="66A25876"/>
    <w:rsid w:val="66FD0111"/>
    <w:rsid w:val="674F3408"/>
    <w:rsid w:val="67510D3D"/>
    <w:rsid w:val="67EF6987"/>
    <w:rsid w:val="685E6113"/>
    <w:rsid w:val="68832413"/>
    <w:rsid w:val="688E4AF4"/>
    <w:rsid w:val="68D0523B"/>
    <w:rsid w:val="690C38BF"/>
    <w:rsid w:val="69221C55"/>
    <w:rsid w:val="69361605"/>
    <w:rsid w:val="695D681E"/>
    <w:rsid w:val="69FC10EA"/>
    <w:rsid w:val="6A7F3592"/>
    <w:rsid w:val="6B4B4D85"/>
    <w:rsid w:val="6BD24D4A"/>
    <w:rsid w:val="6BE8000A"/>
    <w:rsid w:val="6C310A9C"/>
    <w:rsid w:val="6CC237A4"/>
    <w:rsid w:val="6E163FCD"/>
    <w:rsid w:val="6E1725D9"/>
    <w:rsid w:val="6F1A4BA1"/>
    <w:rsid w:val="6F1E11B5"/>
    <w:rsid w:val="703163D5"/>
    <w:rsid w:val="707F2C7C"/>
    <w:rsid w:val="718F1D90"/>
    <w:rsid w:val="72961AFA"/>
    <w:rsid w:val="72B371B4"/>
    <w:rsid w:val="72E56DE7"/>
    <w:rsid w:val="74BF390D"/>
    <w:rsid w:val="74D3430B"/>
    <w:rsid w:val="74F032D8"/>
    <w:rsid w:val="75BE17B6"/>
    <w:rsid w:val="761D0070"/>
    <w:rsid w:val="768F66A8"/>
    <w:rsid w:val="76A6192C"/>
    <w:rsid w:val="77A76604"/>
    <w:rsid w:val="77A84307"/>
    <w:rsid w:val="77AE7409"/>
    <w:rsid w:val="77BE22F9"/>
    <w:rsid w:val="77D36147"/>
    <w:rsid w:val="788E5FAA"/>
    <w:rsid w:val="78D71AF8"/>
    <w:rsid w:val="790D40D5"/>
    <w:rsid w:val="79143E05"/>
    <w:rsid w:val="7A0B5B62"/>
    <w:rsid w:val="7B752E48"/>
    <w:rsid w:val="7B777E1C"/>
    <w:rsid w:val="7BB50F6C"/>
    <w:rsid w:val="7C1E6AB0"/>
    <w:rsid w:val="7C495DF1"/>
    <w:rsid w:val="7C9A3D88"/>
    <w:rsid w:val="7CFD0109"/>
    <w:rsid w:val="7D6B1C43"/>
    <w:rsid w:val="7E061EDF"/>
    <w:rsid w:val="7E52120F"/>
    <w:rsid w:val="7EA17E47"/>
    <w:rsid w:val="7F5669F0"/>
    <w:rsid w:val="7F631844"/>
    <w:rsid w:val="7FBC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Plain Text"/>
    <w:basedOn w:val="1"/>
    <w:autoRedefine/>
    <w:unhideWhenUsed/>
    <w:qFormat/>
    <w:uiPriority w:val="99"/>
    <w:pPr>
      <w:spacing w:line="560" w:lineRule="exact"/>
      <w:jc w:val="center"/>
    </w:pPr>
    <w:rPr>
      <w:rFonts w:ascii="宋体" w:hAnsi="Courier New" w:cs="Courier New"/>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table" w:styleId="8">
    <w:name w:val="Table Grid"/>
    <w:basedOn w:val="7"/>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rFonts w:cs="Calibri"/>
      <w:kern w:val="2"/>
      <w:sz w:val="18"/>
      <w:szCs w:val="18"/>
    </w:rPr>
  </w:style>
  <w:style w:type="character" w:customStyle="1" w:styleId="13">
    <w:name w:val="页脚 字符"/>
    <w:basedOn w:val="9"/>
    <w:link w:val="4"/>
    <w:qFormat/>
    <w:uiPriority w:val="0"/>
    <w:rPr>
      <w:rFonts w:cs="Calibri"/>
      <w:kern w:val="2"/>
      <w:sz w:val="18"/>
      <w:szCs w:val="18"/>
    </w:rPr>
  </w:style>
  <w:style w:type="paragraph" w:customStyle="1" w:styleId="14">
    <w:name w:val="修订1"/>
    <w:hidden/>
    <w:semiHidden/>
    <w:qFormat/>
    <w:uiPriority w:val="99"/>
    <w:rPr>
      <w:rFonts w:ascii="Calibri" w:hAnsi="Calibri" w:eastAsia="宋体" w:cs="Calibri"/>
      <w:kern w:val="2"/>
      <w:sz w:val="21"/>
      <w:szCs w:val="21"/>
      <w:lang w:val="en-US" w:eastAsia="zh-CN" w:bidi="ar-SA"/>
    </w:rPr>
  </w:style>
  <w:style w:type="character" w:customStyle="1" w:styleId="15">
    <w:name w:val="批注文字 字符"/>
    <w:basedOn w:val="9"/>
    <w:link w:val="2"/>
    <w:qFormat/>
    <w:uiPriority w:val="0"/>
    <w:rPr>
      <w:rFonts w:ascii="Calibri" w:hAnsi="Calibri" w:cs="Calibri"/>
      <w:kern w:val="2"/>
      <w:sz w:val="21"/>
      <w:szCs w:val="21"/>
    </w:rPr>
  </w:style>
  <w:style w:type="character" w:customStyle="1" w:styleId="16">
    <w:name w:val="批注主题 字符"/>
    <w:basedOn w:val="15"/>
    <w:link w:val="6"/>
    <w:qFormat/>
    <w:uiPriority w:val="0"/>
    <w:rPr>
      <w:rFonts w:ascii="Calibri" w:hAnsi="Calibri" w:cs="Calibri"/>
      <w:b/>
      <w:bCs/>
      <w:kern w:val="2"/>
      <w:sz w:val="21"/>
      <w:szCs w:val="21"/>
    </w:rPr>
  </w:style>
  <w:style w:type="paragraph" w:styleId="17">
    <w:name w:val="List Paragraph"/>
    <w:basedOn w:val="1"/>
    <w:qFormat/>
    <w:uiPriority w:val="99"/>
    <w:pPr>
      <w:ind w:firstLine="420" w:firstLineChars="200"/>
    </w:pPr>
  </w:style>
  <w:style w:type="character" w:customStyle="1" w:styleId="18">
    <w:name w:val="font21"/>
    <w:basedOn w:val="9"/>
    <w:qFormat/>
    <w:uiPriority w:val="0"/>
    <w:rPr>
      <w:rFonts w:hint="eastAsia" w:ascii="宋体" w:hAnsi="宋体" w:eastAsia="宋体" w:cs="宋体"/>
      <w:color w:val="333333"/>
      <w:sz w:val="18"/>
      <w:szCs w:val="18"/>
      <w:u w:val="none"/>
    </w:rPr>
  </w:style>
  <w:style w:type="character" w:customStyle="1" w:styleId="19">
    <w:name w:val="font11"/>
    <w:basedOn w:val="9"/>
    <w:qFormat/>
    <w:uiPriority w:val="0"/>
    <w:rPr>
      <w:rFonts w:ascii="Helvetica" w:hAnsi="Helvetica" w:eastAsia="Helvetica" w:cs="Helvetica"/>
      <w:color w:val="333333"/>
      <w:sz w:val="18"/>
      <w:szCs w:val="18"/>
      <w:u w:val="none"/>
    </w:rPr>
  </w:style>
  <w:style w:type="paragraph" w:customStyle="1" w:styleId="20">
    <w:name w:val="Revision"/>
    <w:hidden/>
    <w:unhideWhenUsed/>
    <w:qFormat/>
    <w:uiPriority w:val="99"/>
    <w:rPr>
      <w:rFonts w:ascii="Calibri" w:hAnsi="Calibri" w:eastAsia="宋体" w:cs="Calibri"/>
      <w:kern w:val="2"/>
      <w:sz w:val="21"/>
      <w:szCs w:val="21"/>
      <w:lang w:val="en-US" w:eastAsia="zh-CN" w:bidi="ar-SA"/>
    </w:rPr>
  </w:style>
  <w:style w:type="paragraph" w:customStyle="1" w:styleId="21">
    <w:name w:val="Default"/>
    <w:unhideWhenUsed/>
    <w:qFormat/>
    <w:uiPriority w:val="99"/>
    <w:pPr>
      <w:widowControl w:val="0"/>
      <w:autoSpaceDE w:val="0"/>
      <w:autoSpaceDN w:val="0"/>
      <w:adjustRightInd w:val="0"/>
      <w:spacing w:beforeLines="0" w:afterLines="0"/>
    </w:pPr>
    <w:rPr>
      <w:rFonts w:hint="default" w:ascii="FangSong_GB2312" w:hAnsi="FangSong_GB2312" w:eastAsia="FangSong_GB2312" w:cs="Times New Roman"/>
      <w:color w:val="00000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4DCA3B-F47C-405D-959C-5025771F0470}">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1012</Words>
  <Characters>5774</Characters>
  <Lines>48</Lines>
  <Paragraphs>13</Paragraphs>
  <TotalTime>6</TotalTime>
  <ScaleCrop>false</ScaleCrop>
  <LinksUpToDate>false</LinksUpToDate>
  <CharactersWithSpaces>6773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2023-02-20T06:25:00Z</dcterms:created>
  <dc:creator>wenyibing</dc:creator>
  <cp:lastModifiedBy>陈鑫</cp:lastModifiedBy>
  <cp:lastPrinted>2024-07-02T02:44:00Z</cp:lastPrinted>
  <dcterms:modified xsi:type="dcterms:W3CDTF">2024-10-10T02:36:28Z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6327851282EB48C98C8D008B348B419B_13</vt:lpwstr>
  </property>
</Properties>
</file>