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CESI黑体-GB2312" w:hAnsi="CESI黑体-GB2312" w:eastAsia="CESI黑体-GB2312" w:cs="CESI黑体-GB2312"/>
          <w:sz w:val="32"/>
          <w:szCs w:val="32"/>
        </w:rPr>
      </w:pPr>
      <w:bookmarkStart w:id="0" w:name="_Toc75385159"/>
      <w:bookmarkStart w:id="1" w:name="_Toc61723608"/>
      <w:bookmarkStart w:id="2" w:name="_Toc75385141"/>
      <w:bookmarkStart w:id="3" w:name="_Toc75385155"/>
      <w:r>
        <w:rPr>
          <w:rFonts w:hint="eastAsia" w:ascii="CESI黑体-GB2312" w:hAnsi="CESI黑体-GB2312" w:eastAsia="CESI黑体-GB2312" w:cs="CESI黑体-GB2312"/>
          <w:sz w:val="32"/>
          <w:szCs w:val="32"/>
        </w:rPr>
        <w:t>附件1</w:t>
      </w:r>
    </w:p>
    <w:p>
      <w:pPr>
        <w:spacing w:after="0" w:line="360" w:lineRule="auto"/>
        <w:jc w:val="center"/>
        <w:rPr>
          <w:rFonts w:hint="eastAsia" w:ascii="仿宋" w:hAnsi="仿宋" w:eastAsia="仿宋" w:cs="仿宋"/>
          <w:b/>
          <w:kern w:val="44"/>
          <w:sz w:val="44"/>
          <w:szCs w:val="28"/>
        </w:rPr>
      </w:pPr>
    </w:p>
    <w:p>
      <w:pPr>
        <w:spacing w:after="0" w:line="360" w:lineRule="auto"/>
        <w:jc w:val="center"/>
        <w:rPr>
          <w:rFonts w:hint="eastAsia" w:ascii="仿宋" w:hAnsi="仿宋" w:eastAsia="仿宋" w:cs="仿宋"/>
          <w:b/>
          <w:kern w:val="44"/>
          <w:sz w:val="44"/>
          <w:szCs w:val="28"/>
        </w:rPr>
      </w:pPr>
    </w:p>
    <w:p>
      <w:pPr>
        <w:spacing w:after="0" w:line="360" w:lineRule="auto"/>
        <w:jc w:val="center"/>
        <w:rPr>
          <w:rFonts w:hint="eastAsia" w:ascii="仿宋" w:hAnsi="仿宋" w:eastAsia="仿宋" w:cs="仿宋"/>
          <w:b/>
          <w:kern w:val="44"/>
          <w:sz w:val="44"/>
          <w:szCs w:val="28"/>
        </w:rPr>
      </w:pPr>
    </w:p>
    <w:p>
      <w:pPr>
        <w:pStyle w:val="34"/>
        <w:rPr>
          <w:b w:val="0"/>
        </w:rPr>
      </w:pPr>
      <w:bookmarkStart w:id="4" w:name="_Toc177994356"/>
      <w:bookmarkStart w:id="5" w:name="_Toc162268295"/>
      <w:bookmarkStart w:id="6" w:name="_Toc177994191"/>
      <w:bookmarkStart w:id="7" w:name="_Toc162614343"/>
      <w:bookmarkStart w:id="8" w:name="_Toc162512216"/>
      <w:r>
        <w:rPr>
          <w:rFonts w:hint="eastAsia"/>
        </w:rPr>
        <w:t>北京市怀柔区林地保护利用规划</w:t>
      </w:r>
      <w:r>
        <w:rPr>
          <w:rFonts w:hint="eastAsia"/>
        </w:rPr>
        <w:br w:type="textWrapping"/>
      </w:r>
      <w:r>
        <w:rPr>
          <w:rFonts w:hint="eastAsia"/>
        </w:rPr>
        <w:t>（2021-2035年）</w:t>
      </w:r>
      <w:bookmarkEnd w:id="4"/>
      <w:bookmarkEnd w:id="5"/>
      <w:bookmarkEnd w:id="6"/>
      <w:bookmarkEnd w:id="7"/>
      <w:bookmarkEnd w:id="8"/>
    </w:p>
    <w:p>
      <w:pPr>
        <w:jc w:val="center"/>
        <w:rPr>
          <w:rFonts w:ascii="Times New Roman" w:hAnsi="Times New Roman" w:eastAsia="华文中宋"/>
          <w:b/>
          <w:bCs/>
          <w:spacing w:val="20"/>
          <w:kern w:val="2"/>
          <w:sz w:val="56"/>
          <w:szCs w:val="52"/>
        </w:rPr>
      </w:pPr>
      <w:r>
        <w:rPr>
          <w:rFonts w:hint="eastAsia" w:ascii="Times New Roman" w:hAnsi="Times New Roman" w:eastAsia="华文中宋"/>
          <w:spacing w:val="20"/>
          <w:kern w:val="2"/>
          <w:sz w:val="36"/>
          <w:szCs w:val="36"/>
        </w:rPr>
        <w:t>（公示版）</w:t>
      </w:r>
    </w:p>
    <w:p>
      <w:pPr>
        <w:pStyle w:val="23"/>
        <w:rPr>
          <w:rFonts w:hint="eastAsia" w:ascii="仿宋" w:hAnsi="仿宋" w:eastAsia="仿宋" w:cs="仿宋"/>
        </w:rPr>
      </w:pPr>
    </w:p>
    <w:p>
      <w:pPr>
        <w:spacing w:after="0" w:line="360" w:lineRule="auto"/>
        <w:jc w:val="center"/>
        <w:rPr>
          <w:rFonts w:hint="eastAsia" w:ascii="仿宋" w:hAnsi="仿宋" w:eastAsia="仿宋" w:cs="仿宋"/>
          <w:b/>
          <w:kern w:val="44"/>
          <w:sz w:val="44"/>
          <w:szCs w:val="28"/>
        </w:rPr>
      </w:pPr>
    </w:p>
    <w:p>
      <w:pPr>
        <w:spacing w:after="0" w:line="360" w:lineRule="auto"/>
        <w:jc w:val="center"/>
        <w:rPr>
          <w:rFonts w:hint="eastAsia" w:ascii="仿宋" w:hAnsi="仿宋" w:eastAsia="仿宋" w:cs="仿宋"/>
          <w:b/>
          <w:kern w:val="44"/>
          <w:sz w:val="44"/>
          <w:szCs w:val="28"/>
        </w:rPr>
      </w:pPr>
    </w:p>
    <w:p>
      <w:pPr>
        <w:widowControl w:val="0"/>
        <w:adjustRightInd/>
        <w:snapToGrid/>
        <w:spacing w:after="0"/>
        <w:ind w:firstLine="420"/>
        <w:jc w:val="both"/>
        <w:rPr>
          <w:rFonts w:hint="eastAsia" w:ascii="仿宋" w:hAnsi="仿宋" w:eastAsia="仿宋" w:cs="仿宋"/>
          <w:b/>
          <w:kern w:val="44"/>
          <w:sz w:val="44"/>
          <w:szCs w:val="28"/>
        </w:rPr>
      </w:pPr>
    </w:p>
    <w:p>
      <w:pPr>
        <w:widowControl w:val="0"/>
        <w:adjustRightInd/>
        <w:snapToGrid/>
        <w:spacing w:after="0"/>
        <w:ind w:firstLine="420"/>
        <w:jc w:val="both"/>
        <w:rPr>
          <w:rFonts w:hint="eastAsia" w:ascii="仿宋" w:hAnsi="仿宋" w:eastAsia="仿宋" w:cs="仿宋"/>
          <w:b/>
          <w:kern w:val="44"/>
          <w:sz w:val="44"/>
          <w:szCs w:val="28"/>
        </w:rPr>
      </w:pPr>
    </w:p>
    <w:p>
      <w:pPr>
        <w:widowControl w:val="0"/>
        <w:adjustRightInd/>
        <w:snapToGrid/>
        <w:spacing w:after="0"/>
        <w:ind w:firstLine="420"/>
        <w:jc w:val="both"/>
        <w:rPr>
          <w:rFonts w:hint="eastAsia" w:ascii="仿宋" w:hAnsi="仿宋" w:eastAsia="仿宋" w:cs="仿宋"/>
          <w:b/>
          <w:kern w:val="44"/>
          <w:sz w:val="44"/>
          <w:szCs w:val="28"/>
        </w:rPr>
      </w:pPr>
    </w:p>
    <w:p>
      <w:pPr>
        <w:widowControl w:val="0"/>
        <w:adjustRightInd/>
        <w:snapToGrid/>
        <w:spacing w:after="0"/>
        <w:ind w:firstLine="420"/>
        <w:jc w:val="both"/>
        <w:rPr>
          <w:rFonts w:hint="eastAsia" w:ascii="仿宋" w:hAnsi="仿宋" w:eastAsia="仿宋" w:cs="仿宋"/>
          <w:b/>
          <w:kern w:val="44"/>
          <w:sz w:val="44"/>
          <w:szCs w:val="28"/>
        </w:rPr>
      </w:pPr>
    </w:p>
    <w:p>
      <w:pPr>
        <w:widowControl w:val="0"/>
        <w:adjustRightInd/>
        <w:snapToGrid/>
        <w:spacing w:after="0"/>
        <w:ind w:firstLine="420"/>
        <w:jc w:val="both"/>
        <w:rPr>
          <w:rFonts w:hint="eastAsia" w:ascii="仿宋" w:hAnsi="仿宋" w:eastAsia="仿宋" w:cs="仿宋"/>
          <w:b/>
          <w:kern w:val="44"/>
          <w:sz w:val="44"/>
          <w:szCs w:val="28"/>
        </w:rPr>
      </w:pPr>
    </w:p>
    <w:p>
      <w:pPr>
        <w:pStyle w:val="35"/>
        <w:rPr>
          <w:b w:val="0"/>
        </w:rPr>
      </w:pPr>
      <w:r>
        <w:rPr>
          <w:rFonts w:hint="eastAsia"/>
        </w:rPr>
        <w:t>北京市怀柔区园林绿化局</w:t>
      </w:r>
    </w:p>
    <w:p>
      <w:pPr>
        <w:pStyle w:val="35"/>
        <w:rPr>
          <w:b w:val="0"/>
        </w:rPr>
      </w:pPr>
      <w:r>
        <w:rPr>
          <w:rFonts w:hint="eastAsia"/>
        </w:rPr>
        <w:t>二〇二四年九月</w:t>
      </w:r>
    </w:p>
    <w:p>
      <w:pPr>
        <w:rPr>
          <w:rFonts w:hint="eastAsia" w:ascii="仿宋" w:hAnsi="仿宋" w:eastAsia="仿宋" w:cs="仿宋"/>
          <w:b/>
          <w:kern w:val="44"/>
          <w:sz w:val="32"/>
          <w:szCs w:val="32"/>
        </w:rPr>
      </w:pPr>
    </w:p>
    <w:p>
      <w:pPr>
        <w:widowControl w:val="0"/>
        <w:adjustRightInd/>
        <w:snapToGrid/>
        <w:spacing w:after="0"/>
        <w:ind w:firstLine="420"/>
        <w:jc w:val="center"/>
        <w:rPr>
          <w:rFonts w:hint="eastAsia" w:ascii="仿宋" w:hAnsi="仿宋" w:eastAsia="仿宋" w:cs="仿宋"/>
          <w:b/>
          <w:kern w:val="44"/>
          <w:sz w:val="32"/>
          <w:szCs w:val="32"/>
        </w:rPr>
        <w:sectPr>
          <w:headerReference r:id="rId3" w:type="default"/>
          <w:footerReference r:id="rId4" w:type="default"/>
          <w:pgSz w:w="11906" w:h="16838"/>
          <w:pgMar w:top="1440" w:right="1797" w:bottom="1440" w:left="1576" w:header="851" w:footer="992" w:gutter="0"/>
          <w:cols w:space="720" w:num="1"/>
          <w:docGrid w:type="lines" w:linePitch="312" w:charSpace="0"/>
        </w:sectPr>
      </w:pPr>
    </w:p>
    <w:p>
      <w:pPr>
        <w:pStyle w:val="36"/>
        <w:rPr>
          <w:rFonts w:hint="eastAsia"/>
          <w:b w:val="0"/>
        </w:rPr>
      </w:pPr>
      <w:bookmarkStart w:id="9" w:name="_Toc162268296"/>
      <w:bookmarkStart w:id="10" w:name="_Toc177994357"/>
      <w:r>
        <w:rPr>
          <w:rFonts w:hint="eastAsia"/>
        </w:rPr>
        <w:t>前  言</w:t>
      </w:r>
      <w:bookmarkEnd w:id="9"/>
      <w:bookmarkEnd w:id="10"/>
    </w:p>
    <w:p>
      <w:pPr>
        <w:widowControl w:val="0"/>
        <w:spacing w:after="0" w:line="360" w:lineRule="auto"/>
        <w:ind w:firstLine="560" w:firstLineChars="200"/>
        <w:jc w:val="both"/>
        <w:rPr>
          <w:rFonts w:ascii="Times New Roman" w:hAnsi="Times New Roman" w:eastAsia="仿宋"/>
          <w:sz w:val="28"/>
          <w:szCs w:val="28"/>
          <w:lang w:val="zh-TW"/>
        </w:rPr>
      </w:pPr>
      <w:r>
        <w:rPr>
          <w:rFonts w:ascii="Times New Roman" w:hAnsi="Times New Roman" w:eastAsia="仿宋"/>
          <w:sz w:val="28"/>
          <w:szCs w:val="28"/>
          <w:lang w:val="zh-TW"/>
        </w:rPr>
        <w:t>林地是国家重要的自然资源和战略资源，是林业发展和生态建设的载体，是森林和野生动植物生存与发展的根基，对森林可持续发展、维护生态安全具有决定性的作用。</w:t>
      </w:r>
    </w:p>
    <w:p>
      <w:pPr>
        <w:widowControl w:val="0"/>
        <w:spacing w:after="0" w:line="360" w:lineRule="auto"/>
        <w:ind w:firstLine="560" w:firstLineChars="200"/>
        <w:jc w:val="both"/>
        <w:rPr>
          <w:rFonts w:hint="eastAsia" w:ascii="仿宋" w:hAnsi="仿宋" w:eastAsia="仿宋" w:cs="仿宋"/>
          <w:kern w:val="2"/>
          <w:sz w:val="28"/>
          <w:szCs w:val="28"/>
        </w:rPr>
      </w:pPr>
      <w:r>
        <w:rPr>
          <w:rFonts w:hint="eastAsia" w:ascii="Times New Roman" w:hAnsi="Times New Roman" w:eastAsia="仿宋"/>
          <w:sz w:val="28"/>
          <w:szCs w:val="28"/>
          <w:lang w:val="zh-TW"/>
        </w:rPr>
        <w:t>为推进</w:t>
      </w:r>
      <w:r>
        <w:rPr>
          <w:rFonts w:hint="eastAsia" w:ascii="Times New Roman" w:hAnsi="Times New Roman" w:eastAsia="仿宋"/>
          <w:sz w:val="28"/>
          <w:szCs w:val="28"/>
        </w:rPr>
        <w:t>怀柔区</w:t>
      </w:r>
      <w:r>
        <w:rPr>
          <w:rFonts w:hint="eastAsia" w:ascii="Times New Roman" w:hAnsi="Times New Roman" w:eastAsia="仿宋"/>
          <w:sz w:val="28"/>
          <w:szCs w:val="28"/>
          <w:lang w:val="zh-TW"/>
        </w:rPr>
        <w:t>生态文明建设，实施山水林田湖草沙综合治理，</w:t>
      </w:r>
      <w:r>
        <w:rPr>
          <w:rFonts w:ascii="Times New Roman" w:hAnsi="Times New Roman" w:eastAsia="仿宋"/>
          <w:sz w:val="28"/>
          <w:szCs w:val="28"/>
          <w:lang w:val="zh-TW"/>
        </w:rPr>
        <w:t>依据《</w:t>
      </w:r>
      <w:r>
        <w:rPr>
          <w:rFonts w:hint="eastAsia" w:ascii="Times New Roman" w:hAnsi="Times New Roman" w:eastAsia="仿宋"/>
          <w:sz w:val="28"/>
          <w:szCs w:val="28"/>
          <w:lang w:val="zh-TW"/>
        </w:rPr>
        <w:t>中华人民共和国</w:t>
      </w:r>
      <w:r>
        <w:rPr>
          <w:rFonts w:ascii="Times New Roman" w:hAnsi="Times New Roman" w:eastAsia="仿宋"/>
          <w:sz w:val="28"/>
          <w:szCs w:val="28"/>
          <w:lang w:val="zh-TW"/>
        </w:rPr>
        <w:t>森林法》</w:t>
      </w:r>
      <w:r>
        <w:rPr>
          <w:rFonts w:hint="eastAsia" w:ascii="Times New Roman" w:hAnsi="Times New Roman" w:eastAsia="仿宋"/>
          <w:sz w:val="28"/>
          <w:szCs w:val="28"/>
          <w:lang w:val="zh-TW"/>
        </w:rPr>
        <w:t>（以下简称《森林法》）</w:t>
      </w:r>
      <w:r>
        <w:rPr>
          <w:rFonts w:ascii="Times New Roman" w:hAnsi="Times New Roman" w:eastAsia="仿宋"/>
          <w:sz w:val="28"/>
          <w:szCs w:val="28"/>
          <w:lang w:val="zh-TW"/>
        </w:rPr>
        <w:t>等法律法规</w:t>
      </w:r>
      <w:r>
        <w:rPr>
          <w:rStyle w:val="17"/>
          <w:rFonts w:hint="eastAsia"/>
        </w:rPr>
        <w:t>，</w:t>
      </w:r>
      <w:r>
        <w:rPr>
          <w:rFonts w:hint="eastAsia" w:ascii="仿宋" w:hAnsi="仿宋" w:eastAsia="仿宋" w:cs="仿宋"/>
          <w:sz w:val="28"/>
          <w:szCs w:val="28"/>
        </w:rPr>
        <w:t>按照国家和北京市关于新一轮林地保护利用规划编制的要求，</w:t>
      </w:r>
      <w:r>
        <w:rPr>
          <w:rFonts w:hint="eastAsia" w:ascii="仿宋" w:hAnsi="仿宋" w:eastAsia="仿宋" w:cs="仿宋"/>
          <w:kern w:val="2"/>
          <w:sz w:val="28"/>
          <w:szCs w:val="28"/>
        </w:rPr>
        <w:t>怀柔区组织开展了《北京市怀柔区林地保护利用规划（2021-2035年）》</w:t>
      </w:r>
      <w:r>
        <w:rPr>
          <w:rFonts w:hint="eastAsia" w:ascii="仿宋" w:hAnsi="仿宋" w:eastAsia="仿宋" w:cs="仿宋"/>
          <w:sz w:val="28"/>
          <w:szCs w:val="28"/>
          <w:lang w:val="zh-TW"/>
        </w:rPr>
        <w:t>（以下简称《规划》）</w:t>
      </w:r>
      <w:r>
        <w:rPr>
          <w:rFonts w:hint="eastAsia" w:ascii="仿宋" w:hAnsi="仿宋" w:eastAsia="仿宋" w:cs="仿宋"/>
          <w:kern w:val="2"/>
          <w:sz w:val="28"/>
          <w:szCs w:val="28"/>
        </w:rPr>
        <w:t>编制工作。</w:t>
      </w:r>
    </w:p>
    <w:p>
      <w:pPr>
        <w:widowControl w:val="0"/>
        <w:spacing w:after="0" w:line="360" w:lineRule="auto"/>
        <w:ind w:firstLine="560" w:firstLineChars="200"/>
        <w:jc w:val="both"/>
        <w:rPr>
          <w:rFonts w:hint="eastAsia" w:ascii="仿宋" w:hAnsi="仿宋" w:eastAsia="仿宋" w:cs="仿宋"/>
          <w:sz w:val="28"/>
          <w:szCs w:val="28"/>
          <w:lang w:val="zh-TW"/>
        </w:rPr>
      </w:pPr>
      <w:r>
        <w:rPr>
          <w:rFonts w:hint="eastAsia" w:ascii="仿宋" w:hAnsi="仿宋" w:eastAsia="仿宋" w:cs="仿宋"/>
          <w:sz w:val="28"/>
          <w:szCs w:val="28"/>
          <w:lang w:val="zh-TW"/>
        </w:rPr>
        <w:t>《规划》坚持以习近平</w:t>
      </w:r>
      <w:r>
        <w:rPr>
          <w:rFonts w:hint="eastAsia" w:ascii="Times New Roman" w:hAnsi="Times New Roman" w:eastAsia="仿宋"/>
          <w:sz w:val="28"/>
          <w:szCs w:val="28"/>
          <w:lang w:val="zh-TW"/>
        </w:rPr>
        <w:t>生态文明</w:t>
      </w:r>
      <w:r>
        <w:rPr>
          <w:rFonts w:ascii="Times New Roman" w:hAnsi="Times New Roman" w:eastAsia="仿宋"/>
          <w:sz w:val="28"/>
          <w:szCs w:val="28"/>
          <w:lang w:val="zh-TW"/>
        </w:rPr>
        <w:t>思想为指导</w:t>
      </w:r>
      <w:r>
        <w:rPr>
          <w:rFonts w:hint="eastAsia" w:ascii="仿宋" w:hAnsi="仿宋" w:eastAsia="仿宋" w:cs="仿宋"/>
          <w:sz w:val="28"/>
          <w:szCs w:val="28"/>
          <w:lang w:val="zh-TW"/>
        </w:rPr>
        <w:t>，按照生态优先、分类施策，统筹协调、实事求是的原则，</w:t>
      </w:r>
      <w:r>
        <w:rPr>
          <w:rFonts w:hint="eastAsia" w:ascii="仿宋" w:hAnsi="仿宋" w:eastAsia="仿宋" w:cs="仿宋"/>
          <w:sz w:val="28"/>
          <w:szCs w:val="28"/>
        </w:rPr>
        <w:t>紧紧围绕怀柔</w:t>
      </w:r>
      <w:r>
        <w:rPr>
          <w:rFonts w:hint="eastAsia" w:ascii="仿宋" w:hAnsi="仿宋" w:eastAsia="仿宋" w:cs="仿宋"/>
          <w:sz w:val="28"/>
          <w:szCs w:val="28"/>
          <w:lang w:val="zh-TW"/>
        </w:rPr>
        <w:t>区林业发展定位和发展方向，紧密衔接</w:t>
      </w:r>
      <w:r>
        <w:rPr>
          <w:rFonts w:hint="eastAsia" w:ascii="Times New Roman" w:hAnsi="Times New Roman" w:eastAsia="仿宋"/>
          <w:sz w:val="28"/>
          <w:szCs w:val="28"/>
          <w:lang w:val="zh-TW"/>
        </w:rPr>
        <w:t>《</w:t>
      </w:r>
      <w:r>
        <w:rPr>
          <w:rFonts w:hint="eastAsia" w:ascii="Times New Roman" w:hAnsi="Times New Roman" w:eastAsia="仿宋"/>
          <w:sz w:val="28"/>
          <w:szCs w:val="28"/>
        </w:rPr>
        <w:t>怀柔</w:t>
      </w:r>
      <w:r>
        <w:rPr>
          <w:rFonts w:hint="eastAsia" w:ascii="Times New Roman" w:hAnsi="Times New Roman" w:eastAsia="仿宋"/>
          <w:sz w:val="28"/>
          <w:szCs w:val="28"/>
          <w:lang w:val="zh-TW"/>
        </w:rPr>
        <w:t>分区规划（国土空间规划）（2017年—2035年）》（以下简称“分区规划”）</w:t>
      </w:r>
      <w:r>
        <w:rPr>
          <w:rFonts w:ascii="Times New Roman" w:hAnsi="Times New Roman" w:eastAsia="仿宋"/>
          <w:sz w:val="28"/>
          <w:szCs w:val="28"/>
          <w:lang w:val="zh-TW"/>
        </w:rPr>
        <w:t>、《</w:t>
      </w:r>
      <w:r>
        <w:rPr>
          <w:rFonts w:hint="eastAsia" w:ascii="Times New Roman" w:hAnsi="Times New Roman" w:eastAsia="仿宋"/>
          <w:sz w:val="28"/>
          <w:szCs w:val="28"/>
          <w:lang w:val="zh-TW"/>
        </w:rPr>
        <w:t>北京市</w:t>
      </w:r>
      <w:r>
        <w:rPr>
          <w:rFonts w:hint="eastAsia" w:ascii="Times New Roman" w:hAnsi="Times New Roman" w:eastAsia="仿宋"/>
          <w:sz w:val="28"/>
          <w:szCs w:val="28"/>
        </w:rPr>
        <w:t>怀柔</w:t>
      </w:r>
      <w:r>
        <w:rPr>
          <w:rFonts w:hint="eastAsia" w:ascii="Times New Roman" w:hAnsi="Times New Roman" w:eastAsia="仿宋"/>
          <w:sz w:val="28"/>
          <w:szCs w:val="28"/>
          <w:lang w:val="zh-TW"/>
        </w:rPr>
        <w:t>区国民经济和社会发展第十四个五年规划和二〇三五年远景目标纲要》（以下简称“</w:t>
      </w:r>
      <w:r>
        <w:rPr>
          <w:rFonts w:ascii="Times New Roman" w:hAnsi="Times New Roman" w:eastAsia="仿宋"/>
          <w:sz w:val="28"/>
          <w:szCs w:val="28"/>
          <w:lang w:val="zh-TW"/>
        </w:rPr>
        <w:t>十四五</w:t>
      </w:r>
      <w:r>
        <w:rPr>
          <w:rFonts w:hint="eastAsia" w:ascii="Times New Roman" w:hAnsi="Times New Roman" w:eastAsia="仿宋"/>
          <w:sz w:val="28"/>
          <w:szCs w:val="28"/>
          <w:lang w:val="zh-TW"/>
        </w:rPr>
        <w:t>”</w:t>
      </w:r>
      <w:r>
        <w:rPr>
          <w:rFonts w:ascii="Times New Roman" w:hAnsi="Times New Roman" w:eastAsia="仿宋"/>
          <w:sz w:val="28"/>
          <w:szCs w:val="28"/>
          <w:lang w:val="zh-TW"/>
        </w:rPr>
        <w:t>规划）</w:t>
      </w:r>
      <w:r>
        <w:rPr>
          <w:rFonts w:hint="eastAsia" w:ascii="仿宋" w:hAnsi="仿宋" w:eastAsia="仿宋" w:cs="仿宋"/>
          <w:sz w:val="28"/>
          <w:szCs w:val="28"/>
          <w:lang w:val="zh-TW"/>
        </w:rPr>
        <w:t>等</w:t>
      </w:r>
      <w:r>
        <w:rPr>
          <w:rFonts w:hint="eastAsia" w:ascii="仿宋" w:hAnsi="仿宋" w:eastAsia="仿宋" w:cs="仿宋"/>
          <w:sz w:val="28"/>
          <w:szCs w:val="28"/>
        </w:rPr>
        <w:t>相关规划</w:t>
      </w:r>
      <w:r>
        <w:rPr>
          <w:rFonts w:hint="eastAsia" w:ascii="仿宋" w:hAnsi="仿宋" w:eastAsia="仿宋" w:cs="仿宋"/>
          <w:sz w:val="28"/>
          <w:szCs w:val="28"/>
          <w:lang w:val="zh-TW"/>
        </w:rPr>
        <w:t>，</w:t>
      </w:r>
      <w:r>
        <w:rPr>
          <w:rFonts w:hint="eastAsia" w:ascii="仿宋" w:hAnsi="仿宋" w:eastAsia="仿宋" w:cs="仿宋"/>
          <w:sz w:val="28"/>
          <w:szCs w:val="28"/>
        </w:rPr>
        <w:t>科学评价</w:t>
      </w:r>
      <w:r>
        <w:rPr>
          <w:rFonts w:hint="eastAsia" w:ascii="仿宋" w:hAnsi="仿宋" w:eastAsia="仿宋" w:cs="仿宋"/>
          <w:sz w:val="28"/>
          <w:szCs w:val="28"/>
          <w:lang w:val="zh-TW"/>
        </w:rPr>
        <w:t>上一轮规划实施</w:t>
      </w:r>
      <w:r>
        <w:rPr>
          <w:rFonts w:hint="eastAsia" w:ascii="仿宋" w:hAnsi="仿宋" w:eastAsia="仿宋" w:cs="仿宋"/>
          <w:sz w:val="28"/>
          <w:szCs w:val="28"/>
        </w:rPr>
        <w:t>情况，系统</w:t>
      </w:r>
      <w:r>
        <w:rPr>
          <w:rFonts w:hint="eastAsia" w:ascii="仿宋" w:hAnsi="仿宋" w:eastAsia="仿宋" w:cs="仿宋"/>
          <w:sz w:val="28"/>
          <w:szCs w:val="28"/>
          <w:lang w:val="zh-TW"/>
        </w:rPr>
        <w:t>分析林地资源现状，</w:t>
      </w:r>
      <w:r>
        <w:rPr>
          <w:rFonts w:hint="eastAsia" w:ascii="仿宋" w:hAnsi="仿宋" w:eastAsia="仿宋" w:cs="仿宋"/>
          <w:sz w:val="28"/>
          <w:szCs w:val="28"/>
        </w:rPr>
        <w:t>科学谋划</w:t>
      </w:r>
      <w:r>
        <w:rPr>
          <w:rFonts w:hint="eastAsia" w:ascii="仿宋" w:hAnsi="仿宋" w:eastAsia="仿宋" w:cs="仿宋"/>
          <w:sz w:val="28"/>
          <w:szCs w:val="28"/>
          <w:lang w:val="zh-TW"/>
        </w:rPr>
        <w:t>林地保护利用</w:t>
      </w:r>
      <w:r>
        <w:rPr>
          <w:rFonts w:hint="eastAsia" w:ascii="仿宋" w:hAnsi="仿宋" w:eastAsia="仿宋" w:cs="仿宋"/>
          <w:sz w:val="28"/>
          <w:szCs w:val="28"/>
        </w:rPr>
        <w:t>的</w:t>
      </w:r>
      <w:r>
        <w:rPr>
          <w:rFonts w:hint="eastAsia" w:ascii="仿宋" w:hAnsi="仿宋" w:eastAsia="仿宋" w:cs="仿宋"/>
          <w:sz w:val="28"/>
          <w:szCs w:val="28"/>
          <w:lang w:val="zh-TW"/>
        </w:rPr>
        <w:t>目标任务，</w:t>
      </w:r>
      <w:r>
        <w:rPr>
          <w:rFonts w:hint="eastAsia" w:ascii="仿宋" w:hAnsi="仿宋" w:eastAsia="仿宋" w:cs="仿宋"/>
          <w:sz w:val="28"/>
          <w:szCs w:val="28"/>
        </w:rPr>
        <w:t>合理提出林地保护利用策略和措施，</w:t>
      </w:r>
      <w:r>
        <w:rPr>
          <w:rFonts w:hint="eastAsia" w:ascii="仿宋" w:hAnsi="仿宋" w:eastAsia="仿宋" w:cs="仿宋"/>
          <w:sz w:val="28"/>
          <w:szCs w:val="28"/>
          <w:lang w:val="zh-TW"/>
        </w:rPr>
        <w:t>是</w:t>
      </w:r>
      <w:r>
        <w:rPr>
          <w:rFonts w:hint="eastAsia" w:ascii="仿宋" w:hAnsi="仿宋" w:eastAsia="仿宋" w:cs="仿宋"/>
          <w:sz w:val="28"/>
          <w:szCs w:val="28"/>
        </w:rPr>
        <w:t>怀柔</w:t>
      </w:r>
      <w:r>
        <w:rPr>
          <w:rFonts w:hint="eastAsia" w:ascii="仿宋" w:hAnsi="仿宋" w:eastAsia="仿宋" w:cs="仿宋"/>
          <w:sz w:val="28"/>
          <w:szCs w:val="28"/>
          <w:lang w:val="zh-TW"/>
        </w:rPr>
        <w:t>区未来十五年林地保护利用的纲领性文件。</w:t>
      </w:r>
    </w:p>
    <w:p>
      <w:pPr>
        <w:pStyle w:val="26"/>
        <w:rPr>
          <w:rFonts w:hint="eastAsia"/>
        </w:rPr>
      </w:pPr>
      <w:r>
        <w:rPr>
          <w:rFonts w:hint="eastAsia"/>
        </w:rPr>
        <w:t>规划范围为北京市怀柔区行政辖区内所有林地和依法可用于林业发展的其他土地。</w:t>
      </w:r>
      <w:r>
        <w:t>规划期限为2021年—2035年。</w:t>
      </w:r>
    </w:p>
    <w:p>
      <w:pPr>
        <w:widowControl w:val="0"/>
        <w:spacing w:after="0" w:line="360" w:lineRule="auto"/>
        <w:ind w:firstLine="803" w:firstLineChars="200"/>
        <w:jc w:val="both"/>
        <w:rPr>
          <w:rFonts w:hint="eastAsia" w:ascii="仿宋" w:hAnsi="仿宋" w:eastAsia="仿宋" w:cs="仿宋"/>
          <w:b/>
          <w:bCs/>
          <w:sz w:val="40"/>
          <w:szCs w:val="40"/>
        </w:rPr>
      </w:pPr>
    </w:p>
    <w:p>
      <w:pPr>
        <w:jc w:val="center"/>
        <w:rPr>
          <w:rFonts w:hint="eastAsia" w:ascii="仿宋" w:hAnsi="仿宋" w:eastAsia="仿宋" w:cs="仿宋"/>
          <w:b/>
          <w:bCs/>
          <w:sz w:val="40"/>
          <w:szCs w:val="40"/>
        </w:rPr>
        <w:sectPr>
          <w:footerReference r:id="rId5" w:type="default"/>
          <w:pgSz w:w="11906" w:h="16838"/>
          <w:pgMar w:top="1440" w:right="1800" w:bottom="1440" w:left="1800" w:header="851" w:footer="992" w:gutter="0"/>
          <w:pgNumType w:start="1"/>
          <w:cols w:space="720" w:num="1"/>
          <w:docGrid w:type="lines" w:linePitch="312" w:charSpace="0"/>
        </w:sectPr>
      </w:pPr>
    </w:p>
    <w:p>
      <w:pPr>
        <w:widowControl w:val="0"/>
        <w:adjustRightInd/>
        <w:snapToGrid/>
        <w:spacing w:before="156" w:beforeLines="50" w:after="156" w:afterLines="50" w:line="360" w:lineRule="auto"/>
        <w:jc w:val="center"/>
        <w:outlineLvl w:val="0"/>
        <w:rPr>
          <w:rFonts w:hint="eastAsia" w:ascii="仿宋" w:hAnsi="仿宋" w:eastAsia="仿宋" w:cs="仿宋"/>
          <w:b/>
          <w:kern w:val="44"/>
          <w:sz w:val="32"/>
          <w:szCs w:val="32"/>
        </w:rPr>
      </w:pPr>
      <w:bookmarkStart w:id="11" w:name="_Toc177994358"/>
      <w:bookmarkStart w:id="12" w:name="_Toc162268297"/>
      <w:bookmarkStart w:id="13" w:name="_Toc162512218"/>
      <w:bookmarkStart w:id="14" w:name="_Toc177994193"/>
      <w:bookmarkStart w:id="15" w:name="_Toc162614345"/>
      <w:r>
        <w:rPr>
          <w:rFonts w:hint="eastAsia" w:ascii="仿宋" w:hAnsi="仿宋" w:eastAsia="仿宋" w:cs="仿宋"/>
          <w:b/>
          <w:kern w:val="44"/>
          <w:sz w:val="32"/>
          <w:szCs w:val="32"/>
        </w:rPr>
        <w:t>目  录</w:t>
      </w:r>
      <w:bookmarkEnd w:id="11"/>
      <w:bookmarkEnd w:id="12"/>
      <w:bookmarkEnd w:id="13"/>
      <w:bookmarkEnd w:id="14"/>
      <w:bookmarkEnd w:id="15"/>
    </w:p>
    <w:p>
      <w:pPr>
        <w:pStyle w:val="10"/>
        <w:tabs>
          <w:tab w:val="right" w:leader="dot" w:pos="8296"/>
        </w:tabs>
        <w:rPr>
          <w:rStyle w:val="16"/>
          <w:rFonts w:hint="eastAsia" w:ascii="仿宋" w:hAnsi="仿宋" w:eastAsia="仿宋" w:cs="仿宋"/>
          <w:b/>
          <w:bCs/>
          <w:kern w:val="4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fldChar w:fldCharType="begin"/>
      </w:r>
      <w:r>
        <w:instrText xml:space="preserve"> HYPERLINK \l "_Toc177994357" </w:instrText>
      </w:r>
      <w:r>
        <w:fldChar w:fldCharType="separate"/>
      </w:r>
      <w:r>
        <w:rPr>
          <w:rStyle w:val="16"/>
          <w:rFonts w:hint="eastAsia" w:ascii="仿宋" w:hAnsi="仿宋" w:eastAsia="仿宋" w:cs="仿宋"/>
          <w:b/>
          <w:bCs/>
          <w:kern w:val="44"/>
        </w:rPr>
        <w:t>前  言</w:t>
      </w:r>
      <w:r>
        <w:rPr>
          <w:rStyle w:val="16"/>
          <w:rFonts w:hint="eastAsia" w:ascii="仿宋" w:hAnsi="仿宋" w:eastAsia="仿宋" w:cs="仿宋"/>
          <w:b/>
          <w:bCs/>
          <w:kern w:val="44"/>
        </w:rPr>
        <w:tab/>
      </w:r>
      <w:r>
        <w:rPr>
          <w:rStyle w:val="16"/>
          <w:rFonts w:hint="eastAsia" w:ascii="仿宋" w:hAnsi="仿宋" w:eastAsia="仿宋" w:cs="仿宋"/>
          <w:b/>
          <w:bCs/>
          <w:kern w:val="44"/>
        </w:rPr>
        <w:fldChar w:fldCharType="begin"/>
      </w:r>
      <w:r>
        <w:rPr>
          <w:rStyle w:val="16"/>
          <w:rFonts w:hint="eastAsia" w:ascii="仿宋" w:hAnsi="仿宋" w:eastAsia="仿宋" w:cs="仿宋"/>
          <w:b/>
          <w:bCs/>
          <w:kern w:val="44"/>
        </w:rPr>
        <w:instrText xml:space="preserve"> </w:instrText>
      </w:r>
      <w:r>
        <w:rPr>
          <w:rStyle w:val="16"/>
          <w:rFonts w:ascii="仿宋" w:hAnsi="仿宋" w:eastAsia="仿宋" w:cs="仿宋"/>
          <w:b/>
          <w:bCs/>
          <w:kern w:val="44"/>
        </w:rPr>
        <w:instrText xml:space="preserve">PAGEREF _Toc177994357 \h</w:instrText>
      </w:r>
      <w:r>
        <w:rPr>
          <w:rStyle w:val="16"/>
          <w:rFonts w:hint="eastAsia" w:ascii="仿宋" w:hAnsi="仿宋" w:eastAsia="仿宋" w:cs="仿宋"/>
          <w:b/>
          <w:bCs/>
          <w:kern w:val="44"/>
        </w:rPr>
        <w:instrText xml:space="preserve"> </w:instrText>
      </w:r>
      <w:r>
        <w:rPr>
          <w:rStyle w:val="16"/>
          <w:rFonts w:hint="eastAsia" w:ascii="仿宋" w:hAnsi="仿宋" w:eastAsia="仿宋" w:cs="仿宋"/>
          <w:b/>
          <w:bCs/>
          <w:kern w:val="44"/>
        </w:rPr>
        <w:fldChar w:fldCharType="separate"/>
      </w:r>
      <w:r>
        <w:rPr>
          <w:rStyle w:val="16"/>
          <w:rFonts w:hint="eastAsia" w:ascii="仿宋" w:hAnsi="仿宋" w:eastAsia="仿宋" w:cs="仿宋"/>
          <w:b/>
          <w:bCs/>
          <w:kern w:val="44"/>
        </w:rPr>
        <w:t>1</w:t>
      </w:r>
      <w:r>
        <w:rPr>
          <w:rStyle w:val="16"/>
          <w:rFonts w:hint="eastAsia" w:ascii="仿宋" w:hAnsi="仿宋" w:eastAsia="仿宋" w:cs="仿宋"/>
          <w:b/>
          <w:bCs/>
          <w:kern w:val="44"/>
        </w:rPr>
        <w:fldChar w:fldCharType="end"/>
      </w:r>
      <w:r>
        <w:rPr>
          <w:rStyle w:val="16"/>
          <w:rFonts w:hint="eastAsia" w:ascii="仿宋" w:hAnsi="仿宋" w:eastAsia="仿宋" w:cs="仿宋"/>
          <w:b/>
          <w:bCs/>
          <w:kern w:val="44"/>
        </w:rPr>
        <w:fldChar w:fldCharType="end"/>
      </w:r>
    </w:p>
    <w:p>
      <w:pPr>
        <w:pStyle w:val="10"/>
        <w:tabs>
          <w:tab w:val="right" w:leader="dot" w:pos="8296"/>
        </w:tabs>
        <w:rPr>
          <w:rStyle w:val="16"/>
          <w:rFonts w:hint="eastAsia" w:ascii="仿宋" w:hAnsi="仿宋" w:eastAsia="仿宋" w:cs="仿宋"/>
          <w:b/>
          <w:bCs/>
          <w:kern w:val="44"/>
        </w:rPr>
      </w:pPr>
      <w:r>
        <w:fldChar w:fldCharType="begin"/>
      </w:r>
      <w:r>
        <w:instrText xml:space="preserve"> HYPERLINK \l "_Toc177994359" </w:instrText>
      </w:r>
      <w:r>
        <w:fldChar w:fldCharType="separate"/>
      </w:r>
      <w:r>
        <w:rPr>
          <w:rStyle w:val="16"/>
          <w:rFonts w:hint="eastAsia" w:ascii="仿宋" w:hAnsi="仿宋" w:eastAsia="仿宋" w:cs="仿宋"/>
          <w:b/>
          <w:bCs/>
          <w:kern w:val="44"/>
        </w:rPr>
        <w:t>第一章  规划背景</w:t>
      </w:r>
      <w:r>
        <w:rPr>
          <w:rStyle w:val="16"/>
          <w:rFonts w:hint="eastAsia" w:ascii="仿宋" w:hAnsi="仿宋" w:eastAsia="仿宋" w:cs="仿宋"/>
          <w:b/>
          <w:bCs/>
          <w:kern w:val="44"/>
        </w:rPr>
        <w:tab/>
      </w:r>
      <w:r>
        <w:rPr>
          <w:rStyle w:val="16"/>
          <w:rFonts w:hint="eastAsia" w:ascii="仿宋" w:hAnsi="仿宋" w:eastAsia="仿宋" w:cs="仿宋"/>
          <w:b/>
          <w:bCs/>
          <w:kern w:val="44"/>
        </w:rPr>
        <w:fldChar w:fldCharType="begin"/>
      </w:r>
      <w:r>
        <w:rPr>
          <w:rStyle w:val="16"/>
          <w:rFonts w:hint="eastAsia" w:ascii="仿宋" w:hAnsi="仿宋" w:eastAsia="仿宋" w:cs="仿宋"/>
          <w:b/>
          <w:bCs/>
          <w:kern w:val="44"/>
        </w:rPr>
        <w:instrText xml:space="preserve"> </w:instrText>
      </w:r>
      <w:r>
        <w:rPr>
          <w:rStyle w:val="16"/>
          <w:rFonts w:ascii="仿宋" w:hAnsi="仿宋" w:eastAsia="仿宋" w:cs="仿宋"/>
          <w:b/>
          <w:bCs/>
          <w:kern w:val="44"/>
        </w:rPr>
        <w:instrText xml:space="preserve">PAGEREF _Toc177994359 \h</w:instrText>
      </w:r>
      <w:r>
        <w:rPr>
          <w:rStyle w:val="16"/>
          <w:rFonts w:hint="eastAsia" w:ascii="仿宋" w:hAnsi="仿宋" w:eastAsia="仿宋" w:cs="仿宋"/>
          <w:b/>
          <w:bCs/>
          <w:kern w:val="44"/>
        </w:rPr>
        <w:instrText xml:space="preserve"> </w:instrText>
      </w:r>
      <w:r>
        <w:rPr>
          <w:rStyle w:val="16"/>
          <w:rFonts w:hint="eastAsia" w:ascii="仿宋" w:hAnsi="仿宋" w:eastAsia="仿宋" w:cs="仿宋"/>
          <w:b/>
          <w:bCs/>
          <w:kern w:val="44"/>
        </w:rPr>
        <w:fldChar w:fldCharType="separate"/>
      </w:r>
      <w:r>
        <w:rPr>
          <w:rStyle w:val="16"/>
          <w:rFonts w:hint="eastAsia" w:ascii="仿宋" w:hAnsi="仿宋" w:eastAsia="仿宋" w:cs="仿宋"/>
          <w:b/>
          <w:bCs/>
          <w:kern w:val="44"/>
        </w:rPr>
        <w:t>1</w:t>
      </w:r>
      <w:r>
        <w:rPr>
          <w:rStyle w:val="16"/>
          <w:rFonts w:hint="eastAsia" w:ascii="仿宋" w:hAnsi="仿宋" w:eastAsia="仿宋" w:cs="仿宋"/>
          <w:b/>
          <w:bCs/>
          <w:kern w:val="44"/>
        </w:rPr>
        <w:fldChar w:fldCharType="end"/>
      </w:r>
      <w:r>
        <w:rPr>
          <w:rStyle w:val="16"/>
          <w:rFonts w:hint="eastAsia" w:ascii="仿宋" w:hAnsi="仿宋" w:eastAsia="仿宋" w:cs="仿宋"/>
          <w:b/>
          <w:bCs/>
          <w:kern w:val="44"/>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"_Toc177994360" </w:instrText>
      </w:r>
      <w:r>
        <w:fldChar w:fldCharType="separate"/>
      </w:r>
      <w:r>
        <w:rPr>
          <w:rStyle w:val="16"/>
          <w:rFonts w:hint="eastAsia" w:ascii="仿宋" w:hAnsi="仿宋" w:eastAsia="仿宋" w:cs="仿宋"/>
        </w:rPr>
        <w:t>一、上一轮规划实施评价</w:t>
      </w:r>
      <w:r>
        <w:rPr>
          <w:rFonts w:hint="eastAsia"/>
        </w:rPr>
        <w:tab/>
      </w:r>
      <w:r>
        <w:rPr>
          <w:rFonts w:hint="eastAsia"/>
        </w:rPr>
        <w:fldChar w:fldCharType="begin"/>
      </w:r>
      <w:r>
        <w:rPr>
          <w:rFonts w:hint="eastAsia"/>
        </w:rPr>
        <w:instrText xml:space="preserve"> </w:instrText>
      </w:r>
      <w:r>
        <w:instrText xml:space="preserve">PAGEREF _Toc177994360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"_Toc177994361" </w:instrText>
      </w:r>
      <w:r>
        <w:fldChar w:fldCharType="separate"/>
      </w:r>
      <w:r>
        <w:rPr>
          <w:rStyle w:val="16"/>
          <w:rFonts w:hint="eastAsia" w:ascii="仿宋" w:hAnsi="仿宋" w:eastAsia="仿宋" w:cs="仿宋"/>
        </w:rPr>
        <w:t>二、机遇与挑战</w:t>
      </w:r>
      <w:r>
        <w:rPr>
          <w:rFonts w:hint="eastAsia"/>
        </w:rPr>
        <w:tab/>
      </w:r>
      <w:r>
        <w:rPr>
          <w:rFonts w:hint="eastAsia"/>
        </w:rPr>
        <w:fldChar w:fldCharType="begin"/>
      </w:r>
      <w:r>
        <w:rPr>
          <w:rFonts w:hint="eastAsia"/>
        </w:rPr>
        <w:instrText xml:space="preserve"> </w:instrText>
      </w:r>
      <w:r>
        <w:instrText xml:space="preserve">PAGEREF _Toc177994361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10"/>
        <w:tabs>
          <w:tab w:val="right" w:leader="dot" w:pos="8296"/>
        </w:tabs>
        <w:rPr>
          <w:rStyle w:val="16"/>
          <w:rFonts w:hint="eastAsia" w:ascii="仿宋" w:hAnsi="仿宋" w:eastAsia="仿宋" w:cs="仿宋"/>
          <w:b/>
          <w:bCs/>
          <w:kern w:val="44"/>
        </w:rPr>
      </w:pPr>
      <w:r>
        <w:fldChar w:fldCharType="begin"/>
      </w:r>
      <w:r>
        <w:instrText xml:space="preserve"> HYPERLINK \l "_Toc177994362" </w:instrText>
      </w:r>
      <w:r>
        <w:fldChar w:fldCharType="separate"/>
      </w:r>
      <w:r>
        <w:rPr>
          <w:rStyle w:val="16"/>
          <w:rFonts w:hint="eastAsia" w:ascii="仿宋" w:hAnsi="仿宋" w:eastAsia="仿宋" w:cs="仿宋"/>
          <w:b/>
          <w:bCs/>
          <w:kern w:val="44"/>
        </w:rPr>
        <w:t>第二章  总体要求</w:t>
      </w:r>
      <w:r>
        <w:rPr>
          <w:rStyle w:val="16"/>
          <w:rFonts w:hint="eastAsia" w:ascii="仿宋" w:hAnsi="仿宋" w:eastAsia="仿宋" w:cs="仿宋"/>
          <w:b/>
          <w:bCs/>
          <w:kern w:val="44"/>
        </w:rPr>
        <w:tab/>
      </w:r>
      <w:r>
        <w:rPr>
          <w:rStyle w:val="16"/>
          <w:rFonts w:hint="eastAsia" w:ascii="仿宋" w:hAnsi="仿宋" w:eastAsia="仿宋" w:cs="仿宋"/>
          <w:b/>
          <w:bCs/>
          <w:kern w:val="44"/>
        </w:rPr>
        <w:fldChar w:fldCharType="begin"/>
      </w:r>
      <w:r>
        <w:rPr>
          <w:rStyle w:val="16"/>
          <w:rFonts w:hint="eastAsia" w:ascii="仿宋" w:hAnsi="仿宋" w:eastAsia="仿宋" w:cs="仿宋"/>
          <w:b/>
          <w:bCs/>
          <w:kern w:val="44"/>
        </w:rPr>
        <w:instrText xml:space="preserve"> </w:instrText>
      </w:r>
      <w:r>
        <w:rPr>
          <w:rStyle w:val="16"/>
          <w:rFonts w:ascii="仿宋" w:hAnsi="仿宋" w:eastAsia="仿宋" w:cs="仿宋"/>
          <w:b/>
          <w:bCs/>
          <w:kern w:val="44"/>
        </w:rPr>
        <w:instrText xml:space="preserve">PAGEREF _Toc177994362 \h</w:instrText>
      </w:r>
      <w:r>
        <w:rPr>
          <w:rStyle w:val="16"/>
          <w:rFonts w:hint="eastAsia" w:ascii="仿宋" w:hAnsi="仿宋" w:eastAsia="仿宋" w:cs="仿宋"/>
          <w:b/>
          <w:bCs/>
          <w:kern w:val="44"/>
        </w:rPr>
        <w:instrText xml:space="preserve"> </w:instrText>
      </w:r>
      <w:r>
        <w:rPr>
          <w:rStyle w:val="16"/>
          <w:rFonts w:hint="eastAsia" w:ascii="仿宋" w:hAnsi="仿宋" w:eastAsia="仿宋" w:cs="仿宋"/>
          <w:b/>
          <w:bCs/>
          <w:kern w:val="44"/>
        </w:rPr>
        <w:fldChar w:fldCharType="separate"/>
      </w:r>
      <w:r>
        <w:rPr>
          <w:rStyle w:val="16"/>
          <w:rFonts w:hint="eastAsia" w:ascii="仿宋" w:hAnsi="仿宋" w:eastAsia="仿宋" w:cs="仿宋"/>
          <w:b/>
          <w:bCs/>
          <w:kern w:val="44"/>
        </w:rPr>
        <w:t>5</w:t>
      </w:r>
      <w:r>
        <w:rPr>
          <w:rStyle w:val="16"/>
          <w:rFonts w:hint="eastAsia" w:ascii="仿宋" w:hAnsi="仿宋" w:eastAsia="仿宋" w:cs="仿宋"/>
          <w:b/>
          <w:bCs/>
          <w:kern w:val="44"/>
        </w:rPr>
        <w:fldChar w:fldCharType="end"/>
      </w:r>
      <w:r>
        <w:rPr>
          <w:rStyle w:val="16"/>
          <w:rFonts w:hint="eastAsia" w:ascii="仿宋" w:hAnsi="仿宋" w:eastAsia="仿宋" w:cs="仿宋"/>
          <w:b/>
          <w:bCs/>
          <w:kern w:val="44"/>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"_Toc177994363" </w:instrText>
      </w:r>
      <w:r>
        <w:fldChar w:fldCharType="separate"/>
      </w:r>
      <w:r>
        <w:rPr>
          <w:rStyle w:val="16"/>
          <w:rFonts w:hint="eastAsia" w:ascii="仿宋" w:hAnsi="仿宋" w:eastAsia="仿宋" w:cs="仿宋"/>
          <w:lang w:val="zh-TW"/>
        </w:rPr>
        <w:t>一、指导思想</w:t>
      </w:r>
      <w:r>
        <w:rPr>
          <w:rFonts w:hint="eastAsia"/>
        </w:rPr>
        <w:tab/>
      </w:r>
      <w:r>
        <w:rPr>
          <w:rFonts w:hint="eastAsia"/>
        </w:rPr>
        <w:fldChar w:fldCharType="begin"/>
      </w:r>
      <w:r>
        <w:rPr>
          <w:rFonts w:hint="eastAsia"/>
        </w:rPr>
        <w:instrText xml:space="preserve"> </w:instrText>
      </w:r>
      <w:r>
        <w:instrText xml:space="preserve">PAGEREF _Toc177994363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"_Toc177994364" </w:instrText>
      </w:r>
      <w:r>
        <w:fldChar w:fldCharType="separate"/>
      </w:r>
      <w:r>
        <w:rPr>
          <w:rStyle w:val="16"/>
          <w:rFonts w:hint="eastAsia" w:ascii="仿宋" w:hAnsi="仿宋" w:eastAsia="仿宋" w:cs="仿宋"/>
        </w:rPr>
        <w:t>二、规划原则</w:t>
      </w:r>
      <w:r>
        <w:rPr>
          <w:rFonts w:hint="eastAsia"/>
        </w:rPr>
        <w:tab/>
      </w:r>
      <w:r>
        <w:rPr>
          <w:rFonts w:hint="eastAsia"/>
        </w:rPr>
        <w:fldChar w:fldCharType="begin"/>
      </w:r>
      <w:r>
        <w:rPr>
          <w:rFonts w:hint="eastAsia"/>
        </w:rPr>
        <w:instrText xml:space="preserve"> </w:instrText>
      </w:r>
      <w:r>
        <w:instrText xml:space="preserve">PAGEREF _Toc177994364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"_Toc177994365" </w:instrText>
      </w:r>
      <w:r>
        <w:fldChar w:fldCharType="separate"/>
      </w:r>
      <w:r>
        <w:rPr>
          <w:rStyle w:val="16"/>
          <w:rFonts w:hint="eastAsia" w:ascii="仿宋" w:hAnsi="仿宋" w:eastAsia="仿宋" w:cs="仿宋"/>
        </w:rPr>
        <w:t>三、规划目标</w:t>
      </w:r>
      <w:r>
        <w:rPr>
          <w:rFonts w:hint="eastAsia"/>
        </w:rPr>
        <w:tab/>
      </w:r>
      <w:r>
        <w:rPr>
          <w:rFonts w:hint="eastAsia"/>
        </w:rPr>
        <w:fldChar w:fldCharType="begin"/>
      </w:r>
      <w:r>
        <w:rPr>
          <w:rFonts w:hint="eastAsia"/>
        </w:rPr>
        <w:instrText xml:space="preserve"> </w:instrText>
      </w:r>
      <w:r>
        <w:instrText xml:space="preserve">PAGEREF _Toc177994365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"_Toc177994366" </w:instrText>
      </w:r>
      <w:r>
        <w:fldChar w:fldCharType="separate"/>
      </w:r>
      <w:r>
        <w:rPr>
          <w:rStyle w:val="16"/>
          <w:rFonts w:hint="eastAsia" w:ascii="仿宋" w:hAnsi="仿宋" w:eastAsia="仿宋" w:cs="仿宋"/>
        </w:rPr>
        <w:t>四、空间布局</w:t>
      </w:r>
      <w:r>
        <w:rPr>
          <w:rFonts w:hint="eastAsia"/>
        </w:rPr>
        <w:tab/>
      </w:r>
      <w:r>
        <w:rPr>
          <w:rFonts w:hint="eastAsia"/>
        </w:rPr>
        <w:fldChar w:fldCharType="begin"/>
      </w:r>
      <w:r>
        <w:rPr>
          <w:rFonts w:hint="eastAsia"/>
        </w:rPr>
        <w:instrText xml:space="preserve"> </w:instrText>
      </w:r>
      <w:r>
        <w:instrText xml:space="preserve">PAGEREF _Toc177994366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"_Toc177994367" </w:instrText>
      </w:r>
      <w:r>
        <w:fldChar w:fldCharType="separate"/>
      </w:r>
      <w:r>
        <w:rPr>
          <w:rStyle w:val="16"/>
          <w:rFonts w:hint="eastAsia" w:ascii="仿宋" w:hAnsi="仿宋" w:eastAsia="仿宋" w:cs="仿宋"/>
        </w:rPr>
        <w:t>五、主要任务</w:t>
      </w:r>
      <w:r>
        <w:rPr>
          <w:rFonts w:hint="eastAsia"/>
        </w:rPr>
        <w:tab/>
      </w:r>
      <w:r>
        <w:rPr>
          <w:rFonts w:hint="eastAsia"/>
        </w:rPr>
        <w:fldChar w:fldCharType="begin"/>
      </w:r>
      <w:r>
        <w:rPr>
          <w:rFonts w:hint="eastAsia"/>
        </w:rPr>
        <w:instrText xml:space="preserve"> </w:instrText>
      </w:r>
      <w:r>
        <w:instrText xml:space="preserve">PAGEREF _Toc177994367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10"/>
        <w:tabs>
          <w:tab w:val="right" w:leader="dot" w:pos="8296"/>
        </w:tabs>
        <w:rPr>
          <w:rStyle w:val="16"/>
          <w:rFonts w:hint="eastAsia" w:ascii="仿宋" w:hAnsi="仿宋" w:eastAsia="仿宋" w:cs="仿宋"/>
          <w:b/>
          <w:bCs/>
          <w:kern w:val="44"/>
        </w:rPr>
      </w:pPr>
      <w:r>
        <w:fldChar w:fldCharType="begin"/>
      </w:r>
      <w:r>
        <w:instrText xml:space="preserve"> HYPERLINK \l "_Toc177994368" </w:instrText>
      </w:r>
      <w:r>
        <w:fldChar w:fldCharType="separate"/>
      </w:r>
      <w:r>
        <w:rPr>
          <w:rStyle w:val="16"/>
          <w:rFonts w:hint="eastAsia" w:ascii="仿宋" w:hAnsi="仿宋" w:eastAsia="仿宋" w:cs="仿宋"/>
          <w:b/>
          <w:bCs/>
          <w:kern w:val="44"/>
        </w:rPr>
        <w:t>第三章 全面保护林地</w:t>
      </w:r>
      <w:r>
        <w:rPr>
          <w:rStyle w:val="16"/>
          <w:rFonts w:hint="eastAsia" w:ascii="仿宋" w:hAnsi="仿宋" w:eastAsia="仿宋" w:cs="仿宋"/>
          <w:b/>
          <w:bCs/>
          <w:kern w:val="44"/>
        </w:rPr>
        <w:tab/>
      </w:r>
      <w:r>
        <w:rPr>
          <w:rStyle w:val="16"/>
          <w:rFonts w:hint="eastAsia" w:ascii="仿宋" w:hAnsi="仿宋" w:eastAsia="仿宋" w:cs="仿宋"/>
          <w:b/>
          <w:bCs/>
          <w:kern w:val="44"/>
        </w:rPr>
        <w:fldChar w:fldCharType="begin"/>
      </w:r>
      <w:r>
        <w:rPr>
          <w:rStyle w:val="16"/>
          <w:rFonts w:hint="eastAsia" w:ascii="仿宋" w:hAnsi="仿宋" w:eastAsia="仿宋" w:cs="仿宋"/>
          <w:b/>
          <w:bCs/>
          <w:kern w:val="44"/>
        </w:rPr>
        <w:instrText xml:space="preserve"> </w:instrText>
      </w:r>
      <w:r>
        <w:rPr>
          <w:rStyle w:val="16"/>
          <w:rFonts w:ascii="仿宋" w:hAnsi="仿宋" w:eastAsia="仿宋" w:cs="仿宋"/>
          <w:b/>
          <w:bCs/>
          <w:kern w:val="44"/>
        </w:rPr>
        <w:instrText xml:space="preserve">PAGEREF _Toc177994368 \h</w:instrText>
      </w:r>
      <w:r>
        <w:rPr>
          <w:rStyle w:val="16"/>
          <w:rFonts w:hint="eastAsia" w:ascii="仿宋" w:hAnsi="仿宋" w:eastAsia="仿宋" w:cs="仿宋"/>
          <w:b/>
          <w:bCs/>
          <w:kern w:val="44"/>
        </w:rPr>
        <w:instrText xml:space="preserve"> </w:instrText>
      </w:r>
      <w:r>
        <w:rPr>
          <w:rStyle w:val="16"/>
          <w:rFonts w:hint="eastAsia" w:ascii="仿宋" w:hAnsi="仿宋" w:eastAsia="仿宋" w:cs="仿宋"/>
          <w:b/>
          <w:bCs/>
          <w:kern w:val="44"/>
        </w:rPr>
        <w:fldChar w:fldCharType="separate"/>
      </w:r>
      <w:r>
        <w:rPr>
          <w:rStyle w:val="16"/>
          <w:rFonts w:hint="eastAsia" w:ascii="仿宋" w:hAnsi="仿宋" w:eastAsia="仿宋" w:cs="仿宋"/>
          <w:b/>
          <w:bCs/>
          <w:kern w:val="44"/>
        </w:rPr>
        <w:t>11</w:t>
      </w:r>
      <w:r>
        <w:rPr>
          <w:rStyle w:val="16"/>
          <w:rFonts w:hint="eastAsia" w:ascii="仿宋" w:hAnsi="仿宋" w:eastAsia="仿宋" w:cs="仿宋"/>
          <w:b/>
          <w:bCs/>
          <w:kern w:val="44"/>
        </w:rPr>
        <w:fldChar w:fldCharType="end"/>
      </w:r>
      <w:r>
        <w:rPr>
          <w:rStyle w:val="16"/>
          <w:rFonts w:hint="eastAsia" w:ascii="仿宋" w:hAnsi="仿宋" w:eastAsia="仿宋" w:cs="仿宋"/>
          <w:b/>
          <w:bCs/>
          <w:kern w:val="44"/>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"_Toc177994369" </w:instrText>
      </w:r>
      <w:r>
        <w:fldChar w:fldCharType="separate"/>
      </w:r>
      <w:r>
        <w:rPr>
          <w:rStyle w:val="16"/>
          <w:rFonts w:hint="eastAsia" w:ascii="仿宋" w:hAnsi="仿宋" w:eastAsia="仿宋" w:cs="仿宋"/>
          <w:lang w:val="zh-TW"/>
        </w:rPr>
        <w:t>一、明确林地边界，稳定京北绿色屏障</w:t>
      </w:r>
      <w:r>
        <w:rPr>
          <w:rFonts w:hint="eastAsia"/>
        </w:rPr>
        <w:tab/>
      </w:r>
      <w:r>
        <w:rPr>
          <w:rFonts w:hint="eastAsia"/>
        </w:rPr>
        <w:fldChar w:fldCharType="begin"/>
      </w:r>
      <w:r>
        <w:rPr>
          <w:rFonts w:hint="eastAsia"/>
        </w:rPr>
        <w:instrText xml:space="preserve"> </w:instrText>
      </w:r>
      <w:r>
        <w:instrText xml:space="preserve">PAGEREF _Toc177994369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"_Toc177994370" </w:instrText>
      </w:r>
      <w:r>
        <w:fldChar w:fldCharType="separate"/>
      </w:r>
      <w:r>
        <w:rPr>
          <w:rStyle w:val="16"/>
          <w:rFonts w:hint="eastAsia" w:ascii="仿宋" w:hAnsi="仿宋" w:eastAsia="仿宋" w:cs="仿宋"/>
        </w:rPr>
        <w:t>二</w:t>
      </w:r>
      <w:r>
        <w:rPr>
          <w:rStyle w:val="16"/>
          <w:rFonts w:hint="eastAsia" w:ascii="仿宋" w:hAnsi="仿宋" w:eastAsia="仿宋" w:cs="仿宋"/>
          <w:lang w:val="zh-TW"/>
        </w:rPr>
        <w:t>、坚持用途管制，限制林地逆转</w:t>
      </w:r>
      <w:r>
        <w:rPr>
          <w:rFonts w:hint="eastAsia"/>
        </w:rPr>
        <w:tab/>
      </w:r>
      <w:r>
        <w:rPr>
          <w:rFonts w:hint="eastAsia"/>
        </w:rPr>
        <w:fldChar w:fldCharType="begin"/>
      </w:r>
      <w:r>
        <w:rPr>
          <w:rFonts w:hint="eastAsia"/>
        </w:rPr>
        <w:instrText xml:space="preserve"> </w:instrText>
      </w:r>
      <w:r>
        <w:instrText xml:space="preserve">PAGEREF _Toc177994370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"_Toc177994371" </w:instrText>
      </w:r>
      <w:r>
        <w:fldChar w:fldCharType="separate"/>
      </w:r>
      <w:r>
        <w:rPr>
          <w:rStyle w:val="16"/>
          <w:rFonts w:hint="eastAsia" w:ascii="仿宋" w:hAnsi="仿宋" w:eastAsia="仿宋" w:cs="仿宋"/>
        </w:rPr>
        <w:t>三</w:t>
      </w:r>
      <w:r>
        <w:rPr>
          <w:rStyle w:val="16"/>
          <w:rFonts w:hint="eastAsia" w:ascii="仿宋" w:hAnsi="仿宋" w:eastAsia="仿宋" w:cs="仿宋"/>
          <w:lang w:val="zh-TW"/>
        </w:rPr>
        <w:t>、实行分级管理，规范林地保护</w:t>
      </w:r>
      <w:r>
        <w:rPr>
          <w:rFonts w:hint="eastAsia"/>
        </w:rPr>
        <w:tab/>
      </w:r>
      <w:r>
        <w:rPr>
          <w:rFonts w:hint="eastAsia"/>
        </w:rPr>
        <w:fldChar w:fldCharType="begin"/>
      </w:r>
      <w:r>
        <w:rPr>
          <w:rFonts w:hint="eastAsia"/>
        </w:rPr>
        <w:instrText xml:space="preserve"> </w:instrText>
      </w:r>
      <w:r>
        <w:instrText xml:space="preserve">PAGEREF _Toc177994371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"_Toc177994372" </w:instrText>
      </w:r>
      <w:r>
        <w:fldChar w:fldCharType="separate"/>
      </w:r>
      <w:r>
        <w:rPr>
          <w:rStyle w:val="16"/>
          <w:rFonts w:hint="eastAsia" w:ascii="仿宋" w:hAnsi="仿宋" w:eastAsia="仿宋" w:cs="仿宋"/>
        </w:rPr>
        <w:t>四、节约集约用地，精准管控林地使用</w:t>
      </w:r>
      <w:r>
        <w:rPr>
          <w:rFonts w:hint="eastAsia"/>
        </w:rPr>
        <w:tab/>
      </w:r>
      <w:r>
        <w:rPr>
          <w:rFonts w:hint="eastAsia"/>
        </w:rPr>
        <w:fldChar w:fldCharType="begin"/>
      </w:r>
      <w:r>
        <w:rPr>
          <w:rFonts w:hint="eastAsia"/>
        </w:rPr>
        <w:instrText xml:space="preserve"> </w:instrText>
      </w:r>
      <w:r>
        <w:instrText xml:space="preserve">PAGEREF _Toc177994372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"_Toc177994373" </w:instrText>
      </w:r>
      <w:r>
        <w:fldChar w:fldCharType="separate"/>
      </w:r>
      <w:r>
        <w:rPr>
          <w:rStyle w:val="16"/>
          <w:rFonts w:hint="eastAsia" w:ascii="仿宋" w:hAnsi="仿宋" w:eastAsia="仿宋" w:cs="仿宋"/>
        </w:rPr>
        <w:t>五</w:t>
      </w:r>
      <w:r>
        <w:rPr>
          <w:rStyle w:val="16"/>
          <w:rFonts w:hint="eastAsia" w:ascii="仿宋" w:hAnsi="仿宋" w:eastAsia="仿宋" w:cs="仿宋"/>
          <w:lang w:val="zh-TW"/>
        </w:rPr>
        <w:t>、积极补充林地，维持动态平衡</w:t>
      </w:r>
      <w:r>
        <w:rPr>
          <w:rFonts w:hint="eastAsia"/>
        </w:rPr>
        <w:tab/>
      </w:r>
      <w:r>
        <w:rPr>
          <w:rFonts w:hint="eastAsia"/>
        </w:rPr>
        <w:fldChar w:fldCharType="begin"/>
      </w:r>
      <w:r>
        <w:rPr>
          <w:rFonts w:hint="eastAsia"/>
        </w:rPr>
        <w:instrText xml:space="preserve"> </w:instrText>
      </w:r>
      <w:r>
        <w:instrText xml:space="preserve">PAGEREF _Toc177994373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pPr>
        <w:pStyle w:val="10"/>
        <w:tabs>
          <w:tab w:val="right" w:leader="dot" w:pos="8296"/>
        </w:tabs>
        <w:rPr>
          <w:rStyle w:val="16"/>
          <w:rFonts w:hint="eastAsia" w:ascii="仿宋" w:hAnsi="仿宋" w:eastAsia="仿宋" w:cs="仿宋"/>
          <w:b/>
          <w:bCs/>
          <w:kern w:val="44"/>
        </w:rPr>
      </w:pPr>
      <w:r>
        <w:fldChar w:fldCharType="begin"/>
      </w:r>
      <w:r>
        <w:instrText xml:space="preserve"> HYPERLINK \l "_Toc177994374" </w:instrText>
      </w:r>
      <w:r>
        <w:fldChar w:fldCharType="separate"/>
      </w:r>
      <w:r>
        <w:rPr>
          <w:rStyle w:val="16"/>
          <w:rFonts w:hint="eastAsia" w:ascii="仿宋" w:hAnsi="仿宋" w:eastAsia="仿宋" w:cs="仿宋"/>
          <w:b/>
          <w:bCs/>
          <w:kern w:val="44"/>
        </w:rPr>
        <w:t>第四章 高质量经营林地</w:t>
      </w:r>
      <w:r>
        <w:rPr>
          <w:rStyle w:val="16"/>
          <w:rFonts w:hint="eastAsia" w:ascii="仿宋" w:hAnsi="仿宋" w:eastAsia="仿宋" w:cs="仿宋"/>
          <w:b/>
          <w:bCs/>
          <w:kern w:val="44"/>
        </w:rPr>
        <w:tab/>
      </w:r>
      <w:r>
        <w:rPr>
          <w:rStyle w:val="16"/>
          <w:rFonts w:hint="eastAsia" w:ascii="仿宋" w:hAnsi="仿宋" w:eastAsia="仿宋" w:cs="仿宋"/>
          <w:b/>
          <w:bCs/>
          <w:kern w:val="44"/>
        </w:rPr>
        <w:fldChar w:fldCharType="begin"/>
      </w:r>
      <w:r>
        <w:rPr>
          <w:rStyle w:val="16"/>
          <w:rFonts w:hint="eastAsia" w:ascii="仿宋" w:hAnsi="仿宋" w:eastAsia="仿宋" w:cs="仿宋"/>
          <w:b/>
          <w:bCs/>
          <w:kern w:val="44"/>
        </w:rPr>
        <w:instrText xml:space="preserve"> </w:instrText>
      </w:r>
      <w:r>
        <w:rPr>
          <w:rStyle w:val="16"/>
          <w:rFonts w:ascii="仿宋" w:hAnsi="仿宋" w:eastAsia="仿宋" w:cs="仿宋"/>
          <w:b/>
          <w:bCs/>
          <w:kern w:val="44"/>
        </w:rPr>
        <w:instrText xml:space="preserve">PAGEREF _Toc177994374 \h</w:instrText>
      </w:r>
      <w:r>
        <w:rPr>
          <w:rStyle w:val="16"/>
          <w:rFonts w:hint="eastAsia" w:ascii="仿宋" w:hAnsi="仿宋" w:eastAsia="仿宋" w:cs="仿宋"/>
          <w:b/>
          <w:bCs/>
          <w:kern w:val="44"/>
        </w:rPr>
        <w:instrText xml:space="preserve"> </w:instrText>
      </w:r>
      <w:r>
        <w:rPr>
          <w:rStyle w:val="16"/>
          <w:rFonts w:hint="eastAsia" w:ascii="仿宋" w:hAnsi="仿宋" w:eastAsia="仿宋" w:cs="仿宋"/>
          <w:b/>
          <w:bCs/>
          <w:kern w:val="44"/>
        </w:rPr>
        <w:fldChar w:fldCharType="separate"/>
      </w:r>
      <w:r>
        <w:rPr>
          <w:rStyle w:val="16"/>
          <w:rFonts w:hint="eastAsia" w:ascii="仿宋" w:hAnsi="仿宋" w:eastAsia="仿宋" w:cs="仿宋"/>
          <w:b/>
          <w:bCs/>
          <w:kern w:val="44"/>
        </w:rPr>
        <w:t>18</w:t>
      </w:r>
      <w:r>
        <w:rPr>
          <w:rStyle w:val="16"/>
          <w:rFonts w:hint="eastAsia" w:ascii="仿宋" w:hAnsi="仿宋" w:eastAsia="仿宋" w:cs="仿宋"/>
          <w:b/>
          <w:bCs/>
          <w:kern w:val="44"/>
        </w:rPr>
        <w:fldChar w:fldCharType="end"/>
      </w:r>
      <w:r>
        <w:rPr>
          <w:rStyle w:val="16"/>
          <w:rFonts w:hint="eastAsia" w:ascii="仿宋" w:hAnsi="仿宋" w:eastAsia="仿宋" w:cs="仿宋"/>
          <w:b/>
          <w:bCs/>
          <w:kern w:val="44"/>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"_Toc177994375" </w:instrText>
      </w:r>
      <w:r>
        <w:fldChar w:fldCharType="separate"/>
      </w:r>
      <w:r>
        <w:rPr>
          <w:rStyle w:val="16"/>
          <w:rFonts w:hint="eastAsia" w:ascii="仿宋" w:hAnsi="仿宋" w:eastAsia="仿宋" w:cs="仿宋"/>
        </w:rPr>
        <w:t>一、实施森林可持续经营</w:t>
      </w:r>
      <w:r>
        <w:rPr>
          <w:rFonts w:hint="eastAsia"/>
        </w:rPr>
        <w:tab/>
      </w:r>
      <w:r>
        <w:rPr>
          <w:rFonts w:hint="eastAsia"/>
        </w:rPr>
        <w:fldChar w:fldCharType="begin"/>
      </w:r>
      <w:r>
        <w:rPr>
          <w:rFonts w:hint="eastAsia"/>
        </w:rPr>
        <w:instrText xml:space="preserve"> </w:instrText>
      </w:r>
      <w:r>
        <w:instrText xml:space="preserve">PAGEREF _Toc177994375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"_Toc177994376" </w:instrText>
      </w:r>
      <w:r>
        <w:fldChar w:fldCharType="separate"/>
      </w:r>
      <w:r>
        <w:rPr>
          <w:rStyle w:val="16"/>
          <w:rFonts w:hint="eastAsia" w:ascii="仿宋" w:hAnsi="仿宋" w:eastAsia="仿宋" w:cs="仿宋"/>
        </w:rPr>
        <w:t>二、提高林地质量</w:t>
      </w:r>
      <w:r>
        <w:rPr>
          <w:rFonts w:hint="eastAsia"/>
        </w:rPr>
        <w:tab/>
      </w:r>
      <w:r>
        <w:rPr>
          <w:rFonts w:hint="eastAsia"/>
        </w:rPr>
        <w:fldChar w:fldCharType="begin"/>
      </w:r>
      <w:r>
        <w:rPr>
          <w:rFonts w:hint="eastAsia"/>
        </w:rPr>
        <w:instrText xml:space="preserve"> </w:instrText>
      </w:r>
      <w:r>
        <w:instrText xml:space="preserve">PAGEREF _Toc177994376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"_Toc177994377" </w:instrText>
      </w:r>
      <w:r>
        <w:fldChar w:fldCharType="separate"/>
      </w:r>
      <w:r>
        <w:rPr>
          <w:rStyle w:val="16"/>
          <w:rFonts w:hint="eastAsia" w:ascii="仿宋" w:hAnsi="仿宋" w:eastAsia="仿宋" w:cs="仿宋"/>
        </w:rPr>
        <w:t>三、实行差别化管理</w:t>
      </w:r>
      <w:r>
        <w:rPr>
          <w:rFonts w:hint="eastAsia"/>
        </w:rPr>
        <w:tab/>
      </w:r>
      <w:r>
        <w:rPr>
          <w:rFonts w:hint="eastAsia"/>
        </w:rPr>
        <w:fldChar w:fldCharType="begin"/>
      </w:r>
      <w:r>
        <w:rPr>
          <w:rFonts w:hint="eastAsia"/>
        </w:rPr>
        <w:instrText xml:space="preserve"> </w:instrText>
      </w:r>
      <w:r>
        <w:instrText xml:space="preserve">PAGEREF _Toc177994377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"_Toc177994378" </w:instrText>
      </w:r>
      <w:r>
        <w:fldChar w:fldCharType="separate"/>
      </w:r>
      <w:r>
        <w:rPr>
          <w:rStyle w:val="16"/>
          <w:rFonts w:hint="eastAsia" w:ascii="仿宋" w:hAnsi="仿宋" w:eastAsia="仿宋" w:cs="仿宋"/>
        </w:rPr>
        <w:t>四、加强林地和森林安全</w:t>
      </w:r>
      <w:r>
        <w:rPr>
          <w:rFonts w:hint="eastAsia"/>
        </w:rPr>
        <w:tab/>
      </w:r>
      <w:r>
        <w:rPr>
          <w:rFonts w:hint="eastAsia"/>
        </w:rPr>
        <w:fldChar w:fldCharType="begin"/>
      </w:r>
      <w:r>
        <w:rPr>
          <w:rFonts w:hint="eastAsia"/>
        </w:rPr>
        <w:instrText xml:space="preserve"> </w:instrText>
      </w:r>
      <w:r>
        <w:instrText xml:space="preserve">PAGEREF _Toc177994378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pPr>
        <w:pStyle w:val="10"/>
        <w:tabs>
          <w:tab w:val="right" w:leader="dot" w:pos="8296"/>
        </w:tabs>
        <w:rPr>
          <w:rStyle w:val="16"/>
          <w:rFonts w:hint="eastAsia" w:ascii="仿宋" w:hAnsi="仿宋" w:eastAsia="仿宋" w:cs="仿宋"/>
          <w:b/>
          <w:bCs/>
          <w:kern w:val="44"/>
        </w:rPr>
      </w:pPr>
      <w:r>
        <w:fldChar w:fldCharType="begin"/>
      </w:r>
      <w:r>
        <w:instrText xml:space="preserve"> HYPERLINK \l "_Toc177994379" </w:instrText>
      </w:r>
      <w:r>
        <w:fldChar w:fldCharType="separate"/>
      </w:r>
      <w:r>
        <w:rPr>
          <w:rStyle w:val="16"/>
          <w:rFonts w:hint="eastAsia" w:ascii="仿宋" w:hAnsi="仿宋" w:eastAsia="仿宋" w:cs="仿宋"/>
          <w:b/>
          <w:bCs/>
          <w:kern w:val="44"/>
        </w:rPr>
        <w:t>第五章 合理利用林地</w:t>
      </w:r>
      <w:r>
        <w:rPr>
          <w:rStyle w:val="16"/>
          <w:rFonts w:hint="eastAsia" w:ascii="仿宋" w:hAnsi="仿宋" w:eastAsia="仿宋" w:cs="仿宋"/>
          <w:b/>
          <w:bCs/>
          <w:kern w:val="44"/>
        </w:rPr>
        <w:tab/>
      </w:r>
      <w:r>
        <w:rPr>
          <w:rStyle w:val="16"/>
          <w:rFonts w:hint="eastAsia" w:ascii="仿宋" w:hAnsi="仿宋" w:eastAsia="仿宋" w:cs="仿宋"/>
          <w:b/>
          <w:bCs/>
          <w:kern w:val="44"/>
        </w:rPr>
        <w:fldChar w:fldCharType="begin"/>
      </w:r>
      <w:r>
        <w:rPr>
          <w:rStyle w:val="16"/>
          <w:rFonts w:hint="eastAsia" w:ascii="仿宋" w:hAnsi="仿宋" w:eastAsia="仿宋" w:cs="仿宋"/>
          <w:b/>
          <w:bCs/>
          <w:kern w:val="44"/>
        </w:rPr>
        <w:instrText xml:space="preserve"> </w:instrText>
      </w:r>
      <w:r>
        <w:rPr>
          <w:rStyle w:val="16"/>
          <w:rFonts w:ascii="仿宋" w:hAnsi="仿宋" w:eastAsia="仿宋" w:cs="仿宋"/>
          <w:b/>
          <w:bCs/>
          <w:kern w:val="44"/>
        </w:rPr>
        <w:instrText xml:space="preserve">PAGEREF _Toc177994379 \h</w:instrText>
      </w:r>
      <w:r>
        <w:rPr>
          <w:rStyle w:val="16"/>
          <w:rFonts w:hint="eastAsia" w:ascii="仿宋" w:hAnsi="仿宋" w:eastAsia="仿宋" w:cs="仿宋"/>
          <w:b/>
          <w:bCs/>
          <w:kern w:val="44"/>
        </w:rPr>
        <w:instrText xml:space="preserve"> </w:instrText>
      </w:r>
      <w:r>
        <w:rPr>
          <w:rStyle w:val="16"/>
          <w:rFonts w:hint="eastAsia" w:ascii="仿宋" w:hAnsi="仿宋" w:eastAsia="仿宋" w:cs="仿宋"/>
          <w:b/>
          <w:bCs/>
          <w:kern w:val="44"/>
        </w:rPr>
        <w:fldChar w:fldCharType="separate"/>
      </w:r>
      <w:r>
        <w:rPr>
          <w:rStyle w:val="16"/>
          <w:rFonts w:hint="eastAsia" w:ascii="仿宋" w:hAnsi="仿宋" w:eastAsia="仿宋" w:cs="仿宋"/>
          <w:b/>
          <w:bCs/>
          <w:kern w:val="44"/>
        </w:rPr>
        <w:t>24</w:t>
      </w:r>
      <w:r>
        <w:rPr>
          <w:rStyle w:val="16"/>
          <w:rFonts w:hint="eastAsia" w:ascii="仿宋" w:hAnsi="仿宋" w:eastAsia="仿宋" w:cs="仿宋"/>
          <w:b/>
          <w:bCs/>
          <w:kern w:val="44"/>
        </w:rPr>
        <w:fldChar w:fldCharType="end"/>
      </w:r>
      <w:r>
        <w:rPr>
          <w:rStyle w:val="16"/>
          <w:rFonts w:hint="eastAsia" w:ascii="仿宋" w:hAnsi="仿宋" w:eastAsia="仿宋" w:cs="仿宋"/>
          <w:b/>
          <w:bCs/>
          <w:kern w:val="44"/>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"_Toc177994380" </w:instrText>
      </w:r>
      <w:r>
        <w:fldChar w:fldCharType="separate"/>
      </w:r>
      <w:r>
        <w:rPr>
          <w:rStyle w:val="16"/>
          <w:rFonts w:hint="eastAsia" w:ascii="仿宋" w:hAnsi="仿宋" w:eastAsia="仿宋" w:cs="仿宋"/>
        </w:rPr>
        <w:t>一、优化林地结构</w:t>
      </w:r>
      <w:r>
        <w:rPr>
          <w:rFonts w:hint="eastAsia"/>
        </w:rPr>
        <w:tab/>
      </w:r>
      <w:r>
        <w:rPr>
          <w:rFonts w:hint="eastAsia"/>
        </w:rPr>
        <w:fldChar w:fldCharType="begin"/>
      </w:r>
      <w:r>
        <w:rPr>
          <w:rFonts w:hint="eastAsia"/>
        </w:rPr>
        <w:instrText xml:space="preserve"> </w:instrText>
      </w:r>
      <w:r>
        <w:instrText xml:space="preserve">PAGEREF _Toc177994380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"_Toc177994381" </w:instrText>
      </w:r>
      <w:r>
        <w:fldChar w:fldCharType="separate"/>
      </w:r>
      <w:r>
        <w:rPr>
          <w:rStyle w:val="16"/>
          <w:rFonts w:hint="eastAsia" w:ascii="仿宋" w:hAnsi="仿宋" w:eastAsia="仿宋" w:cs="仿宋"/>
        </w:rPr>
        <w:t>二、保障重点用地</w:t>
      </w:r>
      <w:r>
        <w:rPr>
          <w:rFonts w:hint="eastAsia"/>
        </w:rPr>
        <w:tab/>
      </w:r>
      <w:r>
        <w:rPr>
          <w:rFonts w:hint="eastAsia"/>
        </w:rPr>
        <w:fldChar w:fldCharType="begin"/>
      </w:r>
      <w:r>
        <w:rPr>
          <w:rFonts w:hint="eastAsia"/>
        </w:rPr>
        <w:instrText xml:space="preserve"> </w:instrText>
      </w:r>
      <w:r>
        <w:instrText xml:space="preserve">PAGEREF _Toc177994381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"_Toc177994382" </w:instrText>
      </w:r>
      <w:r>
        <w:fldChar w:fldCharType="separate"/>
      </w:r>
      <w:r>
        <w:rPr>
          <w:rStyle w:val="16"/>
          <w:rFonts w:hint="eastAsia" w:ascii="仿宋" w:hAnsi="仿宋" w:eastAsia="仿宋" w:cs="仿宋"/>
        </w:rPr>
        <w:t>三、持续利用资源</w:t>
      </w:r>
      <w:r>
        <w:rPr>
          <w:rFonts w:hint="eastAsia"/>
        </w:rPr>
        <w:tab/>
      </w:r>
      <w:r>
        <w:rPr>
          <w:rFonts w:hint="eastAsia"/>
        </w:rPr>
        <w:fldChar w:fldCharType="begin"/>
      </w:r>
      <w:r>
        <w:rPr>
          <w:rFonts w:hint="eastAsia"/>
        </w:rPr>
        <w:instrText xml:space="preserve"> </w:instrText>
      </w:r>
      <w:r>
        <w:instrText xml:space="preserve">PAGEREF _Toc177994382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pPr>
        <w:pStyle w:val="10"/>
        <w:tabs>
          <w:tab w:val="right" w:leader="dot" w:pos="8296"/>
        </w:tabs>
        <w:rPr>
          <w:rStyle w:val="16"/>
          <w:rFonts w:hint="eastAsia" w:ascii="仿宋" w:hAnsi="仿宋" w:eastAsia="仿宋" w:cs="仿宋"/>
          <w:b/>
          <w:bCs/>
          <w:kern w:val="44"/>
        </w:rPr>
      </w:pPr>
      <w:r>
        <w:fldChar w:fldCharType="begin"/>
      </w:r>
      <w:r>
        <w:instrText xml:space="preserve"> HYPERLINK \l "_Toc177994383" </w:instrText>
      </w:r>
      <w:r>
        <w:fldChar w:fldCharType="separate"/>
      </w:r>
      <w:r>
        <w:rPr>
          <w:rStyle w:val="16"/>
          <w:rFonts w:hint="eastAsia" w:ascii="仿宋" w:hAnsi="仿宋" w:eastAsia="仿宋" w:cs="仿宋"/>
          <w:b/>
          <w:bCs/>
          <w:kern w:val="44"/>
        </w:rPr>
        <w:t>第六章 加强重点工程和能力建设</w:t>
      </w:r>
      <w:r>
        <w:rPr>
          <w:rStyle w:val="16"/>
          <w:rFonts w:hint="eastAsia" w:ascii="仿宋" w:hAnsi="仿宋" w:eastAsia="仿宋" w:cs="仿宋"/>
          <w:b/>
          <w:bCs/>
          <w:kern w:val="44"/>
        </w:rPr>
        <w:tab/>
      </w:r>
      <w:r>
        <w:rPr>
          <w:rStyle w:val="16"/>
          <w:rFonts w:hint="eastAsia" w:ascii="仿宋" w:hAnsi="仿宋" w:eastAsia="仿宋" w:cs="仿宋"/>
          <w:b/>
          <w:bCs/>
          <w:kern w:val="44"/>
        </w:rPr>
        <w:fldChar w:fldCharType="begin"/>
      </w:r>
      <w:r>
        <w:rPr>
          <w:rStyle w:val="16"/>
          <w:rFonts w:hint="eastAsia" w:ascii="仿宋" w:hAnsi="仿宋" w:eastAsia="仿宋" w:cs="仿宋"/>
          <w:b/>
          <w:bCs/>
          <w:kern w:val="44"/>
        </w:rPr>
        <w:instrText xml:space="preserve"> </w:instrText>
      </w:r>
      <w:r>
        <w:rPr>
          <w:rStyle w:val="16"/>
          <w:rFonts w:ascii="仿宋" w:hAnsi="仿宋" w:eastAsia="仿宋" w:cs="仿宋"/>
          <w:b/>
          <w:bCs/>
          <w:kern w:val="44"/>
        </w:rPr>
        <w:instrText xml:space="preserve">PAGEREF _Toc177994383 \h</w:instrText>
      </w:r>
      <w:r>
        <w:rPr>
          <w:rStyle w:val="16"/>
          <w:rFonts w:hint="eastAsia" w:ascii="仿宋" w:hAnsi="仿宋" w:eastAsia="仿宋" w:cs="仿宋"/>
          <w:b/>
          <w:bCs/>
          <w:kern w:val="44"/>
        </w:rPr>
        <w:instrText xml:space="preserve"> </w:instrText>
      </w:r>
      <w:r>
        <w:rPr>
          <w:rStyle w:val="16"/>
          <w:rFonts w:hint="eastAsia" w:ascii="仿宋" w:hAnsi="仿宋" w:eastAsia="仿宋" w:cs="仿宋"/>
          <w:b/>
          <w:bCs/>
          <w:kern w:val="44"/>
        </w:rPr>
        <w:fldChar w:fldCharType="separate"/>
      </w:r>
      <w:r>
        <w:rPr>
          <w:rStyle w:val="16"/>
          <w:rFonts w:hint="eastAsia" w:ascii="仿宋" w:hAnsi="仿宋" w:eastAsia="仿宋" w:cs="仿宋"/>
          <w:b/>
          <w:bCs/>
          <w:kern w:val="44"/>
        </w:rPr>
        <w:t>28</w:t>
      </w:r>
      <w:r>
        <w:rPr>
          <w:rStyle w:val="16"/>
          <w:rFonts w:hint="eastAsia" w:ascii="仿宋" w:hAnsi="仿宋" w:eastAsia="仿宋" w:cs="仿宋"/>
          <w:b/>
          <w:bCs/>
          <w:kern w:val="44"/>
        </w:rPr>
        <w:fldChar w:fldCharType="end"/>
      </w:r>
      <w:r>
        <w:rPr>
          <w:rStyle w:val="16"/>
          <w:rFonts w:hint="eastAsia" w:ascii="仿宋" w:hAnsi="仿宋" w:eastAsia="仿宋" w:cs="仿宋"/>
          <w:b/>
          <w:bCs/>
          <w:kern w:val="44"/>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"_Toc177994384" </w:instrText>
      </w:r>
      <w:r>
        <w:fldChar w:fldCharType="separate"/>
      </w:r>
      <w:r>
        <w:rPr>
          <w:rStyle w:val="16"/>
          <w:rFonts w:hint="eastAsia" w:ascii="仿宋" w:hAnsi="仿宋" w:eastAsia="仿宋" w:cs="仿宋"/>
        </w:rPr>
        <w:t>一、重点工程建设</w:t>
      </w:r>
      <w:r>
        <w:rPr>
          <w:rFonts w:hint="eastAsia"/>
        </w:rPr>
        <w:tab/>
      </w:r>
      <w:r>
        <w:rPr>
          <w:rFonts w:hint="eastAsia"/>
        </w:rPr>
        <w:fldChar w:fldCharType="begin"/>
      </w:r>
      <w:r>
        <w:rPr>
          <w:rFonts w:hint="eastAsia"/>
        </w:rPr>
        <w:instrText xml:space="preserve"> </w:instrText>
      </w:r>
      <w:r>
        <w:instrText xml:space="preserve">PAGEREF _Toc177994384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"_Toc177994385" </w:instrText>
      </w:r>
      <w:r>
        <w:fldChar w:fldCharType="separate"/>
      </w:r>
      <w:r>
        <w:rPr>
          <w:rStyle w:val="16"/>
          <w:rFonts w:hint="eastAsia" w:ascii="仿宋" w:hAnsi="仿宋" w:eastAsia="仿宋" w:cs="仿宋"/>
        </w:rPr>
        <w:t>二、加强能力建设</w:t>
      </w:r>
      <w:r>
        <w:rPr>
          <w:rFonts w:hint="eastAsia"/>
        </w:rPr>
        <w:tab/>
      </w:r>
      <w:r>
        <w:rPr>
          <w:rFonts w:hint="eastAsia"/>
        </w:rPr>
        <w:fldChar w:fldCharType="begin"/>
      </w:r>
      <w:r>
        <w:rPr>
          <w:rFonts w:hint="eastAsia"/>
        </w:rPr>
        <w:instrText xml:space="preserve"> </w:instrText>
      </w:r>
      <w:r>
        <w:instrText xml:space="preserve">PAGEREF _Toc177994385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10"/>
        <w:tabs>
          <w:tab w:val="right" w:leader="dot" w:pos="8296"/>
        </w:tabs>
        <w:rPr>
          <w:rStyle w:val="16"/>
          <w:rFonts w:hint="eastAsia" w:ascii="仿宋" w:hAnsi="仿宋" w:eastAsia="仿宋" w:cs="仿宋"/>
          <w:b/>
          <w:bCs/>
          <w:kern w:val="44"/>
        </w:rPr>
      </w:pPr>
      <w:r>
        <w:fldChar w:fldCharType="begin"/>
      </w:r>
      <w:r>
        <w:instrText xml:space="preserve"> HYPERLINK \l "_Toc177994386" </w:instrText>
      </w:r>
      <w:r>
        <w:fldChar w:fldCharType="separate"/>
      </w:r>
      <w:r>
        <w:rPr>
          <w:rStyle w:val="16"/>
          <w:rFonts w:hint="eastAsia" w:ascii="仿宋" w:hAnsi="仿宋" w:eastAsia="仿宋" w:cs="仿宋"/>
          <w:b/>
          <w:bCs/>
          <w:kern w:val="44"/>
        </w:rPr>
        <w:t>第七章 规范林地外林木资源管理</w:t>
      </w:r>
      <w:r>
        <w:rPr>
          <w:rStyle w:val="16"/>
          <w:rFonts w:hint="eastAsia" w:ascii="仿宋" w:hAnsi="仿宋" w:eastAsia="仿宋" w:cs="仿宋"/>
          <w:b/>
          <w:bCs/>
          <w:kern w:val="44"/>
        </w:rPr>
        <w:tab/>
      </w:r>
      <w:r>
        <w:rPr>
          <w:rStyle w:val="16"/>
          <w:rFonts w:hint="eastAsia" w:ascii="仿宋" w:hAnsi="仿宋" w:eastAsia="仿宋" w:cs="仿宋"/>
          <w:b/>
          <w:bCs/>
          <w:kern w:val="44"/>
        </w:rPr>
        <w:fldChar w:fldCharType="begin"/>
      </w:r>
      <w:r>
        <w:rPr>
          <w:rStyle w:val="16"/>
          <w:rFonts w:hint="eastAsia" w:ascii="仿宋" w:hAnsi="仿宋" w:eastAsia="仿宋" w:cs="仿宋"/>
          <w:b/>
          <w:bCs/>
          <w:kern w:val="44"/>
        </w:rPr>
        <w:instrText xml:space="preserve"> </w:instrText>
      </w:r>
      <w:r>
        <w:rPr>
          <w:rStyle w:val="16"/>
          <w:rFonts w:ascii="仿宋" w:hAnsi="仿宋" w:eastAsia="仿宋" w:cs="仿宋"/>
          <w:b/>
          <w:bCs/>
          <w:kern w:val="44"/>
        </w:rPr>
        <w:instrText xml:space="preserve">PAGEREF _Toc177994386 \h</w:instrText>
      </w:r>
      <w:r>
        <w:rPr>
          <w:rStyle w:val="16"/>
          <w:rFonts w:hint="eastAsia" w:ascii="仿宋" w:hAnsi="仿宋" w:eastAsia="仿宋" w:cs="仿宋"/>
          <w:b/>
          <w:bCs/>
          <w:kern w:val="44"/>
        </w:rPr>
        <w:instrText xml:space="preserve"> </w:instrText>
      </w:r>
      <w:r>
        <w:rPr>
          <w:rStyle w:val="16"/>
          <w:rFonts w:hint="eastAsia" w:ascii="仿宋" w:hAnsi="仿宋" w:eastAsia="仿宋" w:cs="仿宋"/>
          <w:b/>
          <w:bCs/>
          <w:kern w:val="44"/>
        </w:rPr>
        <w:fldChar w:fldCharType="separate"/>
      </w:r>
      <w:r>
        <w:rPr>
          <w:rStyle w:val="16"/>
          <w:rFonts w:hint="eastAsia" w:ascii="仿宋" w:hAnsi="仿宋" w:eastAsia="仿宋" w:cs="仿宋"/>
          <w:b/>
          <w:bCs/>
          <w:kern w:val="44"/>
        </w:rPr>
        <w:t>33</w:t>
      </w:r>
      <w:r>
        <w:rPr>
          <w:rStyle w:val="16"/>
          <w:rFonts w:hint="eastAsia" w:ascii="仿宋" w:hAnsi="仿宋" w:eastAsia="仿宋" w:cs="仿宋"/>
          <w:b/>
          <w:bCs/>
          <w:kern w:val="44"/>
        </w:rPr>
        <w:fldChar w:fldCharType="end"/>
      </w:r>
      <w:r>
        <w:rPr>
          <w:rStyle w:val="16"/>
          <w:rFonts w:hint="eastAsia" w:ascii="仿宋" w:hAnsi="仿宋" w:eastAsia="仿宋" w:cs="仿宋"/>
          <w:b/>
          <w:bCs/>
          <w:kern w:val="44"/>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"_Toc177994387" </w:instrText>
      </w:r>
      <w:r>
        <w:fldChar w:fldCharType="separate"/>
      </w:r>
      <w:r>
        <w:rPr>
          <w:rStyle w:val="16"/>
          <w:rFonts w:hint="eastAsia" w:ascii="仿宋" w:hAnsi="仿宋" w:eastAsia="仿宋" w:cs="仿宋"/>
        </w:rPr>
        <w:t>一、</w:t>
      </w:r>
      <w:r>
        <w:rPr>
          <w:rStyle w:val="16"/>
          <w:rFonts w:hint="eastAsia" w:ascii="仿宋" w:hAnsi="仿宋" w:eastAsia="仿宋" w:cs="仿宋"/>
          <w:lang w:val="zh-TW"/>
        </w:rPr>
        <w:t>理顺经营管理机制</w:t>
      </w:r>
      <w:r>
        <w:rPr>
          <w:rFonts w:hint="eastAsia"/>
        </w:rPr>
        <w:tab/>
      </w:r>
      <w:r>
        <w:rPr>
          <w:rFonts w:hint="eastAsia"/>
        </w:rPr>
        <w:fldChar w:fldCharType="begin"/>
      </w:r>
      <w:r>
        <w:rPr>
          <w:rFonts w:hint="eastAsia"/>
        </w:rPr>
        <w:instrText xml:space="preserve"> </w:instrText>
      </w:r>
      <w:r>
        <w:instrText xml:space="preserve">PAGEREF _Toc177994387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"_Toc177994388" </w:instrText>
      </w:r>
      <w:r>
        <w:fldChar w:fldCharType="separate"/>
      </w:r>
      <w:r>
        <w:rPr>
          <w:rStyle w:val="16"/>
          <w:rFonts w:hint="eastAsia" w:ascii="仿宋" w:hAnsi="仿宋" w:eastAsia="仿宋" w:cs="仿宋"/>
        </w:rPr>
        <w:t>二</w:t>
      </w:r>
      <w:r>
        <w:rPr>
          <w:rStyle w:val="16"/>
          <w:rFonts w:hint="eastAsia" w:ascii="仿宋" w:hAnsi="仿宋" w:eastAsia="仿宋" w:cs="仿宋"/>
          <w:lang w:val="zh-TW"/>
        </w:rPr>
        <w:t>、规范林地外林木资源经营</w:t>
      </w:r>
      <w:r>
        <w:rPr>
          <w:rFonts w:hint="eastAsia"/>
        </w:rPr>
        <w:tab/>
      </w:r>
      <w:r>
        <w:rPr>
          <w:rFonts w:hint="eastAsia"/>
        </w:rPr>
        <w:fldChar w:fldCharType="begin"/>
      </w:r>
      <w:r>
        <w:rPr>
          <w:rFonts w:hint="eastAsia"/>
        </w:rPr>
        <w:instrText xml:space="preserve"> </w:instrText>
      </w:r>
      <w:r>
        <w:instrText xml:space="preserve">PAGEREF _Toc177994388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10"/>
        <w:tabs>
          <w:tab w:val="right" w:leader="dot" w:pos="8296"/>
        </w:tabs>
        <w:rPr>
          <w:rStyle w:val="16"/>
          <w:rFonts w:hint="eastAsia" w:ascii="仿宋" w:hAnsi="仿宋" w:eastAsia="仿宋" w:cs="仿宋"/>
          <w:b/>
          <w:bCs/>
          <w:kern w:val="44"/>
        </w:rPr>
      </w:pPr>
      <w:r>
        <w:fldChar w:fldCharType="begin"/>
      </w:r>
      <w:r>
        <w:instrText xml:space="preserve"> HYPERLINK \l "_Toc177994389" </w:instrText>
      </w:r>
      <w:r>
        <w:fldChar w:fldCharType="separate"/>
      </w:r>
      <w:r>
        <w:rPr>
          <w:rStyle w:val="16"/>
          <w:rFonts w:hint="eastAsia" w:ascii="仿宋" w:hAnsi="仿宋" w:eastAsia="仿宋" w:cs="仿宋"/>
          <w:b/>
          <w:bCs/>
          <w:kern w:val="44"/>
        </w:rPr>
        <w:t>第八章 保障措施</w:t>
      </w:r>
      <w:r>
        <w:rPr>
          <w:rStyle w:val="16"/>
          <w:rFonts w:hint="eastAsia" w:ascii="仿宋" w:hAnsi="仿宋" w:eastAsia="仿宋" w:cs="仿宋"/>
          <w:b/>
          <w:bCs/>
          <w:kern w:val="44"/>
        </w:rPr>
        <w:tab/>
      </w:r>
      <w:r>
        <w:rPr>
          <w:rStyle w:val="16"/>
          <w:rFonts w:hint="eastAsia" w:ascii="仿宋" w:hAnsi="仿宋" w:eastAsia="仿宋" w:cs="仿宋"/>
          <w:b/>
          <w:bCs/>
          <w:kern w:val="44"/>
        </w:rPr>
        <w:fldChar w:fldCharType="begin"/>
      </w:r>
      <w:r>
        <w:rPr>
          <w:rStyle w:val="16"/>
          <w:rFonts w:hint="eastAsia" w:ascii="仿宋" w:hAnsi="仿宋" w:eastAsia="仿宋" w:cs="仿宋"/>
          <w:b/>
          <w:bCs/>
          <w:kern w:val="44"/>
        </w:rPr>
        <w:instrText xml:space="preserve"> </w:instrText>
      </w:r>
      <w:r>
        <w:rPr>
          <w:rStyle w:val="16"/>
          <w:rFonts w:ascii="仿宋" w:hAnsi="仿宋" w:eastAsia="仿宋" w:cs="仿宋"/>
          <w:b/>
          <w:bCs/>
          <w:kern w:val="44"/>
        </w:rPr>
        <w:instrText xml:space="preserve">PAGEREF _Toc177994389 \h</w:instrText>
      </w:r>
      <w:r>
        <w:rPr>
          <w:rStyle w:val="16"/>
          <w:rFonts w:hint="eastAsia" w:ascii="仿宋" w:hAnsi="仿宋" w:eastAsia="仿宋" w:cs="仿宋"/>
          <w:b/>
          <w:bCs/>
          <w:kern w:val="44"/>
        </w:rPr>
        <w:instrText xml:space="preserve"> </w:instrText>
      </w:r>
      <w:r>
        <w:rPr>
          <w:rStyle w:val="16"/>
          <w:rFonts w:hint="eastAsia" w:ascii="仿宋" w:hAnsi="仿宋" w:eastAsia="仿宋" w:cs="仿宋"/>
          <w:b/>
          <w:bCs/>
          <w:kern w:val="44"/>
        </w:rPr>
        <w:fldChar w:fldCharType="separate"/>
      </w:r>
      <w:r>
        <w:rPr>
          <w:rStyle w:val="16"/>
          <w:rFonts w:hint="eastAsia" w:ascii="仿宋" w:hAnsi="仿宋" w:eastAsia="仿宋" w:cs="仿宋"/>
          <w:b/>
          <w:bCs/>
          <w:kern w:val="44"/>
        </w:rPr>
        <w:t>36</w:t>
      </w:r>
      <w:r>
        <w:rPr>
          <w:rStyle w:val="16"/>
          <w:rFonts w:hint="eastAsia" w:ascii="仿宋" w:hAnsi="仿宋" w:eastAsia="仿宋" w:cs="仿宋"/>
          <w:b/>
          <w:bCs/>
          <w:kern w:val="44"/>
        </w:rPr>
        <w:fldChar w:fldCharType="end"/>
      </w:r>
      <w:r>
        <w:rPr>
          <w:rStyle w:val="16"/>
          <w:rFonts w:hint="eastAsia" w:ascii="仿宋" w:hAnsi="仿宋" w:eastAsia="仿宋" w:cs="仿宋"/>
          <w:b/>
          <w:bCs/>
          <w:kern w:val="44"/>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"_Toc177994390" </w:instrText>
      </w:r>
      <w:r>
        <w:fldChar w:fldCharType="separate"/>
      </w:r>
      <w:r>
        <w:rPr>
          <w:rStyle w:val="16"/>
          <w:rFonts w:hint="eastAsia" w:ascii="仿宋" w:hAnsi="仿宋" w:eastAsia="仿宋" w:cs="仿宋"/>
        </w:rPr>
        <w:t>一、加强组织管理</w:t>
      </w:r>
      <w:r>
        <w:rPr>
          <w:rFonts w:hint="eastAsia"/>
        </w:rPr>
        <w:tab/>
      </w:r>
      <w:r>
        <w:rPr>
          <w:rFonts w:hint="eastAsia"/>
        </w:rPr>
        <w:fldChar w:fldCharType="begin"/>
      </w:r>
      <w:r>
        <w:rPr>
          <w:rFonts w:hint="eastAsia"/>
        </w:rPr>
        <w:instrText xml:space="preserve"> </w:instrText>
      </w:r>
      <w:r>
        <w:instrText xml:space="preserve">PAGEREF _Toc177994390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"_Toc177994391" </w:instrText>
      </w:r>
      <w:r>
        <w:fldChar w:fldCharType="separate"/>
      </w:r>
      <w:r>
        <w:rPr>
          <w:rStyle w:val="16"/>
          <w:rFonts w:hint="eastAsia" w:ascii="仿宋" w:hAnsi="仿宋" w:eastAsia="仿宋" w:cs="仿宋"/>
        </w:rPr>
        <w:t>二、落实政策机制</w:t>
      </w:r>
      <w:r>
        <w:rPr>
          <w:rFonts w:hint="eastAsia"/>
        </w:rPr>
        <w:tab/>
      </w:r>
      <w:r>
        <w:rPr>
          <w:rFonts w:hint="eastAsia"/>
        </w:rPr>
        <w:fldChar w:fldCharType="begin"/>
      </w:r>
      <w:r>
        <w:rPr>
          <w:rFonts w:hint="eastAsia"/>
        </w:rPr>
        <w:instrText xml:space="preserve"> </w:instrText>
      </w:r>
      <w:r>
        <w:instrText xml:space="preserve">PAGEREF _Toc177994391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"_Toc177994392" </w:instrText>
      </w:r>
      <w:r>
        <w:fldChar w:fldCharType="separate"/>
      </w:r>
      <w:r>
        <w:rPr>
          <w:rStyle w:val="16"/>
          <w:rFonts w:hint="eastAsia" w:ascii="仿宋" w:hAnsi="仿宋" w:eastAsia="仿宋" w:cs="仿宋"/>
        </w:rPr>
        <w:t>三、强化规划管理</w:t>
      </w:r>
      <w:r>
        <w:rPr>
          <w:rFonts w:hint="eastAsia"/>
        </w:rPr>
        <w:tab/>
      </w:r>
      <w:r>
        <w:rPr>
          <w:rFonts w:hint="eastAsia"/>
        </w:rPr>
        <w:fldChar w:fldCharType="begin"/>
      </w:r>
      <w:r>
        <w:rPr>
          <w:rFonts w:hint="eastAsia"/>
        </w:rPr>
        <w:instrText xml:space="preserve"> </w:instrText>
      </w:r>
      <w:r>
        <w:instrText xml:space="preserve">PAGEREF _Toc177994392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10"/>
        <w:tabs>
          <w:tab w:val="right" w:leader="dot" w:pos="8296"/>
        </w:tabs>
        <w:rPr>
          <w:rFonts w:hint="eastAsia" w:asciiTheme="minorHAnsi" w:hAnsiTheme="minorHAnsi" w:eastAsiaTheme="minorEastAsia" w:cstheme="minorBidi"/>
          <w:b/>
          <w:bCs/>
          <w:kern w:val="2"/>
          <w:sz w:val="21"/>
          <w14:ligatures w14:val="standardContextual"/>
        </w:rPr>
      </w:pPr>
      <w:r>
        <w:fldChar w:fldCharType="begin"/>
      </w:r>
      <w:r>
        <w:instrText xml:space="preserve"> HYPERLINK \l "_Toc177994393" </w:instrText>
      </w:r>
      <w:r>
        <w:fldChar w:fldCharType="separate"/>
      </w:r>
      <w:r>
        <w:rPr>
          <w:rStyle w:val="16"/>
          <w:rFonts w:hint="eastAsia" w:ascii="仿宋" w:hAnsi="仿宋" w:eastAsia="仿宋" w:cs="仿宋"/>
          <w:b/>
          <w:bCs/>
          <w:kern w:val="44"/>
        </w:rPr>
        <w:t>附图</w:t>
      </w:r>
      <w:r>
        <w:rPr>
          <w:rFonts w:hint="eastAsia"/>
          <w:b/>
          <w:bCs/>
        </w:rPr>
        <w:tab/>
      </w:r>
      <w:r>
        <w:rPr>
          <w:rFonts w:hint="eastAsia"/>
          <w:b/>
          <w:bCs/>
        </w:rPr>
        <w:fldChar w:fldCharType="begin"/>
      </w:r>
      <w:r>
        <w:rPr>
          <w:rFonts w:hint="eastAsia"/>
          <w:b/>
          <w:bCs/>
        </w:rPr>
        <w:instrText xml:space="preserve"> </w:instrText>
      </w:r>
      <w:r>
        <w:rPr>
          <w:b/>
          <w:bCs/>
        </w:rPr>
        <w:instrText xml:space="preserve">PAGEREF _Toc177994393 \h</w:instrText>
      </w:r>
      <w:r>
        <w:rPr>
          <w:rFonts w:hint="eastAsia"/>
          <w:b/>
          <w:bCs/>
        </w:rPr>
        <w:instrText xml:space="preserve"> </w:instrText>
      </w:r>
      <w:r>
        <w:rPr>
          <w:rFonts w:hint="eastAsia"/>
          <w:b/>
          <w:bCs/>
        </w:rPr>
        <w:fldChar w:fldCharType="separate"/>
      </w:r>
      <w:r>
        <w:rPr>
          <w:b/>
          <w:bCs/>
        </w:rPr>
        <w:t>39</w:t>
      </w:r>
      <w:r>
        <w:rPr>
          <w:rFonts w:hint="eastAsia"/>
          <w:b/>
          <w:bCs/>
        </w:rPr>
        <w:fldChar w:fldCharType="end"/>
      </w:r>
      <w:r>
        <w:rPr>
          <w:rFonts w:hint="eastAsia"/>
          <w:b/>
          <w:bCs/>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"_Toc177994394" </w:instrText>
      </w:r>
      <w:r>
        <w:fldChar w:fldCharType="separate"/>
      </w:r>
      <w:r>
        <w:rPr>
          <w:rStyle w:val="16"/>
          <w:rFonts w:hint="eastAsia" w:ascii="仿宋" w:hAnsi="仿宋" w:eastAsia="仿宋" w:cs="仿宋"/>
        </w:rPr>
        <w:t>附图1 林地资源地类分布现状图</w:t>
      </w:r>
      <w:r>
        <w:rPr>
          <w:rFonts w:hint="eastAsia"/>
        </w:rPr>
        <w:tab/>
      </w:r>
      <w:r>
        <w:rPr>
          <w:rFonts w:hint="eastAsia"/>
        </w:rPr>
        <w:fldChar w:fldCharType="begin"/>
      </w:r>
      <w:r>
        <w:rPr>
          <w:rFonts w:hint="eastAsia"/>
        </w:rPr>
        <w:instrText xml:space="preserve"> </w:instrText>
      </w:r>
      <w:r>
        <w:instrText xml:space="preserve">PAGEREF _Toc177994394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11"/>
        <w:tabs>
          <w:tab w:val="right" w:leader="dot" w:pos="8296"/>
        </w:tabs>
        <w:ind w:left="440"/>
        <w:rPr>
          <w:rFonts w:hint="eastAsia" w:asciiTheme="minorHAnsi" w:hAnsiTheme="minorHAnsi" w:eastAsiaTheme="minorEastAsia" w:cstheme="minorBidi"/>
          <w:kern w:val="2"/>
          <w:sz w:val="21"/>
          <w14:ligatures w14:val="standardContextual"/>
        </w:rPr>
      </w:pPr>
      <w:r>
        <w:fldChar w:fldCharType="begin"/>
      </w:r>
      <w:r>
        <w:instrText xml:space="preserve"> HYPERLINK \l "_Toc177994395" </w:instrText>
      </w:r>
      <w:r>
        <w:fldChar w:fldCharType="separate"/>
      </w:r>
      <w:r>
        <w:rPr>
          <w:rStyle w:val="16"/>
          <w:rFonts w:hint="eastAsia" w:ascii="仿宋" w:hAnsi="仿宋" w:eastAsia="仿宋" w:cs="仿宋"/>
        </w:rPr>
        <w:t>附图2 林地资源地类分布规划图</w:t>
      </w:r>
      <w:r>
        <w:rPr>
          <w:rFonts w:hint="eastAsia"/>
        </w:rPr>
        <w:tab/>
      </w:r>
      <w:r>
        <w:rPr>
          <w:rFonts w:hint="eastAsia"/>
        </w:rPr>
        <w:fldChar w:fldCharType="begin"/>
      </w:r>
      <w:r>
        <w:rPr>
          <w:rFonts w:hint="eastAsia"/>
        </w:rPr>
        <w:instrText xml:space="preserve"> </w:instrText>
      </w:r>
      <w:r>
        <w:instrText xml:space="preserve">PAGEREF _Toc177994395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pPr>
        <w:rPr>
          <w:rFonts w:hint="eastAsia" w:ascii="仿宋" w:hAnsi="仿宋" w:eastAsia="仿宋" w:cs="仿宋"/>
        </w:rPr>
        <w:sectPr>
          <w:footerReference r:id="rId6" w:type="default"/>
          <w:pgSz w:w="11906" w:h="16838"/>
          <w:pgMar w:top="1440" w:right="1800" w:bottom="1440" w:left="1800" w:header="851" w:footer="992" w:gutter="0"/>
          <w:pgNumType w:start="1"/>
          <w:cols w:space="720" w:num="1"/>
          <w:docGrid w:type="lines" w:linePitch="312" w:charSpace="0"/>
        </w:sectPr>
      </w:pPr>
      <w:r>
        <w:rPr>
          <w:rFonts w:hint="eastAsia" w:ascii="仿宋" w:hAnsi="仿宋" w:eastAsia="仿宋" w:cs="仿宋"/>
          <w:sz w:val="24"/>
          <w:szCs w:val="24"/>
        </w:rPr>
        <w:fldChar w:fldCharType="end"/>
      </w:r>
      <w:bookmarkStart w:id="16" w:name="_Toc30162"/>
      <w:bookmarkStart w:id="17" w:name="_Toc15148"/>
      <w:bookmarkStart w:id="18" w:name="_Toc10388"/>
      <w:bookmarkStart w:id="19" w:name="_Toc26112"/>
      <w:bookmarkStart w:id="20" w:name="_Toc11900"/>
      <w:bookmarkStart w:id="21" w:name="_Toc25590"/>
    </w:p>
    <w:p>
      <w:pPr>
        <w:keepNext/>
        <w:pageBreakBefore/>
        <w:widowControl w:val="0"/>
        <w:snapToGrid/>
        <w:spacing w:before="156" w:beforeLines="50" w:after="156" w:afterLines="50" w:line="360" w:lineRule="auto"/>
        <w:jc w:val="center"/>
        <w:outlineLvl w:val="0"/>
        <w:rPr>
          <w:rFonts w:hint="eastAsia" w:ascii="仿宋" w:hAnsi="仿宋" w:eastAsia="仿宋" w:cs="仿宋"/>
          <w:b/>
          <w:kern w:val="44"/>
          <w:sz w:val="32"/>
          <w:szCs w:val="32"/>
        </w:rPr>
      </w:pPr>
      <w:bookmarkStart w:id="22" w:name="_Toc177994359"/>
      <w:bookmarkStart w:id="23" w:name="_Toc162268298"/>
      <w:r>
        <w:rPr>
          <w:rFonts w:hint="eastAsia" w:ascii="仿宋" w:hAnsi="仿宋" w:eastAsia="仿宋" w:cs="仿宋"/>
          <w:b/>
          <w:kern w:val="44"/>
          <w:sz w:val="32"/>
          <w:szCs w:val="32"/>
        </w:rPr>
        <w:t>第一章  规划背景</w:t>
      </w:r>
      <w:bookmarkEnd w:id="16"/>
      <w:bookmarkEnd w:id="17"/>
      <w:bookmarkEnd w:id="18"/>
      <w:bookmarkEnd w:id="19"/>
      <w:bookmarkEnd w:id="20"/>
      <w:bookmarkEnd w:id="21"/>
      <w:bookmarkEnd w:id="22"/>
      <w:bookmarkEnd w:id="23"/>
    </w:p>
    <w:p>
      <w:pPr>
        <w:keepLines/>
        <w:widowControl w:val="0"/>
        <w:spacing w:before="120" w:after="120" w:line="360" w:lineRule="auto"/>
        <w:ind w:firstLine="596" w:firstLineChars="198"/>
        <w:jc w:val="both"/>
        <w:textAlignment w:val="baseline"/>
        <w:outlineLvl w:val="1"/>
        <w:rPr>
          <w:rFonts w:hint="eastAsia" w:ascii="仿宋" w:hAnsi="仿宋" w:eastAsia="仿宋" w:cs="仿宋"/>
          <w:b/>
          <w:sz w:val="30"/>
          <w:szCs w:val="20"/>
        </w:rPr>
      </w:pPr>
      <w:bookmarkStart w:id="24" w:name="_Toc21508"/>
      <w:bookmarkStart w:id="25" w:name="_Toc24097"/>
      <w:bookmarkStart w:id="26" w:name="_Toc10560"/>
      <w:bookmarkStart w:id="27" w:name="_Toc1632"/>
      <w:bookmarkStart w:id="28" w:name="_Toc3652"/>
      <w:bookmarkStart w:id="29" w:name="_Toc207"/>
      <w:bookmarkStart w:id="30" w:name="_Toc177994360"/>
      <w:bookmarkStart w:id="31" w:name="_Toc162268299"/>
      <w:r>
        <w:rPr>
          <w:rFonts w:hint="eastAsia" w:ascii="仿宋" w:hAnsi="仿宋" w:eastAsia="仿宋" w:cs="仿宋"/>
          <w:b/>
          <w:sz w:val="30"/>
          <w:szCs w:val="20"/>
        </w:rPr>
        <w:t>一、</w:t>
      </w:r>
      <w:bookmarkEnd w:id="24"/>
      <w:bookmarkEnd w:id="25"/>
      <w:bookmarkEnd w:id="26"/>
      <w:r>
        <w:rPr>
          <w:rFonts w:hint="eastAsia" w:ascii="仿宋" w:hAnsi="仿宋" w:eastAsia="仿宋" w:cs="仿宋"/>
          <w:b/>
          <w:sz w:val="30"/>
          <w:szCs w:val="20"/>
        </w:rPr>
        <w:t>上一轮规划实施评价</w:t>
      </w:r>
      <w:bookmarkEnd w:id="27"/>
      <w:bookmarkEnd w:id="28"/>
      <w:bookmarkEnd w:id="29"/>
      <w:bookmarkEnd w:id="30"/>
      <w:bookmarkEnd w:id="31"/>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bookmarkStart w:id="32" w:name="_Toc17576"/>
      <w:r>
        <w:rPr>
          <w:rFonts w:hint="eastAsia" w:ascii="仿宋" w:hAnsi="仿宋" w:eastAsia="仿宋" w:cs="仿宋"/>
          <w:b/>
          <w:kern w:val="2"/>
          <w:sz w:val="28"/>
          <w:szCs w:val="28"/>
        </w:rPr>
        <w:t>（一）</w:t>
      </w:r>
      <w:bookmarkEnd w:id="32"/>
      <w:r>
        <w:rPr>
          <w:rFonts w:hint="eastAsia" w:ascii="仿宋" w:hAnsi="仿宋" w:eastAsia="仿宋" w:cs="仿宋"/>
          <w:b/>
          <w:kern w:val="2"/>
          <w:sz w:val="28"/>
          <w:szCs w:val="28"/>
        </w:rPr>
        <w:t>基本情况</w:t>
      </w:r>
    </w:p>
    <w:p>
      <w:pPr>
        <w:pStyle w:val="26"/>
        <w:rPr>
          <w:rFonts w:hint="eastAsia"/>
          <w:color w:val="auto"/>
        </w:rPr>
      </w:pPr>
      <w:bookmarkStart w:id="33" w:name="_Toc297055872"/>
      <w:bookmarkStart w:id="34" w:name="_Toc298309511"/>
      <w:bookmarkStart w:id="35" w:name="_Toc321411222"/>
      <w:bookmarkStart w:id="36" w:name="_Toc336010996"/>
      <w:bookmarkStart w:id="37" w:name="_Toc321471117"/>
      <w:r>
        <w:rPr>
          <w:rFonts w:hint="eastAsia"/>
          <w:color w:val="auto"/>
        </w:rPr>
        <w:t>《北京市</w:t>
      </w:r>
      <w:bookmarkEnd w:id="33"/>
      <w:bookmarkEnd w:id="34"/>
      <w:bookmarkStart w:id="38" w:name="_Toc297055873"/>
      <w:bookmarkStart w:id="39" w:name="_Toc287558274"/>
      <w:bookmarkStart w:id="40" w:name="_Toc291483972"/>
      <w:bookmarkStart w:id="41" w:name="_Toc298309512"/>
      <w:bookmarkStart w:id="42" w:name="_Toc232760385"/>
      <w:bookmarkStart w:id="43" w:name="_Toc291485509"/>
      <w:r>
        <w:rPr>
          <w:rFonts w:hint="eastAsia"/>
          <w:color w:val="auto"/>
        </w:rPr>
        <w:t>怀柔区林地保护利用规划</w:t>
      </w:r>
      <w:bookmarkEnd w:id="35"/>
      <w:bookmarkEnd w:id="36"/>
      <w:bookmarkEnd w:id="37"/>
      <w:bookmarkEnd w:id="38"/>
      <w:bookmarkEnd w:id="39"/>
      <w:bookmarkEnd w:id="40"/>
      <w:bookmarkEnd w:id="41"/>
      <w:bookmarkEnd w:id="42"/>
      <w:bookmarkEnd w:id="43"/>
      <w:bookmarkStart w:id="44" w:name="_Toc291485510"/>
      <w:bookmarkStart w:id="45" w:name="_Toc114476731"/>
      <w:bookmarkStart w:id="46" w:name="_Toc336010997"/>
      <w:bookmarkStart w:id="47" w:name="_Toc122754998"/>
      <w:bookmarkStart w:id="48" w:name="_Toc114473539"/>
      <w:bookmarkStart w:id="49" w:name="_Toc232760386"/>
      <w:bookmarkStart w:id="50" w:name="_Toc129062449"/>
      <w:bookmarkStart w:id="51" w:name="_Toc114473602"/>
      <w:bookmarkStart w:id="52" w:name="_Toc112468223"/>
      <w:bookmarkStart w:id="53" w:name="_Toc298309513"/>
      <w:bookmarkStart w:id="54" w:name="_Toc114642632"/>
      <w:bookmarkStart w:id="55" w:name="_Toc291483973"/>
      <w:bookmarkStart w:id="56" w:name="_Toc321471118"/>
      <w:bookmarkStart w:id="57" w:name="_Toc321411223"/>
      <w:bookmarkStart w:id="58" w:name="_Toc114478205"/>
      <w:bookmarkStart w:id="59" w:name="_Toc287558275"/>
      <w:r>
        <w:rPr>
          <w:rFonts w:hint="eastAsia"/>
          <w:color w:val="auto"/>
        </w:rPr>
        <w:t>（2010－2020年）</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hint="eastAsia"/>
          <w:color w:val="auto"/>
        </w:rPr>
        <w:t>》（以下简称上一轮规划）规划的林地面积为182509.17公顷，基准年为2009年，期限为2010－2020年。上一轮规划目标任务：保持全区林地总量动态平衡，高效集约利用林地资源，落实林地用途管制，提高林地管理水平，实现林地资源可持续保护利用，以更好服务于怀柔区经济社会建设。</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bookmarkStart w:id="60" w:name="_Toc9466"/>
      <w:r>
        <w:rPr>
          <w:rFonts w:hint="eastAsia" w:ascii="仿宋" w:hAnsi="仿宋" w:eastAsia="仿宋" w:cs="仿宋"/>
          <w:b/>
          <w:kern w:val="2"/>
          <w:sz w:val="28"/>
          <w:szCs w:val="28"/>
        </w:rPr>
        <w:t>（二）实施</w:t>
      </w:r>
      <w:bookmarkEnd w:id="60"/>
      <w:r>
        <w:rPr>
          <w:rFonts w:hint="eastAsia" w:ascii="仿宋" w:hAnsi="仿宋" w:eastAsia="仿宋" w:cs="仿宋"/>
          <w:b/>
          <w:kern w:val="2"/>
          <w:sz w:val="28"/>
          <w:szCs w:val="28"/>
        </w:rPr>
        <w:t>评价</w:t>
      </w:r>
    </w:p>
    <w:p>
      <w:pPr>
        <w:pStyle w:val="26"/>
        <w:rPr>
          <w:rFonts w:hint="eastAsia"/>
          <w:color w:val="auto"/>
        </w:rPr>
      </w:pPr>
      <w:r>
        <w:rPr>
          <w:rFonts w:hint="eastAsia"/>
          <w:color w:val="auto"/>
        </w:rPr>
        <w:t>上一轮规划期间，怀柔区把园林绿化建设摆在全区工作的突出位置上，以国家级重点工程京津风沙源治理、退耕还林、市级重点工程百万亩平原造林、新一轮百万亩造林、区级重点工程“一带一路”城区园林景观保障、城区园林绿化景观提升等重大项目为抓手，圆满完成了“一带一路”国际合作论坛、国庆70周年等重大活动和重要节日的景观环境保障任务，全区首个城市森林公园“怀柔城市森林公园”高质量建成并开园使用，成功统筹了新冠肺炎疫情防控与园林绿化事业发展，顺利完成创建森林城市工作。</w:t>
      </w:r>
    </w:p>
    <w:p>
      <w:pPr>
        <w:pStyle w:val="26"/>
        <w:rPr>
          <w:rFonts w:hint="eastAsia"/>
          <w:color w:val="auto"/>
        </w:rPr>
      </w:pPr>
      <w:r>
        <w:rPr>
          <w:rFonts w:hint="eastAsia"/>
          <w:color w:val="auto"/>
        </w:rPr>
        <w:t>上一轮规划实施使森林资源保护利用迈出了重大步伐，实现了跨越式发展。一是通过人工造林、封山育林，以及通道和城镇绿化，大规模治理荒山荒地和全面绿化，国土空间生态修复扎实推进，森林覆盖率稳步提高，生态产品和服务功能明显增强。二是通过“造、封、改”多措并举，林地生产力显著提高，森林资源总量持续增长，森林生态系统整体功能明显向好，京北生态屏障不断稳固，人民群众绿色获得感明显增强，有力促进全区城乡经济社会发展。三是全面落实分区施策、分级保护、分类经营等管理措施，不断完善林地用途管制、使用林地定额管控、林地变更动态监管等制度，林地保护利用管理新局面逐步形成,为新时期园林绿化事业发展提供了坚实的基础。</w:t>
      </w:r>
    </w:p>
    <w:p>
      <w:pPr>
        <w:keepLines/>
        <w:widowControl w:val="0"/>
        <w:spacing w:before="120" w:after="120" w:line="360" w:lineRule="auto"/>
        <w:ind w:firstLine="596" w:firstLineChars="198"/>
        <w:jc w:val="both"/>
        <w:textAlignment w:val="baseline"/>
        <w:outlineLvl w:val="1"/>
        <w:rPr>
          <w:rFonts w:hint="eastAsia" w:ascii="仿宋" w:hAnsi="仿宋" w:eastAsia="仿宋" w:cs="仿宋"/>
          <w:b/>
          <w:sz w:val="30"/>
          <w:szCs w:val="20"/>
        </w:rPr>
      </w:pPr>
      <w:bookmarkStart w:id="61" w:name="_Toc31972"/>
      <w:bookmarkStart w:id="62" w:name="_Toc9248"/>
      <w:bookmarkStart w:id="63" w:name="_Toc162268300"/>
      <w:bookmarkStart w:id="64" w:name="_Toc5052"/>
      <w:bookmarkStart w:id="65" w:name="_Toc6981"/>
      <w:bookmarkStart w:id="66" w:name="_Toc177994361"/>
      <w:r>
        <w:rPr>
          <w:rFonts w:hint="eastAsia" w:ascii="仿宋" w:hAnsi="仿宋" w:eastAsia="仿宋" w:cs="仿宋"/>
          <w:b/>
          <w:sz w:val="30"/>
          <w:szCs w:val="20"/>
        </w:rPr>
        <w:t>二</w:t>
      </w:r>
      <w:bookmarkEnd w:id="61"/>
      <w:bookmarkEnd w:id="62"/>
      <w:bookmarkEnd w:id="63"/>
      <w:bookmarkEnd w:id="64"/>
      <w:bookmarkEnd w:id="65"/>
      <w:bookmarkStart w:id="67" w:name="_Toc162268301"/>
      <w:bookmarkStart w:id="68" w:name="_Toc21342"/>
      <w:r>
        <w:rPr>
          <w:rFonts w:hint="eastAsia" w:ascii="仿宋" w:hAnsi="仿宋" w:eastAsia="仿宋" w:cs="仿宋"/>
          <w:b/>
          <w:sz w:val="30"/>
          <w:szCs w:val="20"/>
        </w:rPr>
        <w:t>、机遇与挑战</w:t>
      </w:r>
      <w:bookmarkEnd w:id="66"/>
      <w:bookmarkEnd w:id="67"/>
      <w:bookmarkEnd w:id="68"/>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（一）发展机遇</w:t>
      </w:r>
    </w:p>
    <w:p>
      <w:pPr>
        <w:pStyle w:val="26"/>
        <w:ind w:firstLine="562"/>
        <w:rPr>
          <w:rFonts w:hint="eastAsia"/>
          <w:color w:val="auto"/>
        </w:rPr>
      </w:pPr>
      <w:r>
        <w:rPr>
          <w:rFonts w:hint="eastAsia"/>
          <w:b/>
          <w:color w:val="auto"/>
        </w:rPr>
        <w:t>生态文明建设要求更加严格保护管理林地。</w:t>
      </w:r>
      <w:r>
        <w:rPr>
          <w:rFonts w:hint="eastAsia"/>
          <w:color w:val="auto"/>
        </w:rPr>
        <w:t>习近平总书记指出，“森林和草原对国家生态安全具有基础性、战略性作用，林草兴则生态兴”“森林既是水库、钱库、粮库，也是碳库”“稳步扩大森林面积，提升森林质量，增强森林生态功能，为建设美丽中国创造更好的生态条件”，贯彻习近平生态文明思想，要求怀柔区坚持生态立区，将以最高标准、最严要求、最好质量守护好绿水青山作为头等大事，牢固树立生态环保意识，持续完善林地管理体系，科学高效利用林地，实施生态保育、生态建设和生态修复，提高森林质量，提升林地生产力，打造多元共生的生态系统，建设首都北部生态屏障。</w:t>
      </w:r>
    </w:p>
    <w:p>
      <w:pPr>
        <w:pStyle w:val="26"/>
        <w:ind w:firstLine="562"/>
        <w:rPr>
          <w:rFonts w:hint="eastAsia"/>
          <w:color w:val="auto"/>
        </w:rPr>
      </w:pPr>
      <w:r>
        <w:rPr>
          <w:rFonts w:hint="eastAsia"/>
          <w:b/>
          <w:color w:val="auto"/>
        </w:rPr>
        <w:t>京津冀协同发展要求更加集约高效利用林地。</w:t>
      </w:r>
      <w:r>
        <w:rPr>
          <w:color w:val="auto"/>
          <w:spacing w:val="-2"/>
        </w:rPr>
        <w:t>怀柔区是首都北部重要的生态屏障和水源保护地</w:t>
      </w:r>
      <w:r>
        <w:rPr>
          <w:rFonts w:hint="eastAsia"/>
          <w:color w:val="auto"/>
          <w:spacing w:val="-2"/>
        </w:rPr>
        <w:t>，森林和林地资源是构建京津冀生态治理协作区、</w:t>
      </w:r>
      <w:r>
        <w:rPr>
          <w:color w:val="auto"/>
          <w:spacing w:val="-2"/>
        </w:rPr>
        <w:t>生态发展示范区和高端科技文化发挥区</w:t>
      </w:r>
      <w:r>
        <w:rPr>
          <w:rFonts w:hint="eastAsia"/>
          <w:color w:val="auto"/>
          <w:spacing w:val="-2"/>
        </w:rPr>
        <w:t>的重要基础。</w:t>
      </w:r>
      <w:r>
        <w:rPr>
          <w:rFonts w:hint="eastAsia"/>
          <w:color w:val="auto"/>
        </w:rPr>
        <w:t>充分发挥林地生产力，进一步优化绿色生态空间，建立健康稳定的森林生态系统，丰富生物多样性，实现生态价值不断增长，促进环首都森林湿地公园环建设，深化落实首都城市战略定位及城市空间结构，推动京津冀生态协同发展。</w:t>
      </w:r>
    </w:p>
    <w:p>
      <w:pPr>
        <w:pStyle w:val="26"/>
        <w:ind w:firstLine="562"/>
        <w:rPr>
          <w:rFonts w:hint="eastAsia"/>
          <w:color w:val="auto"/>
        </w:rPr>
      </w:pPr>
      <w:r>
        <w:rPr>
          <w:rFonts w:hint="eastAsia"/>
          <w:b/>
          <w:color w:val="auto"/>
        </w:rPr>
        <w:t>分区规划要求建立山清水秀生态游憩相融的绿色空间。</w:t>
      </w:r>
      <w:r>
        <w:rPr>
          <w:rFonts w:hint="eastAsia"/>
          <w:color w:val="auto"/>
        </w:rPr>
        <w:t>分区规划指出，统筹山水林田湖草沙全生态要素，严格保护生态用地，构建层次丰富、安全稳固的生态空间结构和林水相映、林路相依、林城相彰的森林城市，发挥自然山水秀美、人文特色丰富的核心景源优势，串联多功能、多层级的绿道网络，构建生态与游憩功能融合的绿色空间体系。林地保护利用规划不</w:t>
      </w:r>
      <w:r>
        <w:rPr>
          <w:rFonts w:hint="eastAsia"/>
          <w:color w:val="auto"/>
          <w:lang w:val="en-US"/>
        </w:rPr>
        <w:t>但</w:t>
      </w:r>
      <w:r>
        <w:rPr>
          <w:rFonts w:hint="eastAsia"/>
          <w:color w:val="auto"/>
        </w:rPr>
        <w:t>要刚性传导落实分区规划有关国土空间开发保护要求，全力推动全域绿色空间建设，而且要合理规划森林资源保护利用结构和布局，稳定森林覆盖率、提高森林蓄积量，全面构建“三区、多廊、多点”的区域生态空间结构，提升森林生态系统质量和稳定性。</w:t>
      </w:r>
    </w:p>
    <w:p>
      <w:pPr>
        <w:pStyle w:val="26"/>
        <w:ind w:firstLine="562"/>
        <w:rPr>
          <w:rFonts w:hint="eastAsia"/>
          <w:color w:val="auto"/>
        </w:rPr>
      </w:pPr>
      <w:r>
        <w:rPr>
          <w:rFonts w:hint="eastAsia"/>
          <w:b/>
          <w:color w:val="auto"/>
        </w:rPr>
        <w:t>全面施行林长制要求压实林地保护利用责任。</w:t>
      </w:r>
      <w:r>
        <w:rPr>
          <w:rFonts w:hint="eastAsia"/>
          <w:color w:val="auto"/>
        </w:rPr>
        <w:t>北京市《关于全面建立林长制的实施意见》要求强化领导干部生态保护属地管理责任，构建党政同责、属地负责、部门协同、源头治理、全域覆盖的四级林长制责任体系。为实现林长制目标考核中森林覆盖率、林地保有量、森林蓄积量等重要指标，在实施林地保护利用规划过程中，要进一步加强制度建设，完善管理机制，压实林地保护管理利用的主体责任。</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（二）面临挑战</w:t>
      </w:r>
    </w:p>
    <w:p>
      <w:pPr>
        <w:pStyle w:val="26"/>
        <w:ind w:firstLine="562"/>
        <w:rPr>
          <w:rFonts w:hint="eastAsia"/>
          <w:color w:val="auto"/>
        </w:rPr>
      </w:pPr>
      <w:r>
        <w:rPr>
          <w:rFonts w:hint="eastAsia"/>
          <w:b/>
          <w:color w:val="auto"/>
        </w:rPr>
        <w:t>林地保护利用管理制度有待完善。</w:t>
      </w:r>
      <w:r>
        <w:rPr>
          <w:rFonts w:hint="eastAsia"/>
          <w:color w:val="auto"/>
        </w:rPr>
        <w:t>国土空间约束趋紧，林地空间不稳定，配置不尽合理，涉及园林绿化的相关部门较多，现有资源保护管理压力日益加大，仍存在缺乏政策、制度整合等方面的问题，亟待“多规合一”。</w:t>
      </w:r>
    </w:p>
    <w:p>
      <w:pPr>
        <w:pStyle w:val="26"/>
        <w:ind w:firstLine="562"/>
        <w:rPr>
          <w:rFonts w:hint="eastAsia"/>
          <w:color w:val="auto"/>
          <w:sz w:val="32"/>
          <w:szCs w:val="32"/>
        </w:rPr>
      </w:pPr>
      <w:r>
        <w:rPr>
          <w:rFonts w:hint="eastAsia"/>
          <w:b/>
          <w:color w:val="auto"/>
        </w:rPr>
        <w:t>绿色空间拓展难度进一步加大。</w:t>
      </w:r>
      <w:r>
        <w:rPr>
          <w:rFonts w:hint="eastAsia"/>
          <w:color w:val="auto"/>
        </w:rPr>
        <w:t>随着京津风沙源治理、两轮百万亩造林工程的连续大力推进，全区大规模新增生态空间出现放缓，绿色空间逐渐达到增长的极限。统筹现有林地资源存量严格保护、提质增效和合理利用，实现“保的住、用的好、可持续”成为必须面对和解决的挑战，亟待需要林地保护利用的顶层设计。</w:t>
      </w:r>
    </w:p>
    <w:p>
      <w:pPr>
        <w:pStyle w:val="26"/>
        <w:ind w:firstLine="562"/>
        <w:rPr>
          <w:rFonts w:hint="eastAsia"/>
          <w:b/>
          <w:color w:val="auto"/>
          <w:spacing w:val="11"/>
          <w:sz w:val="30"/>
          <w:szCs w:val="30"/>
        </w:rPr>
      </w:pPr>
      <w:r>
        <w:rPr>
          <w:rFonts w:hint="eastAsia"/>
          <w:b/>
          <w:color w:val="auto"/>
        </w:rPr>
        <w:t>人民群众对生态环境的要求不断提高。</w:t>
      </w:r>
      <w:r>
        <w:rPr>
          <w:rFonts w:hint="eastAsia"/>
          <w:color w:val="auto"/>
        </w:rPr>
        <w:t>随着城市发展步伐的加快，</w:t>
      </w:r>
      <w:r>
        <w:rPr>
          <w:rFonts w:hint="eastAsia" w:ascii="Times New Roman" w:hAnsi="Times New Roman" w:cs="Times New Roman"/>
          <w:bCs/>
          <w:kern w:val="2"/>
        </w:rPr>
        <w:t>社会公众对</w:t>
      </w:r>
      <w:r>
        <w:rPr>
          <w:rFonts w:hint="eastAsia"/>
          <w:color w:val="auto"/>
        </w:rPr>
        <w:t>绿色生态产品的要求也在逐渐提高，现有绿色生态产品虽然在一定程度上满足了市民的需求，但仍存在绿色空间功能较弱、未能满足“五性”（便利性、宜居性、多样性、公正性、安全性）需求的情况，亟待不断提升林地生产力，满足市民对绿色美好生活的需求。</w:t>
      </w:r>
    </w:p>
    <w:p>
      <w:pPr>
        <w:pStyle w:val="2"/>
        <w:keepNext w:val="0"/>
        <w:spacing w:before="156" w:after="156" w:line="360" w:lineRule="auto"/>
        <w:rPr>
          <w:rFonts w:hint="eastAsia" w:ascii="仿宋" w:hAnsi="仿宋" w:eastAsia="仿宋" w:cs="仿宋"/>
          <w:sz w:val="32"/>
          <w:szCs w:val="32"/>
        </w:rPr>
      </w:pPr>
      <w:bookmarkStart w:id="69" w:name="_Toc19843"/>
      <w:bookmarkStart w:id="70" w:name="_Toc162268302"/>
      <w:bookmarkStart w:id="71" w:name="_Toc471"/>
      <w:bookmarkStart w:id="72" w:name="_Toc14304"/>
      <w:bookmarkStart w:id="73" w:name="_Toc177994362"/>
      <w:bookmarkStart w:id="74" w:name="_Toc18212"/>
      <w:bookmarkStart w:id="75" w:name="_Toc3007"/>
      <w:r>
        <w:rPr>
          <w:rFonts w:hint="eastAsia" w:ascii="仿宋" w:hAnsi="仿宋" w:eastAsia="仿宋" w:cs="仿宋"/>
          <w:sz w:val="32"/>
          <w:szCs w:val="32"/>
        </w:rPr>
        <w:t>第二章  总体</w:t>
      </w:r>
      <w:bookmarkEnd w:id="69"/>
      <w:r>
        <w:rPr>
          <w:rFonts w:hint="eastAsia" w:ascii="仿宋" w:hAnsi="仿宋" w:eastAsia="仿宋" w:cs="仿宋"/>
          <w:sz w:val="32"/>
          <w:szCs w:val="32"/>
        </w:rPr>
        <w:t>要求</w:t>
      </w:r>
      <w:bookmarkEnd w:id="70"/>
      <w:bookmarkEnd w:id="71"/>
      <w:bookmarkEnd w:id="72"/>
      <w:bookmarkEnd w:id="73"/>
      <w:bookmarkEnd w:id="74"/>
      <w:bookmarkEnd w:id="75"/>
    </w:p>
    <w:p>
      <w:pPr>
        <w:keepLines/>
        <w:widowControl w:val="0"/>
        <w:spacing w:before="120" w:after="120" w:line="360" w:lineRule="auto"/>
        <w:ind w:firstLine="596" w:firstLineChars="198"/>
        <w:jc w:val="both"/>
        <w:textAlignment w:val="baseline"/>
        <w:outlineLvl w:val="1"/>
        <w:rPr>
          <w:rFonts w:hint="eastAsia" w:ascii="仿宋" w:hAnsi="仿宋" w:eastAsia="仿宋" w:cs="仿宋"/>
          <w:b/>
          <w:sz w:val="30"/>
          <w:szCs w:val="20"/>
          <w:lang w:val="zh-TW"/>
        </w:rPr>
      </w:pPr>
      <w:bookmarkStart w:id="76" w:name="_Toc149941336"/>
      <w:bookmarkStart w:id="77" w:name="_Toc162268303"/>
      <w:bookmarkStart w:id="78" w:name="_Toc23805"/>
      <w:bookmarkStart w:id="79" w:name="_Toc21033"/>
      <w:bookmarkStart w:id="80" w:name="_Toc27282"/>
      <w:bookmarkStart w:id="81" w:name="_Toc20261"/>
      <w:bookmarkStart w:id="82" w:name="_Toc177994363"/>
      <w:r>
        <w:rPr>
          <w:rFonts w:hint="eastAsia" w:ascii="仿宋" w:hAnsi="仿宋" w:eastAsia="仿宋" w:cs="仿宋"/>
          <w:b/>
          <w:sz w:val="30"/>
          <w:szCs w:val="20"/>
          <w:lang w:val="zh-TW"/>
        </w:rPr>
        <w:t>一、指导思想</w:t>
      </w:r>
      <w:bookmarkEnd w:id="76"/>
      <w:bookmarkEnd w:id="77"/>
      <w:bookmarkEnd w:id="78"/>
      <w:bookmarkEnd w:id="79"/>
      <w:bookmarkEnd w:id="80"/>
      <w:bookmarkEnd w:id="81"/>
      <w:bookmarkEnd w:id="82"/>
    </w:p>
    <w:p>
      <w:pPr>
        <w:pStyle w:val="26"/>
        <w:rPr>
          <w:rFonts w:hint="eastAsia"/>
          <w:bCs/>
          <w:color w:val="auto"/>
        </w:rPr>
      </w:pPr>
      <w:r>
        <w:rPr>
          <w:rFonts w:hint="eastAsia"/>
          <w:color w:val="auto"/>
        </w:rPr>
        <w:t>以习近平新时代中国特色社会主义思想为指导，践行“绿水青山就是金山银山”的发展理念，围绕怀柔分区规划、“十四五”规划的总体要求，</w:t>
      </w:r>
      <w:r>
        <w:rPr>
          <w:rFonts w:hint="eastAsia"/>
          <w:bCs/>
          <w:color w:val="auto"/>
        </w:rPr>
        <w:t>严格落实生态涵养区的定位要求，紧紧围绕服务保障首都功能，构筑与怀柔区山水环境、新型城市形态相匹配的生态安全格局。</w:t>
      </w:r>
      <w:r>
        <w:rPr>
          <w:rFonts w:hint="eastAsia"/>
          <w:color w:val="auto"/>
        </w:rPr>
        <w:t>严守生态红线，明确林地发展空间，严格保护，科学利用，优化结构，强化调控，统筹协调林地保护与利用的关系，优化资源配置，提高林地保护利用效率。为推进</w:t>
      </w:r>
      <w:r>
        <w:rPr>
          <w:rFonts w:hint="eastAsia"/>
          <w:bCs/>
          <w:color w:val="auto"/>
        </w:rPr>
        <w:t>首都北部重点生态保育及区域生态治理协作区、服务国家对外交往的生态发展示范区和绿色创新引领的高端科技文化发展区的建设</w:t>
      </w:r>
      <w:r>
        <w:rPr>
          <w:rFonts w:hint="eastAsia"/>
          <w:color w:val="auto"/>
        </w:rPr>
        <w:t>奠定良好生态基础</w:t>
      </w:r>
      <w:r>
        <w:rPr>
          <w:rFonts w:hint="eastAsia"/>
          <w:bCs/>
          <w:color w:val="auto"/>
        </w:rPr>
        <w:t>。</w:t>
      </w:r>
    </w:p>
    <w:p>
      <w:pPr>
        <w:keepLines/>
        <w:widowControl w:val="0"/>
        <w:spacing w:before="120" w:after="120" w:line="360" w:lineRule="auto"/>
        <w:ind w:firstLine="596" w:firstLineChars="198"/>
        <w:jc w:val="both"/>
        <w:textAlignment w:val="baseline"/>
        <w:outlineLvl w:val="1"/>
        <w:rPr>
          <w:rFonts w:hint="eastAsia" w:ascii="仿宋" w:hAnsi="仿宋" w:eastAsia="仿宋" w:cs="仿宋"/>
          <w:b/>
          <w:bCs/>
          <w:kern w:val="2"/>
          <w:sz w:val="30"/>
          <w:szCs w:val="30"/>
        </w:rPr>
      </w:pPr>
      <w:bookmarkStart w:id="83" w:name="_Toc3856"/>
      <w:bookmarkStart w:id="84" w:name="_Toc21950"/>
      <w:bookmarkStart w:id="85" w:name="_Toc914"/>
      <w:bookmarkStart w:id="86" w:name="_Toc162268304"/>
      <w:bookmarkStart w:id="87" w:name="_Toc17089"/>
      <w:bookmarkStart w:id="88" w:name="_Toc10912"/>
      <w:bookmarkStart w:id="89" w:name="_Toc177994364"/>
      <w:r>
        <w:rPr>
          <w:rFonts w:hint="eastAsia" w:ascii="仿宋" w:hAnsi="仿宋" w:eastAsia="仿宋" w:cs="仿宋"/>
          <w:b/>
          <w:sz w:val="30"/>
          <w:szCs w:val="20"/>
        </w:rPr>
        <w:t>二、</w:t>
      </w:r>
      <w:bookmarkEnd w:id="83"/>
      <w:bookmarkEnd w:id="84"/>
      <w:bookmarkEnd w:id="85"/>
      <w:bookmarkEnd w:id="86"/>
      <w:bookmarkEnd w:id="87"/>
      <w:bookmarkEnd w:id="88"/>
      <w:bookmarkStart w:id="90" w:name="_Toc162268305"/>
      <w:bookmarkStart w:id="91" w:name="_Toc30378"/>
      <w:bookmarkStart w:id="92" w:name="_Toc14196"/>
      <w:bookmarkStart w:id="93" w:name="_Toc14250"/>
      <w:bookmarkStart w:id="94" w:name="_Toc5027"/>
      <w:bookmarkStart w:id="95" w:name="_Toc680"/>
      <w:r>
        <w:rPr>
          <w:rFonts w:hint="eastAsia" w:ascii="仿宋" w:hAnsi="仿宋" w:eastAsia="仿宋" w:cs="仿宋"/>
          <w:b/>
          <w:sz w:val="30"/>
          <w:szCs w:val="20"/>
        </w:rPr>
        <w:t>规划原则</w:t>
      </w:r>
      <w:bookmarkEnd w:id="89"/>
      <w:bookmarkEnd w:id="90"/>
      <w:bookmarkEnd w:id="91"/>
      <w:bookmarkEnd w:id="92"/>
      <w:bookmarkEnd w:id="93"/>
      <w:bookmarkEnd w:id="94"/>
      <w:bookmarkEnd w:id="95"/>
    </w:p>
    <w:p>
      <w:pPr>
        <w:pStyle w:val="26"/>
        <w:ind w:firstLine="562"/>
        <w:rPr>
          <w:rFonts w:hint="eastAsia"/>
          <w:color w:val="auto"/>
        </w:rPr>
      </w:pPr>
      <w:r>
        <w:rPr>
          <w:rFonts w:hint="eastAsia"/>
          <w:b/>
          <w:color w:val="auto"/>
        </w:rPr>
        <w:t>坚持“多规合一”。</w:t>
      </w:r>
      <w:r>
        <w:rPr>
          <w:rFonts w:hint="eastAsia"/>
          <w:color w:val="auto"/>
        </w:rPr>
        <w:t>以“国土三调”数据为底版，有机衔接分区规划、园林绿化专项规划、国家森林城市建设总体规划、国民经济和社会发展第十四个五年规划和二〇三五年远景目标纲要等相关规划，纵深推进“多规合一”。</w:t>
      </w:r>
    </w:p>
    <w:p>
      <w:pPr>
        <w:pStyle w:val="26"/>
        <w:ind w:firstLine="562"/>
        <w:rPr>
          <w:rFonts w:hint="eastAsia"/>
          <w:color w:val="auto"/>
        </w:rPr>
      </w:pPr>
      <w:r>
        <w:rPr>
          <w:rFonts w:hint="eastAsia"/>
          <w:b/>
          <w:bCs/>
          <w:color w:val="auto"/>
        </w:rPr>
        <w:t>坚持合理布局。</w:t>
      </w:r>
      <w:r>
        <w:rPr>
          <w:rFonts w:hint="eastAsia"/>
          <w:color w:val="auto"/>
        </w:rPr>
        <w:t>统筹生态、生产、生活空间的林地保护与利用，明确林地保护利用方向、重点和森林资源保护发展目标，优化重组林地空间，保障重要生态空间，筑牢首都北部生态屏障，塑造幸福美丽和谐宜居的环境。</w:t>
      </w:r>
    </w:p>
    <w:p>
      <w:pPr>
        <w:pStyle w:val="26"/>
        <w:ind w:firstLine="562"/>
        <w:rPr>
          <w:rFonts w:hint="eastAsia"/>
          <w:color w:val="auto"/>
        </w:rPr>
      </w:pPr>
      <w:r>
        <w:rPr>
          <w:rFonts w:hint="eastAsia"/>
          <w:b/>
          <w:bCs/>
          <w:color w:val="auto"/>
        </w:rPr>
        <w:t>坚持全面保护。</w:t>
      </w:r>
      <w:r>
        <w:rPr>
          <w:rFonts w:hint="eastAsia"/>
          <w:color w:val="auto"/>
        </w:rPr>
        <w:t>坚持应保尽保、能保必保的原则，严格执行法律法规及林地保护制度，全面</w:t>
      </w:r>
      <w:r>
        <w:rPr>
          <w:rFonts w:hint="eastAsia"/>
          <w:bCs/>
          <w:color w:val="auto"/>
        </w:rPr>
        <w:t>保护</w:t>
      </w:r>
      <w:r>
        <w:rPr>
          <w:rFonts w:hint="eastAsia"/>
          <w:color w:val="auto"/>
        </w:rPr>
        <w:t>现有森林、林木、林地。依法依规适度增加林地，夯实绿色</w:t>
      </w:r>
      <w:r>
        <w:rPr>
          <w:rFonts w:hint="eastAsia"/>
          <w:bCs/>
          <w:color w:val="auto"/>
        </w:rPr>
        <w:t>空间结构</w:t>
      </w:r>
      <w:r>
        <w:rPr>
          <w:rFonts w:hint="eastAsia"/>
          <w:color w:val="auto"/>
        </w:rPr>
        <w:t>。落实生态保护红线，守住森林和林地空间边界。</w:t>
      </w:r>
    </w:p>
    <w:p>
      <w:pPr>
        <w:pStyle w:val="26"/>
        <w:ind w:firstLine="562"/>
        <w:rPr>
          <w:rFonts w:hint="eastAsia"/>
          <w:color w:val="auto"/>
        </w:rPr>
      </w:pPr>
      <w:r>
        <w:rPr>
          <w:rFonts w:hint="eastAsia"/>
          <w:b/>
          <w:bCs/>
          <w:color w:val="auto"/>
        </w:rPr>
        <w:t>坚持科学利用。</w:t>
      </w:r>
      <w:r>
        <w:rPr>
          <w:rFonts w:hint="eastAsia"/>
          <w:color w:val="auto"/>
        </w:rPr>
        <w:t>明确规划约束性指标和刚性管控要求，相关指标可考核、可分解、可落地，确保规划能用、管用、好用。科学使用林地，着力开展森林可持续经营，充分发挥林地生产力，提高林地利用效率，推进林地保护利用高质量发展。</w:t>
      </w:r>
    </w:p>
    <w:p>
      <w:pPr>
        <w:pStyle w:val="26"/>
        <w:ind w:firstLine="562"/>
        <w:rPr>
          <w:rFonts w:hint="eastAsia"/>
          <w:color w:val="auto"/>
        </w:rPr>
      </w:pPr>
      <w:r>
        <w:rPr>
          <w:rFonts w:hint="eastAsia"/>
          <w:b/>
          <w:bCs/>
          <w:color w:val="auto"/>
        </w:rPr>
        <w:t>坚持差别管理。</w:t>
      </w:r>
      <w:r>
        <w:rPr>
          <w:rFonts w:hint="eastAsia"/>
          <w:color w:val="auto"/>
        </w:rPr>
        <w:t>根据怀柔区自然资源禀赋和社会经济发展需要，实行林地保护利用的差别化管理的策略，强化山区生态屏障、推进平原添彩增绿、道路水系生态廊道、城镇森林建设，因地制宜，实施林地分类经营、分级管控，落实林地、森林面积占补平衡、稳中有升。</w:t>
      </w:r>
    </w:p>
    <w:p>
      <w:pPr>
        <w:keepNext/>
        <w:keepLines/>
        <w:widowControl w:val="0"/>
        <w:spacing w:before="120" w:after="120" w:line="360" w:lineRule="auto"/>
        <w:ind w:firstLine="602" w:firstLineChars="200"/>
        <w:jc w:val="both"/>
        <w:outlineLvl w:val="1"/>
        <w:rPr>
          <w:rFonts w:hint="eastAsia" w:ascii="仿宋" w:hAnsi="仿宋" w:eastAsia="仿宋" w:cs="仿宋"/>
          <w:b/>
          <w:bCs/>
          <w:kern w:val="2"/>
          <w:sz w:val="30"/>
          <w:szCs w:val="30"/>
        </w:rPr>
      </w:pPr>
      <w:bookmarkStart w:id="96" w:name="_Toc60"/>
      <w:bookmarkStart w:id="97" w:name="_Toc162268306"/>
      <w:bookmarkStart w:id="98" w:name="_Toc13595"/>
      <w:bookmarkStart w:id="99" w:name="_Toc4085"/>
      <w:bookmarkStart w:id="100" w:name="_Toc177994365"/>
      <w:r>
        <w:rPr>
          <w:rFonts w:hint="eastAsia" w:ascii="仿宋" w:hAnsi="仿宋" w:eastAsia="仿宋" w:cs="仿宋"/>
          <w:b/>
          <w:sz w:val="30"/>
          <w:szCs w:val="20"/>
        </w:rPr>
        <w:t>三、规划目标</w:t>
      </w:r>
      <w:bookmarkEnd w:id="96"/>
      <w:bookmarkEnd w:id="97"/>
      <w:bookmarkEnd w:id="98"/>
      <w:bookmarkEnd w:id="99"/>
      <w:bookmarkEnd w:id="100"/>
    </w:p>
    <w:p>
      <w:pPr>
        <w:pStyle w:val="26"/>
        <w:rPr>
          <w:rFonts w:hint="eastAsia"/>
          <w:color w:val="auto"/>
        </w:rPr>
      </w:pPr>
      <w:r>
        <w:rPr>
          <w:rFonts w:hint="eastAsia"/>
          <w:color w:val="auto"/>
        </w:rPr>
        <w:t>到2035年，森林资源配置更加优化完善，生态产品供给能力显著提升，森林资源保护发展目标基本实现，区域生态空间结构更加稳固。全区规划林地规模不低于170000公顷；国家级公益林地面积不减少，森林覆盖率不低于77.5%，林地内森林保有量面积不低于148100公顷。</w:t>
      </w:r>
      <w:bookmarkStart w:id="101" w:name="_Toc24811"/>
      <w:bookmarkStart w:id="102" w:name="_Toc26479"/>
    </w:p>
    <w:p>
      <w:pPr>
        <w:keepNext/>
        <w:keepLines/>
        <w:widowControl w:val="0"/>
        <w:spacing w:before="120" w:after="120" w:line="360" w:lineRule="auto"/>
        <w:ind w:firstLine="602" w:firstLineChars="200"/>
        <w:jc w:val="both"/>
        <w:outlineLvl w:val="1"/>
        <w:rPr>
          <w:rFonts w:hint="eastAsia" w:ascii="仿宋" w:hAnsi="仿宋" w:eastAsia="仿宋" w:cs="仿宋"/>
          <w:b/>
          <w:sz w:val="30"/>
          <w:szCs w:val="20"/>
        </w:rPr>
      </w:pPr>
      <w:bookmarkStart w:id="103" w:name="_Toc177994366"/>
      <w:r>
        <w:rPr>
          <w:rFonts w:hint="eastAsia" w:ascii="仿宋" w:hAnsi="仿宋" w:eastAsia="仿宋" w:cs="仿宋"/>
          <w:b/>
          <w:sz w:val="30"/>
          <w:szCs w:val="20"/>
        </w:rPr>
        <w:t>四</w:t>
      </w:r>
      <w:bookmarkStart w:id="104" w:name="_Toc27271"/>
      <w:bookmarkStart w:id="105" w:name="_Toc1798"/>
      <w:bookmarkStart w:id="106" w:name="_Toc13078"/>
      <w:bookmarkStart w:id="107" w:name="_Toc162268307"/>
      <w:r>
        <w:rPr>
          <w:rFonts w:hint="eastAsia" w:ascii="仿宋" w:hAnsi="仿宋" w:eastAsia="仿宋" w:cs="仿宋"/>
          <w:b/>
          <w:sz w:val="30"/>
          <w:szCs w:val="20"/>
        </w:rPr>
        <w:t>、</w:t>
      </w:r>
      <w:bookmarkEnd w:id="101"/>
      <w:r>
        <w:rPr>
          <w:rFonts w:hint="eastAsia" w:ascii="仿宋" w:hAnsi="仿宋" w:eastAsia="仿宋" w:cs="仿宋"/>
          <w:b/>
          <w:sz w:val="30"/>
          <w:szCs w:val="20"/>
        </w:rPr>
        <w:t>空间布局</w:t>
      </w:r>
      <w:bookmarkEnd w:id="102"/>
      <w:bookmarkEnd w:id="103"/>
      <w:bookmarkEnd w:id="104"/>
      <w:bookmarkEnd w:id="105"/>
      <w:bookmarkEnd w:id="106"/>
      <w:bookmarkEnd w:id="107"/>
    </w:p>
    <w:p>
      <w:pPr>
        <w:pStyle w:val="26"/>
        <w:rPr>
          <w:rFonts w:hint="eastAsia"/>
          <w:color w:val="auto"/>
        </w:rPr>
      </w:pPr>
      <w:r>
        <w:rPr>
          <w:rFonts w:hint="eastAsia"/>
          <w:color w:val="auto"/>
        </w:rPr>
        <w:t>怀柔区地处首都北部生态涵养区，是北京市的生态屏障和主要饮用水的采水及补给地，是保证北京可持续发展的关键区域。为了落实“三区、两带、一环、八点”的园林绿化空间结构，综合考虑立地条件、资源分布、生产力和生态功能差异，突出各地生态功能和林业发展特点，持续发挥林地效益，尊重管理历史，沿用上一轮林地保护利用规划的空间布局，分为北部生态涵养保护区、中西部浅山区森林景观休闲体验区和东南部平原区城市森林生态服务示范区三个功能区，优化结构布局，实施差别化管理，确定保护利用方向和途径。</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（一）北部生态涵养保护区</w:t>
      </w:r>
    </w:p>
    <w:p>
      <w:pPr>
        <w:pStyle w:val="26"/>
        <w:rPr>
          <w:rFonts w:hint="eastAsia"/>
          <w:color w:val="auto"/>
        </w:rPr>
      </w:pPr>
      <w:r>
        <w:rPr>
          <w:rFonts w:hint="eastAsia"/>
          <w:color w:val="auto"/>
        </w:rPr>
        <w:t>该区包括琉璃庙、汤河口、宝山、长哨营和喇叭沟门五个镇乡及雁栖镇（北湾、大地、头道梁、西栅子、八道河、交界河）、怀北镇（椴树岭）等区域范围。</w:t>
      </w:r>
    </w:p>
    <w:p>
      <w:pPr>
        <w:pStyle w:val="26"/>
        <w:rPr>
          <w:rFonts w:hint="eastAsia"/>
          <w:color w:val="auto"/>
          <w:kern w:val="2"/>
        </w:rPr>
      </w:pPr>
      <w:r>
        <w:rPr>
          <w:rFonts w:hint="eastAsia"/>
          <w:color w:val="auto"/>
          <w:kern w:val="2"/>
        </w:rPr>
        <w:t>林地保护利用方向和策略：</w:t>
      </w:r>
      <w:r>
        <w:rPr>
          <w:color w:val="auto"/>
        </w:rPr>
        <w:t>强化森林管护，加强森林抚育，围绕增强森林生</w:t>
      </w:r>
      <w:r>
        <w:rPr>
          <w:color w:val="auto"/>
          <w:spacing w:val="-3"/>
        </w:rPr>
        <w:t>态功能，科学合理</w:t>
      </w:r>
      <w:r>
        <w:rPr>
          <w:color w:val="auto"/>
        </w:rPr>
        <w:t>开展森林经营活动。</w:t>
      </w:r>
      <w:r>
        <w:rPr>
          <w:rFonts w:hint="eastAsia"/>
          <w:color w:val="auto"/>
          <w:kern w:val="2"/>
        </w:rPr>
        <w:t>大力实施国家级公益林和天然林保护，</w:t>
      </w:r>
      <w:r>
        <w:rPr>
          <w:color w:val="auto"/>
        </w:rPr>
        <w:t>积极开展</w:t>
      </w:r>
      <w:r>
        <w:rPr>
          <w:rFonts w:hint="eastAsia"/>
          <w:color w:val="auto"/>
        </w:rPr>
        <w:t>封山育林、中</w:t>
      </w:r>
      <w:r>
        <w:rPr>
          <w:color w:val="auto"/>
        </w:rPr>
        <w:t>幼林抚育，促进林分生长</w:t>
      </w:r>
      <w:r>
        <w:rPr>
          <w:rFonts w:hint="eastAsia"/>
          <w:color w:val="auto"/>
        </w:rPr>
        <w:t>。</w:t>
      </w:r>
      <w:r>
        <w:rPr>
          <w:color w:val="auto"/>
        </w:rPr>
        <w:t>大力推进低质低效林、人工纯林修复改造，提高森林质量。营造针阔混交、乔灌混交、复层林等多层次的森林结构，持续提升森林生态系统稳定性、</w:t>
      </w:r>
      <w:r>
        <w:rPr>
          <w:rFonts w:hint="eastAsia"/>
          <w:color w:val="auto"/>
        </w:rPr>
        <w:t>丰富生物多样性、</w:t>
      </w:r>
      <w:r>
        <w:rPr>
          <w:color w:val="auto"/>
        </w:rPr>
        <w:t>不断提高水源涵养、防风固沙等生态服务功能，进一步强化生态屏障作</w:t>
      </w:r>
      <w:r>
        <w:rPr>
          <w:color w:val="auto"/>
          <w:spacing w:val="-9"/>
        </w:rPr>
        <w:t>用。</w:t>
      </w:r>
    </w:p>
    <w:p>
      <w:pPr>
        <w:keepLines/>
        <w:widowControl w:val="0"/>
        <w:spacing w:before="156" w:beforeLines="50" w:after="156" w:afterLines="50" w:line="360" w:lineRule="auto"/>
        <w:ind w:firstLine="562"/>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（二）中西部浅山区森林景观休闲体验区</w:t>
      </w:r>
    </w:p>
    <w:p>
      <w:pPr>
        <w:pStyle w:val="26"/>
        <w:rPr>
          <w:rFonts w:hint="eastAsia"/>
          <w:color w:val="auto"/>
        </w:rPr>
      </w:pPr>
      <w:r>
        <w:rPr>
          <w:rFonts w:hint="eastAsia"/>
          <w:color w:val="auto"/>
        </w:rPr>
        <w:t>该区包括九渡河镇、渤海镇及桥梓镇、雁栖镇（</w:t>
      </w:r>
      <w:r>
        <w:rPr>
          <w:rFonts w:hint="eastAsia"/>
          <w:color w:val="auto"/>
          <w:lang w:val="en-US"/>
        </w:rPr>
        <w:t>柏崖厂、北台上、陈各庄、范各庄、官地、乐园庄、莲花池、泉水头、神堂峪、石片、下辛庄、雁栖经济开发区、永乐庄、长元</w:t>
      </w:r>
      <w:r>
        <w:rPr>
          <w:rFonts w:hint="eastAsia"/>
          <w:color w:val="auto"/>
        </w:rPr>
        <w:t>）、怀北镇（西庄、东庄、怀北庄、龙各庄、神山、邓各庄、大水峪、河防口、新峰）、怀柔镇（东四、甘涧峪、郭家坞、红军庄、红螺、怀柔水库、芦庄、孟庄、石厂、卧龙岗、西三、兴隆庄）等六个镇的浅山区域范围，是怀柔山区与平原的交错地带，生态环境比较敏感脆弱。该区域是燕山板栗生产基地，也是长城文化带的重要承载地和市民休闲旅游目的地，有慕田峪长城、红螺寺、青龙峡、雁栖湖乐园等著名景点。</w:t>
      </w:r>
    </w:p>
    <w:p>
      <w:pPr>
        <w:pStyle w:val="26"/>
        <w:rPr>
          <w:rFonts w:hint="eastAsia"/>
          <w:color w:val="auto"/>
        </w:rPr>
      </w:pPr>
      <w:r>
        <w:rPr>
          <w:color w:val="auto"/>
        </w:rPr>
        <w:t>林地保护利用方向和策略：</w:t>
      </w:r>
      <w:r>
        <w:rPr>
          <w:rFonts w:hint="eastAsia"/>
          <w:color w:val="auto"/>
        </w:rPr>
        <w:t>合理利用山区土地资源，对大于25度坡的耕地进行退耕还林，改造为乔灌草相结合的复层高效林地。为有效保护山体，避免城镇建设造成开山毁林，原则上将山脚线外延20—50米作为保护范围，城镇集中建设区和村庄迁建新址应予以避让。</w:t>
      </w:r>
      <w:r>
        <w:rPr>
          <w:color w:val="auto"/>
        </w:rPr>
        <w:t>重点培育以提升森林景观为主导功能的景观林，兼顾生态防护为辅的多种用途林。着重构建资源优质、结构优化、景观优美的森林生态系统。引导生态文化创意产业，结合当地丰富的民俗文化资源，发掘森林多功能利用潜力，努力打造集森林旅游、森林康养休闲、自然科普教育、民俗文化体验等多功能于一体的森林综合景观游憩区。</w:t>
      </w:r>
    </w:p>
    <w:p>
      <w:pPr>
        <w:keepLines/>
        <w:widowControl w:val="0"/>
        <w:spacing w:before="156" w:beforeLines="50" w:after="156" w:afterLines="50" w:line="360" w:lineRule="auto"/>
        <w:ind w:firstLine="562"/>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（三）东南部平原区城市森林生态服务示范区</w:t>
      </w:r>
    </w:p>
    <w:p>
      <w:pPr>
        <w:pStyle w:val="26"/>
        <w:rPr>
          <w:rFonts w:hint="eastAsia"/>
          <w:color w:val="auto"/>
        </w:rPr>
      </w:pPr>
      <w:r>
        <w:rPr>
          <w:rFonts w:hint="eastAsia"/>
          <w:color w:val="auto"/>
        </w:rPr>
        <w:t>该区包括泉河街道、龙山街道、庙城镇、北房镇、杨宋镇及怀柔镇（大屯、大中富乐、葛各庄、刘各长、唐自口、王化、张各长、直属）等区域范围。</w:t>
      </w:r>
    </w:p>
    <w:p>
      <w:pPr>
        <w:pStyle w:val="26"/>
        <w:rPr>
          <w:rFonts w:hint="eastAsia"/>
          <w:color w:val="auto"/>
        </w:rPr>
      </w:pPr>
      <w:r>
        <w:rPr>
          <w:color w:val="auto"/>
        </w:rPr>
        <w:t>林地保护利用方向和策略：</w:t>
      </w:r>
      <w:r>
        <w:rPr>
          <w:rFonts w:hint="eastAsia"/>
          <w:color w:val="auto"/>
        </w:rPr>
        <w:t>融合森林、生态廊道、公园、湿地、田园等生态资源，构建</w:t>
      </w:r>
      <w:r>
        <w:rPr>
          <w:color w:val="auto"/>
        </w:rPr>
        <w:t>城市森林生态服务示范区、</w:t>
      </w:r>
      <w:r>
        <w:rPr>
          <w:rFonts w:hint="eastAsia"/>
          <w:color w:val="auto"/>
        </w:rPr>
        <w:t>绿地游憩核心区。在生态廊道和重要生态节点集中布局造林空间,构筑城市外围绿色生态屏障，建立由道路林带、水系林带等廊道串联组成的森林生态网络</w:t>
      </w:r>
      <w:r>
        <w:rPr>
          <w:color w:val="auto"/>
        </w:rPr>
        <w:t>。重点建设绕城森林环和环城公园环，促进平原地区生态建设与游憩功能相融合。</w:t>
      </w:r>
      <w:r>
        <w:rPr>
          <w:rFonts w:hint="eastAsia"/>
          <w:color w:val="auto"/>
        </w:rPr>
        <w:t>重点推动潮白河、雁栖河、沙河、怀河等河流生态岸线恢复和景观建设，实现森林绕城、水城交融、林田穿织的优美环境。</w:t>
      </w:r>
    </w:p>
    <w:p>
      <w:pPr>
        <w:keepNext/>
        <w:keepLines/>
        <w:widowControl w:val="0"/>
        <w:spacing w:before="120" w:after="120" w:line="360" w:lineRule="auto"/>
        <w:ind w:firstLine="602" w:firstLineChars="200"/>
        <w:jc w:val="both"/>
        <w:outlineLvl w:val="1"/>
        <w:rPr>
          <w:rFonts w:hint="eastAsia" w:ascii="仿宋" w:hAnsi="仿宋" w:eastAsia="仿宋" w:cs="仿宋"/>
          <w:b/>
          <w:sz w:val="30"/>
          <w:szCs w:val="20"/>
        </w:rPr>
      </w:pPr>
      <w:bookmarkStart w:id="108" w:name="_Toc4728"/>
      <w:bookmarkStart w:id="109" w:name="_Toc162268308"/>
      <w:bookmarkStart w:id="110" w:name="_Toc29360"/>
      <w:bookmarkStart w:id="111" w:name="_Toc11956"/>
      <w:bookmarkStart w:id="112" w:name="_Toc3738"/>
      <w:bookmarkStart w:id="113" w:name="_Toc177994367"/>
      <w:r>
        <w:rPr>
          <w:rFonts w:hint="eastAsia" w:ascii="仿宋" w:hAnsi="仿宋" w:eastAsia="仿宋" w:cs="仿宋"/>
          <w:b/>
          <w:sz w:val="30"/>
          <w:szCs w:val="20"/>
        </w:rPr>
        <w:t>五、主要任务</w:t>
      </w:r>
      <w:bookmarkEnd w:id="108"/>
      <w:bookmarkEnd w:id="109"/>
      <w:bookmarkEnd w:id="110"/>
      <w:bookmarkEnd w:id="111"/>
      <w:bookmarkEnd w:id="112"/>
      <w:bookmarkEnd w:id="113"/>
    </w:p>
    <w:p>
      <w:pPr>
        <w:pStyle w:val="26"/>
        <w:ind w:firstLine="562"/>
        <w:rPr>
          <w:rFonts w:hint="eastAsia"/>
          <w:color w:val="auto"/>
        </w:rPr>
      </w:pPr>
      <w:r>
        <w:rPr>
          <w:rFonts w:hint="eastAsia"/>
          <w:b/>
          <w:bCs/>
          <w:color w:val="auto"/>
        </w:rPr>
        <w:t>全面保护林地。</w:t>
      </w:r>
      <w:r>
        <w:rPr>
          <w:rFonts w:hint="eastAsia"/>
          <w:color w:val="auto"/>
        </w:rPr>
        <w:t>围绕分区规划优化林地空间格局，明确林地管理边界。实行林地分类管理、分级保护，严厉打击违法使用林地，以及破坏森林、林木、林地行为，减少林地逆转流失。积极有序补充林地，将确定的造林绿化空间落地上图，确保林地动态稳定。</w:t>
      </w:r>
    </w:p>
    <w:p>
      <w:pPr>
        <w:pStyle w:val="26"/>
        <w:ind w:firstLine="562"/>
        <w:rPr>
          <w:rFonts w:hint="eastAsia"/>
          <w:color w:val="auto"/>
        </w:rPr>
      </w:pPr>
      <w:r>
        <w:rPr>
          <w:rFonts w:hint="eastAsia"/>
          <w:b/>
          <w:bCs/>
          <w:color w:val="auto"/>
        </w:rPr>
        <w:t>高质量经营林地。</w:t>
      </w:r>
      <w:r>
        <w:rPr>
          <w:rFonts w:hint="eastAsia"/>
          <w:color w:val="auto"/>
        </w:rPr>
        <w:t>全面编制和施行森林经营方案，科学开展森林结构调整、灌木林改造和退化林修复，严格实施森林更新管控，保证森林覆盖率目标实现和森林生态系统健康稳定。实行分等级经营和分类管理，持续提升林地林木质量，发展林下经济，增强防灾减灾能力，积极维护生物多样性，提高林地生产力。</w:t>
      </w:r>
    </w:p>
    <w:p>
      <w:pPr>
        <w:pStyle w:val="26"/>
        <w:ind w:firstLine="562"/>
        <w:rPr>
          <w:rFonts w:ascii="Times New Roman" w:hAnsi="Times New Roman" w:cs="Times New Roman"/>
          <w:b/>
          <w:bCs/>
          <w:color w:val="auto"/>
          <w:kern w:val="2"/>
        </w:rPr>
      </w:pPr>
      <w:r>
        <w:rPr>
          <w:rFonts w:hint="eastAsia"/>
          <w:b/>
          <w:bCs/>
          <w:color w:val="auto"/>
        </w:rPr>
        <w:t>合理利用林地。</w:t>
      </w:r>
      <w:r>
        <w:rPr>
          <w:rFonts w:hint="eastAsia"/>
          <w:color w:val="auto"/>
        </w:rPr>
        <w:t>坚持绿水青山就是金山银山的理念，统筹开展山水林田湖草沙综合治理，持续加强人工造林力度，不断优化林地利用结构。规范林地利用秩序，保障绿色生态体系建设和园林绿化事业发展用地，保障重大重点及民生项目用地，依法依规支持城乡建设等其他项目用地。大力推行节约集约利用林地，积极修复被毁和退化林地，不断提高林地利用率，扩大生态建设成效，全力推进花园城市建设。</w:t>
      </w:r>
    </w:p>
    <w:p>
      <w:pPr>
        <w:pStyle w:val="26"/>
        <w:ind w:firstLine="562"/>
        <w:rPr>
          <w:rFonts w:hint="eastAsia"/>
          <w:b/>
          <w:bCs/>
          <w:kern w:val="2"/>
        </w:rPr>
      </w:pPr>
      <w:r>
        <w:rPr>
          <w:rFonts w:hint="eastAsia"/>
          <w:b/>
          <w:bCs/>
          <w:color w:val="auto"/>
          <w:lang w:val="en-US"/>
        </w:rPr>
        <w:t>强化林地保护利用全过程</w:t>
      </w:r>
      <w:r>
        <w:rPr>
          <w:rFonts w:hint="eastAsia"/>
          <w:b/>
          <w:bCs/>
          <w:color w:val="auto"/>
        </w:rPr>
        <w:t>管理。</w:t>
      </w:r>
      <w:r>
        <w:rPr>
          <w:rFonts w:hint="eastAsia"/>
          <w:color w:val="auto"/>
          <w:lang w:val="en-US"/>
        </w:rPr>
        <w:t>全面贯彻执行</w:t>
      </w:r>
      <w:r>
        <w:rPr>
          <w:rFonts w:hint="eastAsia"/>
          <w:color w:val="auto"/>
        </w:rPr>
        <w:t>《森林法》《北京市森林资源保护管理条例》</w:t>
      </w:r>
      <w:r>
        <w:rPr>
          <w:rFonts w:hint="eastAsia"/>
          <w:color w:val="auto"/>
          <w:lang w:val="en-US"/>
        </w:rPr>
        <w:t>等法律法规，</w:t>
      </w:r>
      <w:r>
        <w:rPr>
          <w:rFonts w:hint="eastAsia"/>
          <w:color w:val="auto"/>
        </w:rPr>
        <w:t>明确林地保护利用规划的</w:t>
      </w:r>
      <w:r>
        <w:rPr>
          <w:rFonts w:hint="eastAsia"/>
          <w:color w:val="auto"/>
          <w:lang w:val="en-US"/>
        </w:rPr>
        <w:t>地位和作用</w:t>
      </w:r>
      <w:r>
        <w:rPr>
          <w:rFonts w:hint="eastAsia"/>
          <w:color w:val="auto"/>
        </w:rPr>
        <w:t>，增强规划的严肃性和执行力。坚持和完善林长制，严格督察考核，形成长效机制。建立与国土空间规划“一张图”相衔接的基础信息平台，全面落实森林、林木、林地一体化、精准化动态监测监管，推进综合治理现代化。</w:t>
      </w:r>
    </w:p>
    <w:p>
      <w:pPr>
        <w:pStyle w:val="2"/>
        <w:keepNext w:val="0"/>
        <w:widowControl w:val="0"/>
        <w:spacing w:before="156" w:after="156" w:line="360" w:lineRule="auto"/>
        <w:rPr>
          <w:rFonts w:hint="eastAsia" w:ascii="仿宋" w:hAnsi="仿宋" w:eastAsia="仿宋" w:cs="仿宋"/>
          <w:bCs/>
          <w:sz w:val="32"/>
          <w:szCs w:val="32"/>
        </w:rPr>
      </w:pPr>
      <w:bookmarkStart w:id="114" w:name="_Toc28148"/>
      <w:bookmarkStart w:id="115" w:name="_Toc11211"/>
      <w:bookmarkStart w:id="116" w:name="_Toc162268309"/>
      <w:bookmarkStart w:id="117" w:name="_Toc24312"/>
      <w:bookmarkStart w:id="118" w:name="_Toc177994368"/>
      <w:r>
        <w:rPr>
          <w:rFonts w:hint="eastAsia" w:ascii="仿宋" w:hAnsi="仿宋" w:eastAsia="仿宋" w:cs="仿宋"/>
          <w:sz w:val="32"/>
          <w:szCs w:val="32"/>
        </w:rPr>
        <w:t xml:space="preserve">第三章 </w:t>
      </w:r>
      <w:r>
        <w:rPr>
          <w:rFonts w:hint="eastAsia" w:ascii="仿宋" w:hAnsi="仿宋" w:eastAsia="仿宋" w:cs="仿宋"/>
          <w:bCs/>
          <w:sz w:val="32"/>
          <w:szCs w:val="32"/>
        </w:rPr>
        <w:t>全面保护林地</w:t>
      </w:r>
      <w:bookmarkEnd w:id="114"/>
      <w:bookmarkEnd w:id="115"/>
      <w:bookmarkEnd w:id="116"/>
      <w:bookmarkEnd w:id="117"/>
      <w:bookmarkEnd w:id="118"/>
    </w:p>
    <w:p>
      <w:pPr>
        <w:keepLines/>
        <w:widowControl w:val="0"/>
        <w:adjustRightInd/>
        <w:snapToGrid/>
        <w:spacing w:before="120" w:after="120" w:line="360" w:lineRule="auto"/>
        <w:ind w:firstLine="596" w:firstLineChars="198"/>
        <w:jc w:val="both"/>
        <w:textAlignment w:val="baseline"/>
        <w:outlineLvl w:val="1"/>
        <w:rPr>
          <w:rFonts w:hint="eastAsia" w:ascii="仿宋" w:hAnsi="仿宋" w:eastAsia="仿宋" w:cs="仿宋"/>
          <w:b/>
          <w:sz w:val="30"/>
          <w:szCs w:val="20"/>
          <w:lang w:val="zh-TW"/>
        </w:rPr>
      </w:pPr>
      <w:bookmarkStart w:id="119" w:name="_Toc162268310"/>
      <w:bookmarkStart w:id="120" w:name="_Toc20743"/>
      <w:bookmarkStart w:id="121" w:name="_Toc177994369"/>
      <w:bookmarkStart w:id="122" w:name="_Toc18368"/>
      <w:bookmarkStart w:id="123" w:name="_Toc12999"/>
      <w:r>
        <w:rPr>
          <w:rFonts w:hint="eastAsia" w:ascii="仿宋" w:hAnsi="仿宋" w:eastAsia="仿宋" w:cs="仿宋"/>
          <w:b/>
          <w:sz w:val="30"/>
          <w:szCs w:val="20"/>
          <w:lang w:val="zh-TW"/>
        </w:rPr>
        <w:t>一、明确林地边界，稳定京北绿色屏障</w:t>
      </w:r>
      <w:bookmarkEnd w:id="119"/>
      <w:bookmarkEnd w:id="120"/>
      <w:bookmarkEnd w:id="121"/>
    </w:p>
    <w:p>
      <w:pPr>
        <w:keepLines/>
        <w:widowControl w:val="0"/>
        <w:spacing w:before="156" w:beforeLines="50" w:after="156" w:afterLines="50" w:line="360" w:lineRule="auto"/>
        <w:ind w:left="66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（一）明确林地管理边界</w:t>
      </w:r>
    </w:p>
    <w:p>
      <w:pPr>
        <w:pStyle w:val="26"/>
        <w:rPr>
          <w:rFonts w:hint="eastAsia"/>
          <w:color w:val="auto"/>
        </w:rPr>
      </w:pPr>
      <w:r>
        <w:rPr>
          <w:rFonts w:hint="eastAsia"/>
          <w:color w:val="auto"/>
        </w:rPr>
        <w:t>坚持国土空间唯一性和地类唯一性，以“三调”成果为统一底版，以“三区三线”划定成果和分区规划为依据，遵循依法依规、实事求是的原则，综合考虑地类来源的合理性、合法性，科学合理、及时准确地明确林地管理边界。</w:t>
      </w:r>
      <w:r>
        <w:rPr>
          <w:rFonts w:hint="eastAsia" w:ascii="Times New Roman" w:hAnsi="Times New Roman" w:cs="Times New Roman"/>
          <w:kern w:val="2"/>
        </w:rPr>
        <w:t>在全市划定的耕地保护空间（含永久基本农田及储备区，下同）范围以外</w:t>
      </w:r>
      <w:r>
        <w:rPr>
          <w:rFonts w:hint="eastAsia"/>
          <w:color w:val="auto"/>
        </w:rPr>
        <w:t>，对现状为森林植被覆盖的土地，按照“应划尽划、应保尽保”原则，依法稳妥有序恢复林地管理属性。对于平原生态林、山区公益林等享受政府政策的森林资源，依法依规纳入林地管理。</w:t>
      </w:r>
    </w:p>
    <w:p>
      <w:pPr>
        <w:keepLines/>
        <w:widowControl w:val="0"/>
        <w:spacing w:before="156" w:beforeLines="50" w:after="156" w:afterLines="50" w:line="360" w:lineRule="auto"/>
        <w:ind w:left="66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（二）优化林地格局</w:t>
      </w:r>
    </w:p>
    <w:p>
      <w:pPr>
        <w:pStyle w:val="26"/>
        <w:rPr>
          <w:rFonts w:hint="eastAsia"/>
          <w:color w:val="auto"/>
        </w:rPr>
      </w:pPr>
      <w:r>
        <w:rPr>
          <w:rFonts w:hint="eastAsia"/>
          <w:color w:val="auto"/>
        </w:rPr>
        <w:t>合理配置怀柔区林地布局，落实林地边界，明晰林地管理属性，稳定林业发展空间格局。引导优化林地保护利用区域布局和结构，明确林地保护利用发展方向和目标，优化资源配置，提升森林生态系统的稳定性、完整性和多样性，筑牢首都北部绿色屏障。</w:t>
      </w:r>
    </w:p>
    <w:p>
      <w:pPr>
        <w:keepLines/>
        <w:widowControl w:val="0"/>
        <w:spacing w:before="156" w:beforeLines="50" w:after="156" w:afterLines="50" w:line="360" w:lineRule="auto"/>
        <w:ind w:left="66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（三）明晰林地管理职责</w:t>
      </w:r>
    </w:p>
    <w:p>
      <w:pPr>
        <w:pStyle w:val="26"/>
        <w:rPr>
          <w:rFonts w:hint="eastAsia"/>
          <w:color w:val="auto"/>
        </w:rPr>
      </w:pPr>
      <w:r>
        <w:rPr>
          <w:rFonts w:hint="eastAsia"/>
          <w:color w:val="auto"/>
        </w:rPr>
        <w:t>建立园林绿化主管部门与规自、农业农村、交通、水务等部门林地保护利用协作机制，落实属地及部门责任，依法严格控制林地转为非林地，确保林地保有量不减少。依据批准的林地范围，按照林地落界条件和精度要求，全面核实林地空间，不重不漏地将林地界线落地上图，记载林地保护等级等管理属性。结合森林经营活动，</w:t>
      </w:r>
      <w:r>
        <w:rPr>
          <w:rFonts w:hint="eastAsia" w:ascii="Times New Roman" w:hAnsi="Times New Roman" w:cs="Times New Roman"/>
          <w:kern w:val="2"/>
        </w:rPr>
        <w:t>准确掌握林地范围变化、相关国土空间规划的批复实施及更新维护，及时更新林地界线，</w:t>
      </w:r>
      <w:r>
        <w:rPr>
          <w:rFonts w:hint="eastAsia"/>
          <w:color w:val="auto"/>
        </w:rPr>
        <w:t>将林地落界成果纳入国土空间规划“一张图”。</w:t>
      </w:r>
    </w:p>
    <w:p>
      <w:pPr>
        <w:keepLines/>
        <w:widowControl w:val="0"/>
        <w:adjustRightInd/>
        <w:snapToGrid/>
        <w:spacing w:before="120" w:after="120" w:line="360" w:lineRule="auto"/>
        <w:ind w:firstLine="596" w:firstLineChars="198"/>
        <w:jc w:val="both"/>
        <w:textAlignment w:val="baseline"/>
        <w:outlineLvl w:val="1"/>
        <w:rPr>
          <w:rFonts w:hint="eastAsia" w:ascii="仿宋" w:hAnsi="仿宋" w:eastAsia="仿宋" w:cs="仿宋"/>
          <w:b/>
          <w:sz w:val="30"/>
          <w:szCs w:val="20"/>
          <w:lang w:val="zh-TW"/>
        </w:rPr>
      </w:pPr>
      <w:bookmarkStart w:id="124" w:name="_Toc177994370"/>
      <w:bookmarkStart w:id="125" w:name="_Toc4370"/>
      <w:bookmarkStart w:id="126" w:name="_Toc162268311"/>
      <w:r>
        <w:rPr>
          <w:rFonts w:hint="eastAsia" w:ascii="仿宋" w:hAnsi="仿宋" w:eastAsia="仿宋" w:cs="仿宋"/>
          <w:b/>
          <w:sz w:val="30"/>
          <w:szCs w:val="20"/>
        </w:rPr>
        <w:t>二</w:t>
      </w:r>
      <w:r>
        <w:rPr>
          <w:rFonts w:hint="eastAsia" w:ascii="仿宋" w:hAnsi="仿宋" w:eastAsia="仿宋" w:cs="仿宋"/>
          <w:b/>
          <w:sz w:val="30"/>
          <w:szCs w:val="20"/>
          <w:lang w:val="zh-TW"/>
        </w:rPr>
        <w:t>、坚持用途管制，限制林地逆转</w:t>
      </w:r>
      <w:bookmarkEnd w:id="122"/>
      <w:bookmarkEnd w:id="123"/>
      <w:bookmarkEnd w:id="124"/>
      <w:bookmarkEnd w:id="125"/>
      <w:bookmarkEnd w:id="126"/>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（一）严格保护公益林地</w:t>
      </w:r>
    </w:p>
    <w:p>
      <w:pPr>
        <w:pStyle w:val="26"/>
        <w:rPr>
          <w:rFonts w:hint="eastAsia"/>
          <w:color w:val="auto"/>
        </w:rPr>
      </w:pPr>
      <w:r>
        <w:rPr>
          <w:rFonts w:hint="eastAsia"/>
          <w:color w:val="auto"/>
        </w:rPr>
        <w:t>全面落实公益林地的管护责任，不断优化完善公益林补偿机制，确保公益林面积稳步增加，质量不断提高。增强全社会对保护和管理公益林重要性的认识，严禁私自改变公益林地的性质，加强公益林管护。加强对占用公益林地的监督管理，尽量减少或避免占用公益林，除国务院有关部门和市级人民政府批准的基础设施，公共事业、民生建设项目，国防、外交建设项目，以及符合自然保护区、森林公园、湿地公园、风景名胜区等规划的建设项目以外，不得使用</w:t>
      </w:r>
      <w:r>
        <w:rPr>
          <w:color w:val="auto"/>
        </w:rPr>
        <w:t>一级国家级公益林地</w:t>
      </w:r>
      <w:r>
        <w:rPr>
          <w:rFonts w:hint="eastAsia"/>
          <w:color w:val="auto"/>
        </w:rPr>
        <w:t>。</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（二）严格管理商品林地</w:t>
      </w:r>
    </w:p>
    <w:p>
      <w:pPr>
        <w:pStyle w:val="26"/>
        <w:rPr>
          <w:rFonts w:hint="eastAsia"/>
          <w:color w:val="auto"/>
        </w:rPr>
      </w:pPr>
      <w:r>
        <w:rPr>
          <w:rFonts w:hint="eastAsia"/>
          <w:color w:val="auto"/>
        </w:rPr>
        <w:t>规范商品林地使用秩序，在不破坏森林生态系统功能的条件下，以市场为导向，以提质增效为目标，遵循市场经济规律，实行高科技、高投入、高产出，规模经营。加强商品林地的使用管理，</w:t>
      </w:r>
      <w:r>
        <w:rPr>
          <w:rFonts w:hint="eastAsia"/>
          <w:color w:val="auto"/>
          <w:lang w:val="en-US"/>
        </w:rPr>
        <w:t>引导</w:t>
      </w:r>
      <w:r>
        <w:rPr>
          <w:rFonts w:hint="eastAsia"/>
          <w:color w:val="auto"/>
        </w:rPr>
        <w:t>依法依规</w:t>
      </w:r>
      <w:r>
        <w:rPr>
          <w:rFonts w:hint="eastAsia"/>
          <w:color w:val="auto"/>
          <w:lang w:val="en-US"/>
        </w:rPr>
        <w:t>集约节约使用</w:t>
      </w:r>
      <w:r>
        <w:rPr>
          <w:rFonts w:hint="eastAsia"/>
          <w:color w:val="auto"/>
        </w:rPr>
        <w:t>商品林地，</w:t>
      </w:r>
      <w:r>
        <w:rPr>
          <w:rFonts w:hint="eastAsia"/>
          <w:color w:val="auto"/>
          <w:lang w:val="en-US"/>
        </w:rPr>
        <w:t>提高林地利用效率</w:t>
      </w:r>
      <w:r>
        <w:rPr>
          <w:rFonts w:hint="eastAsia"/>
          <w:color w:val="auto"/>
        </w:rPr>
        <w:t>。</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（三）严格控制林地逆转</w:t>
      </w:r>
    </w:p>
    <w:p>
      <w:pPr>
        <w:pStyle w:val="26"/>
        <w:ind w:firstLine="592"/>
        <w:rPr>
          <w:rFonts w:hint="eastAsia"/>
          <w:color w:val="auto"/>
          <w:spacing w:val="8"/>
        </w:rPr>
      </w:pPr>
      <w:r>
        <w:rPr>
          <w:rFonts w:hint="eastAsia"/>
          <w:color w:val="auto"/>
          <w:spacing w:val="8"/>
        </w:rPr>
        <w:t>严格</w:t>
      </w:r>
      <w:r>
        <w:rPr>
          <w:rFonts w:hint="eastAsia"/>
          <w:color w:val="auto"/>
          <w:spacing w:val="8"/>
          <w:lang w:val="en-US"/>
        </w:rPr>
        <w:t>控制</w:t>
      </w:r>
      <w:r>
        <w:rPr>
          <w:rFonts w:hint="eastAsia"/>
          <w:color w:val="auto"/>
          <w:spacing w:val="8"/>
        </w:rPr>
        <w:t>林地转为建设用</w:t>
      </w:r>
      <w:r>
        <w:rPr>
          <w:rFonts w:hint="eastAsia"/>
          <w:color w:val="auto"/>
          <w:spacing w:val="8"/>
          <w:lang w:val="en-US"/>
        </w:rPr>
        <w:t>地</w:t>
      </w:r>
      <w:r>
        <w:rPr>
          <w:rFonts w:hint="eastAsia"/>
          <w:color w:val="auto"/>
          <w:spacing w:val="8"/>
        </w:rPr>
        <w:t>。规范工程建设使用林地，依法履行</w:t>
      </w:r>
      <w:r>
        <w:rPr>
          <w:rFonts w:hint="eastAsia"/>
          <w:color w:val="auto"/>
          <w:spacing w:val="8"/>
          <w:lang w:val="en-US"/>
        </w:rPr>
        <w:t>使</w:t>
      </w:r>
      <w:r>
        <w:rPr>
          <w:rFonts w:hint="eastAsia"/>
          <w:color w:val="auto"/>
          <w:spacing w:val="8"/>
        </w:rPr>
        <w:t>用林地审核审批程序，并监督执行。严格落实占用林地定额制度，控制占用林地。</w:t>
      </w:r>
    </w:p>
    <w:p>
      <w:pPr>
        <w:pStyle w:val="26"/>
        <w:rPr>
          <w:rFonts w:hint="eastAsia"/>
          <w:color w:val="auto"/>
        </w:rPr>
      </w:pPr>
      <w:r>
        <w:rPr>
          <w:rFonts w:hint="eastAsia"/>
          <w:color w:val="auto"/>
        </w:rPr>
        <w:t>严格控制林地转为其他农用地。规范林地转化为其他农用土地，严禁破坏生态环境砍树挖山填湖，禁止毁林挖砂挖塘，不得以整治名义擅自毁林开垦。实行年度计划管理，建立林地年度进出平衡管理台账，明确林地转为其他农用地的规模、布局、时序和年度安排。</w:t>
      </w:r>
    </w:p>
    <w:p>
      <w:pPr>
        <w:pStyle w:val="26"/>
        <w:ind w:firstLine="562"/>
        <w:rPr>
          <w:rFonts w:hint="eastAsia"/>
          <w:b/>
          <w:kern w:val="2"/>
          <w:lang w:eastAsia="zh-TW"/>
        </w:rPr>
      </w:pPr>
      <w:r>
        <w:rPr>
          <w:rFonts w:hint="eastAsia"/>
          <w:b/>
          <w:kern w:val="2"/>
          <w:lang w:eastAsia="zh-TW"/>
        </w:rPr>
        <w:t>（四）加大林地修复力度</w:t>
      </w:r>
    </w:p>
    <w:p>
      <w:pPr>
        <w:pStyle w:val="26"/>
        <w:rPr>
          <w:rFonts w:hint="eastAsia"/>
          <w:color w:val="auto"/>
        </w:rPr>
      </w:pPr>
      <w:r>
        <w:rPr>
          <w:rFonts w:ascii="Times New Roman" w:hAnsi="Times New Roman" w:cs="Times New Roman"/>
        </w:rPr>
        <w:t>加大临时占用林地的修复力度，临时占用林地期满后，必须依法在原地、同面积、等质量恢复林业生产条件和森林植被</w:t>
      </w:r>
      <w:r>
        <w:rPr>
          <w:rFonts w:hint="eastAsia" w:ascii="Times New Roman" w:hAnsi="Times New Roman" w:cs="Times New Roman"/>
        </w:rPr>
        <w:t>，</w:t>
      </w:r>
      <w:r>
        <w:rPr>
          <w:rFonts w:hint="eastAsia" w:ascii="Times New Roman" w:hAnsi="Times New Roman" w:cs="Times New Roman"/>
          <w:lang w:val="en-US"/>
        </w:rPr>
        <w:t>并监督执行</w:t>
      </w:r>
      <w:r>
        <w:rPr>
          <w:rFonts w:ascii="Times New Roman" w:hAnsi="Times New Roman" w:cs="Times New Roman"/>
        </w:rPr>
        <w:t>，防止水土流失、泥石流等次生灾害，避免立地条件恶化。</w:t>
      </w:r>
      <w:r>
        <w:rPr>
          <w:rFonts w:hint="eastAsia"/>
          <w:color w:val="auto"/>
        </w:rPr>
        <w:t>加强林地和森林生态系统的防灾、抗灾、减灾能力建设，减少自然灾害损毁林地数量，对灾毁林地应及时进行修复治理。对已经退化为疏林地、灌丛和荒山荒地的林地，因地制宜，有针对性地采用人工造林、补植、封山育林等措施，恢复森林植被，增加森林资源，遏制林地退化。</w:t>
      </w:r>
    </w:p>
    <w:p>
      <w:pPr>
        <w:keepLines/>
        <w:widowControl w:val="0"/>
        <w:adjustRightInd/>
        <w:snapToGrid/>
        <w:spacing w:before="120" w:after="120" w:line="360" w:lineRule="auto"/>
        <w:ind w:firstLine="596" w:firstLineChars="198"/>
        <w:jc w:val="both"/>
        <w:textAlignment w:val="baseline"/>
        <w:outlineLvl w:val="1"/>
        <w:rPr>
          <w:rFonts w:hint="eastAsia" w:ascii="仿宋" w:hAnsi="仿宋" w:eastAsia="仿宋" w:cs="仿宋"/>
          <w:b/>
          <w:sz w:val="30"/>
          <w:szCs w:val="20"/>
          <w:lang w:val="zh-TW"/>
        </w:rPr>
      </w:pPr>
      <w:bookmarkStart w:id="127" w:name="_Toc20970"/>
      <w:bookmarkStart w:id="128" w:name="_Toc4658"/>
      <w:bookmarkStart w:id="129" w:name="_Toc162268312"/>
      <w:bookmarkStart w:id="130" w:name="_Toc9056"/>
      <w:bookmarkStart w:id="131" w:name="_Toc177994371"/>
      <w:r>
        <w:rPr>
          <w:rFonts w:hint="eastAsia" w:ascii="仿宋" w:hAnsi="仿宋" w:eastAsia="仿宋" w:cs="仿宋"/>
          <w:b/>
          <w:sz w:val="30"/>
          <w:szCs w:val="20"/>
        </w:rPr>
        <w:t>三</w:t>
      </w:r>
      <w:r>
        <w:rPr>
          <w:rFonts w:hint="eastAsia" w:ascii="仿宋" w:hAnsi="仿宋" w:eastAsia="仿宋" w:cs="仿宋"/>
          <w:b/>
          <w:sz w:val="30"/>
          <w:szCs w:val="20"/>
          <w:lang w:val="zh-TW"/>
        </w:rPr>
        <w:t>、实行分级管理，规范林地保护</w:t>
      </w:r>
      <w:bookmarkEnd w:id="127"/>
      <w:bookmarkEnd w:id="128"/>
      <w:bookmarkEnd w:id="129"/>
      <w:bookmarkEnd w:id="130"/>
      <w:bookmarkEnd w:id="131"/>
    </w:p>
    <w:p>
      <w:pPr>
        <w:pStyle w:val="26"/>
        <w:ind w:firstLine="562"/>
        <w:rPr>
          <w:rFonts w:hint="eastAsia"/>
          <w:kern w:val="2"/>
          <w:lang w:eastAsia="zh-TW"/>
        </w:rPr>
      </w:pPr>
      <w:r>
        <w:rPr>
          <w:rFonts w:hint="eastAsia"/>
          <w:b/>
          <w:kern w:val="2"/>
          <w:lang w:eastAsia="zh-TW"/>
        </w:rPr>
        <w:t>（一）科学划定林地保护等级</w:t>
      </w:r>
    </w:p>
    <w:p>
      <w:pPr>
        <w:pStyle w:val="26"/>
        <w:rPr>
          <w:rFonts w:hint="eastAsia"/>
          <w:color w:val="auto"/>
        </w:rPr>
      </w:pPr>
      <w:r>
        <w:rPr>
          <w:rFonts w:hint="eastAsia"/>
          <w:color w:val="auto"/>
          <w:lang w:val="en-US"/>
        </w:rPr>
        <w:t>坚持</w:t>
      </w:r>
      <w:r>
        <w:rPr>
          <w:rFonts w:hint="eastAsia"/>
          <w:color w:val="auto"/>
        </w:rPr>
        <w:t>保护优先与科学利用</w:t>
      </w:r>
      <w:r>
        <w:rPr>
          <w:color w:val="auto"/>
        </w:rPr>
        <w:t>相结合，</w:t>
      </w:r>
      <w:r>
        <w:rPr>
          <w:rFonts w:hint="eastAsia"/>
          <w:color w:val="auto"/>
          <w:lang w:val="en-US"/>
        </w:rPr>
        <w:t>按照国家和北京市林地保护等级划分相关标准，</w:t>
      </w:r>
      <w:r>
        <w:rPr>
          <w:color w:val="auto"/>
        </w:rPr>
        <w:t>结合</w:t>
      </w:r>
      <w:r>
        <w:rPr>
          <w:rFonts w:hint="eastAsia"/>
          <w:color w:val="auto"/>
          <w:lang w:val="en-US"/>
        </w:rPr>
        <w:t>怀柔区林业</w:t>
      </w:r>
      <w:r>
        <w:rPr>
          <w:color w:val="auto"/>
        </w:rPr>
        <w:t>发展实际，</w:t>
      </w:r>
      <w:r>
        <w:rPr>
          <w:rFonts w:hint="eastAsia"/>
          <w:color w:val="auto"/>
          <w:lang w:val="en-US"/>
        </w:rPr>
        <w:t>科学划定</w:t>
      </w:r>
      <w:r>
        <w:rPr>
          <w:color w:val="auto"/>
        </w:rPr>
        <w:t>Ⅰ、Ⅱ、Ⅲ、Ⅳ</w:t>
      </w:r>
      <w:r>
        <w:rPr>
          <w:rFonts w:hint="eastAsia"/>
          <w:color w:val="auto"/>
        </w:rPr>
        <w:t>四个</w:t>
      </w:r>
      <w:r>
        <w:rPr>
          <w:rFonts w:hint="eastAsia"/>
          <w:color w:val="auto"/>
          <w:lang w:val="en-US"/>
        </w:rPr>
        <w:t>林地</w:t>
      </w:r>
      <w:r>
        <w:rPr>
          <w:rFonts w:hint="eastAsia"/>
          <w:color w:val="auto"/>
        </w:rPr>
        <w:t>保护等级，</w:t>
      </w:r>
      <w:r>
        <w:rPr>
          <w:color w:val="auto"/>
        </w:rPr>
        <w:t>实行分级管</w:t>
      </w:r>
      <w:r>
        <w:rPr>
          <w:rFonts w:hint="eastAsia"/>
          <w:color w:val="auto"/>
          <w:lang w:val="en-US"/>
        </w:rPr>
        <w:t>理</w:t>
      </w:r>
      <w:r>
        <w:rPr>
          <w:rFonts w:hint="eastAsia"/>
          <w:color w:val="auto"/>
        </w:rPr>
        <w:t>。林地保护等级一经划定，原则上不得调整，确因生态区位、主导功能及政策因素等划分条件变化需调整的，需经科学论证后，由市园林绿化主管部门批准。</w:t>
      </w:r>
    </w:p>
    <w:p>
      <w:pPr>
        <w:pStyle w:val="26"/>
        <w:ind w:firstLine="562"/>
        <w:rPr>
          <w:rFonts w:hint="eastAsia"/>
          <w:kern w:val="2"/>
          <w:lang w:eastAsia="zh-TW"/>
        </w:rPr>
      </w:pPr>
      <w:r>
        <w:rPr>
          <w:rFonts w:hint="eastAsia"/>
          <w:b/>
          <w:kern w:val="2"/>
          <w:lang w:eastAsia="zh-TW"/>
        </w:rPr>
        <w:t>（二）严格实行分级管控</w:t>
      </w:r>
    </w:p>
    <w:p>
      <w:pPr>
        <w:pStyle w:val="26"/>
        <w:rPr>
          <w:rFonts w:hint="eastAsia"/>
        </w:rPr>
      </w:pPr>
      <w:r>
        <w:rPr>
          <w:rFonts w:hint="eastAsia"/>
        </w:rPr>
        <w:t>根据保护级别，分别制定相应的保护、利用和管理措施</w:t>
      </w:r>
      <w:r>
        <w:t>。</w:t>
      </w:r>
      <w:r>
        <w:rPr>
          <w:rFonts w:hint="eastAsia"/>
        </w:rPr>
        <w:t>不得随意调整或变更林地保护等级，禁止为了开发建设而擅自降低林地保护等级。</w:t>
      </w:r>
    </w:p>
    <w:p>
      <w:pPr>
        <w:keepLines/>
        <w:widowControl w:val="0"/>
        <w:adjustRightInd/>
        <w:snapToGrid/>
        <w:spacing w:before="120" w:after="120" w:line="360" w:lineRule="auto"/>
        <w:ind w:firstLine="596" w:firstLineChars="198"/>
        <w:jc w:val="both"/>
        <w:textAlignment w:val="baseline"/>
        <w:outlineLvl w:val="1"/>
        <w:rPr>
          <w:rFonts w:hint="eastAsia" w:ascii="仿宋" w:hAnsi="仿宋" w:eastAsia="仿宋" w:cs="仿宋"/>
          <w:b/>
          <w:sz w:val="30"/>
          <w:szCs w:val="20"/>
        </w:rPr>
      </w:pPr>
      <w:bookmarkStart w:id="132" w:name="_Toc11563"/>
      <w:bookmarkStart w:id="133" w:name="_Toc162268313"/>
      <w:bookmarkStart w:id="134" w:name="_Toc20307"/>
      <w:bookmarkStart w:id="135" w:name="_Toc4440"/>
      <w:bookmarkStart w:id="136" w:name="_Toc177994372"/>
      <w:r>
        <w:rPr>
          <w:rFonts w:hint="eastAsia" w:ascii="仿宋" w:hAnsi="仿宋" w:eastAsia="仿宋" w:cs="仿宋"/>
          <w:b/>
          <w:sz w:val="30"/>
          <w:szCs w:val="20"/>
        </w:rPr>
        <w:t>四、节约集约用地，精准管控</w:t>
      </w:r>
      <w:bookmarkEnd w:id="132"/>
      <w:bookmarkEnd w:id="133"/>
      <w:bookmarkEnd w:id="134"/>
      <w:bookmarkEnd w:id="135"/>
      <w:r>
        <w:rPr>
          <w:rFonts w:hint="eastAsia" w:ascii="仿宋" w:hAnsi="仿宋" w:eastAsia="仿宋" w:cs="仿宋"/>
          <w:b/>
          <w:sz w:val="30"/>
          <w:szCs w:val="20"/>
        </w:rPr>
        <w:t>林地使用</w:t>
      </w:r>
      <w:bookmarkEnd w:id="136"/>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（一）保障基础设施及重大项目用地</w:t>
      </w:r>
    </w:p>
    <w:p>
      <w:pPr>
        <w:pStyle w:val="26"/>
        <w:rPr>
          <w:rFonts w:hint="eastAsia"/>
          <w:color w:val="auto"/>
        </w:rPr>
      </w:pPr>
      <w:r>
        <w:rPr>
          <w:rFonts w:hint="eastAsia"/>
          <w:color w:val="auto"/>
        </w:rPr>
        <w:t>保障列入国家和市重点建设项目目录的公路、水运、城市道路、铁路、水务、基地等基础设施、新型基础设施、公共事业和民生、高新技术产业、战略性新兴产业、军事国防、外交等建设项目使用林地。引导建设项目节约使用林地，适当配套绿化工程，扩大防护林面积。</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（二）控制城乡建设使用林地</w:t>
      </w:r>
    </w:p>
    <w:p>
      <w:pPr>
        <w:pStyle w:val="26"/>
        <w:rPr>
          <w:rFonts w:hint="eastAsia"/>
          <w:color w:val="auto"/>
        </w:rPr>
      </w:pPr>
      <w:r>
        <w:rPr>
          <w:rFonts w:hint="eastAsia"/>
          <w:color w:val="auto"/>
        </w:rPr>
        <w:t>坚持落实少占或不占林地为原则，控制城乡建设使用林地，加强城市森林、绿道网、新农村、农田防护林网等工程建设，恢复拆迁腾退地、违建地等造林，保持城镇建设使用林地与生态恢复新增林地的动态平衡。</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（三）限制工矿开发占用林地</w:t>
      </w:r>
    </w:p>
    <w:p>
      <w:pPr>
        <w:pStyle w:val="26"/>
        <w:rPr>
          <w:rFonts w:hint="eastAsia"/>
          <w:color w:val="auto"/>
        </w:rPr>
      </w:pPr>
      <w:r>
        <w:rPr>
          <w:rFonts w:hint="eastAsia"/>
          <w:color w:val="auto"/>
        </w:rPr>
        <w:t>限制独立选址的工业、矿产资源开发项目使用公益林地、天然林地和重点商品林地。矿山用地实行生态优先、缴费使用、保障恢复、占补平衡政策，禁止私挖滥采、无序开发。建立矿山开发配套实施生态工程制度，对生态状况严格监控。</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（四）规范经营性项目使用林地</w:t>
      </w:r>
    </w:p>
    <w:p>
      <w:pPr>
        <w:pStyle w:val="26"/>
        <w:rPr>
          <w:rFonts w:hint="eastAsia"/>
          <w:color w:val="auto"/>
        </w:rPr>
      </w:pPr>
      <w:r>
        <w:rPr>
          <w:rFonts w:hint="eastAsia"/>
          <w:color w:val="auto"/>
        </w:rPr>
        <w:t>加强经营性开发建设项目用地规划管理，杜绝擅自扩大建设规模的现象，适度保障符合自然保护区、森林公园、郊野公园、风景名胜区规划的生态旅游用地。严格控制其他旅游开发项目使用公益林地和商品林地。引导新建工业企业由林地资源紧缺地区向林地资源相对充足，特别是保护等级低、质量等级低的地区疏散，减少优质林地改变用途。</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（五）加强占用林地管理</w:t>
      </w:r>
    </w:p>
    <w:p>
      <w:pPr>
        <w:pStyle w:val="26"/>
        <w:rPr>
          <w:rFonts w:hint="eastAsia"/>
          <w:color w:val="auto"/>
        </w:rPr>
      </w:pPr>
      <w:r>
        <w:rPr>
          <w:rFonts w:hint="eastAsia"/>
          <w:color w:val="auto"/>
        </w:rPr>
        <w:t>依据国家和北京市的有关规定，建立健全限制经营性项目使用林地相应的约束性措施。严格执行占用林地定额管理制度，通过行政、经济补偿、市场等手段，引导建设项目节约使用林地，控制多占、浪费林地等行为。实施森林占补平衡，恢复的森林植被不得少于因占用林地而减少的森林面积，且不降低林地生产力。</w:t>
      </w:r>
    </w:p>
    <w:p>
      <w:pPr>
        <w:keepLines/>
        <w:widowControl w:val="0"/>
        <w:adjustRightInd/>
        <w:snapToGrid/>
        <w:spacing w:before="120" w:after="120" w:line="360" w:lineRule="auto"/>
        <w:ind w:firstLine="596" w:firstLineChars="198"/>
        <w:jc w:val="both"/>
        <w:textAlignment w:val="baseline"/>
        <w:outlineLvl w:val="1"/>
        <w:rPr>
          <w:rFonts w:hint="eastAsia" w:ascii="仿宋" w:hAnsi="仿宋" w:eastAsia="仿宋" w:cs="仿宋"/>
          <w:b/>
          <w:sz w:val="30"/>
          <w:szCs w:val="20"/>
          <w:lang w:val="zh-TW"/>
        </w:rPr>
      </w:pPr>
      <w:bookmarkStart w:id="137" w:name="_Toc4926"/>
      <w:bookmarkStart w:id="138" w:name="_Toc2937"/>
      <w:bookmarkStart w:id="139" w:name="_Toc21588"/>
      <w:bookmarkStart w:id="140" w:name="_Toc162268314"/>
      <w:bookmarkStart w:id="141" w:name="_Toc177994373"/>
      <w:r>
        <w:rPr>
          <w:rFonts w:hint="eastAsia" w:ascii="仿宋" w:hAnsi="仿宋" w:eastAsia="仿宋" w:cs="仿宋"/>
          <w:b/>
          <w:sz w:val="30"/>
          <w:szCs w:val="20"/>
        </w:rPr>
        <w:t>五</w:t>
      </w:r>
      <w:r>
        <w:rPr>
          <w:rFonts w:hint="eastAsia" w:ascii="仿宋" w:hAnsi="仿宋" w:eastAsia="仿宋" w:cs="仿宋"/>
          <w:b/>
          <w:sz w:val="30"/>
          <w:szCs w:val="20"/>
          <w:lang w:val="zh-TW"/>
        </w:rPr>
        <w:t>、积极补充林地，维持动态平衡</w:t>
      </w:r>
      <w:bookmarkEnd w:id="137"/>
      <w:bookmarkEnd w:id="138"/>
      <w:bookmarkEnd w:id="139"/>
      <w:bookmarkEnd w:id="140"/>
      <w:bookmarkEnd w:id="141"/>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bookmarkStart w:id="142" w:name="_Hlk121747069"/>
      <w:r>
        <w:rPr>
          <w:rFonts w:hint="eastAsia" w:ascii="仿宋" w:hAnsi="仿宋" w:eastAsia="仿宋" w:cs="仿宋"/>
          <w:b/>
          <w:kern w:val="2"/>
          <w:sz w:val="28"/>
          <w:szCs w:val="28"/>
        </w:rPr>
        <w:t>（一）科学增补林地</w:t>
      </w:r>
    </w:p>
    <w:p>
      <w:pPr>
        <w:pStyle w:val="26"/>
        <w:ind w:firstLine="562"/>
        <w:rPr>
          <w:rFonts w:hint="eastAsia"/>
          <w:color w:val="auto"/>
        </w:rPr>
      </w:pPr>
      <w:r>
        <w:rPr>
          <w:rFonts w:hint="eastAsia"/>
          <w:b/>
          <w:color w:val="auto"/>
        </w:rPr>
        <w:t>科学合理地将造林绿化空间纳入补充林地。</w:t>
      </w:r>
      <w:r>
        <w:rPr>
          <w:rFonts w:hint="eastAsia"/>
          <w:color w:val="auto"/>
        </w:rPr>
        <w:t>完善造林绿化空间适宜性评估制度，定期开展造林绿化空间适宜性评估，建立适宜造林绿化空间的动态调整机制。科学评估其它草地、裸土地、裸岩石砾地、拆迁腾退地、违建腾退地、废弃坡地和空闲地，以及耕地保护空间外、规划非建设空间内的零散耕地等非林地的造林适宜性，并以此为基础规划造林绿化空间，按照生态区位、生态功能、生态布局、立地条件优先确定补充林地范围。规划优先将已确认的造林绿化空间纳入补充林地。</w:t>
      </w:r>
    </w:p>
    <w:p>
      <w:pPr>
        <w:pStyle w:val="26"/>
        <w:ind w:firstLine="562"/>
        <w:rPr>
          <w:rFonts w:hint="eastAsia"/>
          <w:b/>
          <w:color w:val="auto"/>
        </w:rPr>
      </w:pPr>
      <w:r>
        <w:rPr>
          <w:rFonts w:hint="eastAsia"/>
          <w:b/>
          <w:color w:val="auto"/>
        </w:rPr>
        <w:t>科学合理的将绿色空间内的适宜土地纳入补充林地。</w:t>
      </w:r>
      <w:r>
        <w:rPr>
          <w:rFonts w:hint="eastAsia"/>
          <w:color w:val="auto"/>
        </w:rPr>
        <w:t>按应保尽保、应划尽划的原则，实事求是的将位于生态保护红线、林草保护区、生态混合区内，未纳入规划林地且符合林业生产条件的图斑，经与国土空间规划衔接后，优先纳入补充林地。</w:t>
      </w:r>
    </w:p>
    <w:p>
      <w:pPr>
        <w:pStyle w:val="26"/>
        <w:ind w:firstLine="562"/>
        <w:rPr>
          <w:rFonts w:hint="eastAsia"/>
          <w:color w:val="auto"/>
        </w:rPr>
      </w:pPr>
      <w:r>
        <w:rPr>
          <w:rFonts w:hint="eastAsia"/>
          <w:b/>
          <w:color w:val="auto"/>
        </w:rPr>
        <w:t>积极拓展绿色生态空间。</w:t>
      </w:r>
      <w:r>
        <w:rPr>
          <w:rFonts w:hint="eastAsia"/>
          <w:color w:val="auto"/>
        </w:rPr>
        <w:t>加大绿化造林建设力度，依托新一轮百万亩造林绿化，统筹三北防护林六期和燕山山地生态综合治理，重点实施道路及河流两侧通道绿化、农田林网建设，因地制宜地开展新建科技园区、新建小区、社区、城中村改造、城镇和新农村建设中绿化美化，不断增加森林面积。</w:t>
      </w:r>
    </w:p>
    <w:p>
      <w:pPr>
        <w:pStyle w:val="26"/>
        <w:ind w:firstLine="562"/>
        <w:rPr>
          <w:rFonts w:hint="eastAsia"/>
          <w:color w:val="auto"/>
        </w:rPr>
      </w:pPr>
      <w:r>
        <w:rPr>
          <w:rFonts w:hint="eastAsia"/>
          <w:b/>
          <w:bCs/>
          <w:color w:val="auto"/>
        </w:rPr>
        <w:t>推进林地占补平衡。</w:t>
      </w:r>
      <w:r>
        <w:rPr>
          <w:rFonts w:hint="eastAsia"/>
          <w:color w:val="auto"/>
        </w:rPr>
        <w:t>引导督促占用林地单位积极利用所收取的植被恢复费，按照“占一还一”的原则，积极开展植被恢复造林活动，推行费用用途追踪制度，根据实际情况，在林地占用前明确植被恢复时间、面积和质量，确保被占森林在最短时间内实现“量”“质”双恢复，确保全区林地资源的稳定。</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（二）强化补充林地管理</w:t>
      </w:r>
    </w:p>
    <w:p>
      <w:pPr>
        <w:pStyle w:val="26"/>
        <w:ind w:firstLine="562"/>
        <w:rPr>
          <w:rFonts w:hint="eastAsia"/>
          <w:color w:val="auto"/>
        </w:rPr>
      </w:pPr>
      <w:r>
        <w:rPr>
          <w:rFonts w:hint="eastAsia"/>
          <w:b/>
          <w:bCs/>
          <w:color w:val="auto"/>
        </w:rPr>
        <w:t>建立健全补充林地机制。</w:t>
      </w:r>
      <w:r>
        <w:rPr>
          <w:rFonts w:hint="eastAsia"/>
          <w:color w:val="auto"/>
        </w:rPr>
        <w:t>建立政府统筹、部门协调、属地落实的补充林地机制，保障区域生态建设的林地需求。依据林地保有量和森林覆盖率等发展目标，规划补充林地，并同步将补充林地落实到分区规划“一张图”上。加强补充林地监管，及时完成造林绿化和林地调整程序，保证林地总量动态平衡。</w:t>
      </w:r>
    </w:p>
    <w:p>
      <w:pPr>
        <w:pStyle w:val="26"/>
        <w:ind w:firstLine="562"/>
        <w:rPr>
          <w:rFonts w:hint="eastAsia"/>
          <w:color w:val="auto"/>
        </w:rPr>
      </w:pPr>
      <w:r>
        <w:rPr>
          <w:rFonts w:hint="eastAsia"/>
          <w:b/>
          <w:bCs/>
          <w:color w:val="auto"/>
        </w:rPr>
        <w:t>及时建立补充林地储备库。</w:t>
      </w:r>
      <w:r>
        <w:rPr>
          <w:rFonts w:hint="eastAsia"/>
          <w:color w:val="auto"/>
        </w:rPr>
        <w:t>将现状覆盖为乔木林、灌木林、未成林的纳入补充林地库，适时纳入林地管理。将其他补充林地按先确定林地属性、后造林的方式逐步入库，入库后须在当年或次年完成造林或封育，达到成林年限并通过验收后“落地上图”。</w:t>
      </w:r>
    </w:p>
    <w:bookmarkEnd w:id="142"/>
    <w:p>
      <w:pPr>
        <w:pageBreakBefore/>
        <w:widowControl w:val="0"/>
        <w:spacing w:before="156" w:beforeLines="50" w:after="156" w:afterLines="50" w:line="360" w:lineRule="auto"/>
        <w:jc w:val="center"/>
        <w:outlineLvl w:val="0"/>
        <w:rPr>
          <w:rFonts w:hint="eastAsia" w:ascii="仿宋" w:hAnsi="仿宋" w:eastAsia="仿宋" w:cs="仿宋"/>
          <w:b/>
          <w:kern w:val="44"/>
          <w:sz w:val="32"/>
          <w:szCs w:val="32"/>
        </w:rPr>
      </w:pPr>
      <w:bookmarkStart w:id="143" w:name="_Toc162268315"/>
      <w:bookmarkStart w:id="144" w:name="_Toc22139"/>
      <w:bookmarkStart w:id="145" w:name="_Toc2622"/>
      <w:bookmarkStart w:id="146" w:name="_Toc23810"/>
      <w:bookmarkStart w:id="147" w:name="_Toc177994374"/>
      <w:r>
        <w:rPr>
          <w:rFonts w:hint="eastAsia" w:ascii="仿宋" w:hAnsi="仿宋" w:eastAsia="仿宋" w:cs="仿宋"/>
          <w:b/>
          <w:kern w:val="44"/>
          <w:sz w:val="32"/>
          <w:szCs w:val="32"/>
        </w:rPr>
        <w:t>第四章 高质量经营林地</w:t>
      </w:r>
      <w:bookmarkEnd w:id="143"/>
      <w:bookmarkEnd w:id="144"/>
      <w:bookmarkEnd w:id="145"/>
      <w:bookmarkEnd w:id="146"/>
      <w:bookmarkEnd w:id="147"/>
    </w:p>
    <w:p>
      <w:pPr>
        <w:widowControl w:val="0"/>
        <w:spacing w:before="312" w:beforeLines="100" w:after="156" w:afterLines="50" w:line="360" w:lineRule="auto"/>
        <w:ind w:firstLine="602" w:firstLineChars="200"/>
        <w:jc w:val="both"/>
        <w:outlineLvl w:val="1"/>
        <w:rPr>
          <w:rFonts w:hint="eastAsia" w:ascii="仿宋" w:hAnsi="仿宋" w:eastAsia="仿宋" w:cs="仿宋"/>
          <w:b/>
          <w:bCs/>
          <w:kern w:val="2"/>
          <w:sz w:val="30"/>
          <w:szCs w:val="32"/>
        </w:rPr>
      </w:pPr>
      <w:bookmarkStart w:id="148" w:name="_Toc14564"/>
      <w:bookmarkStart w:id="149" w:name="_Toc162268316"/>
      <w:bookmarkStart w:id="150" w:name="_Toc32522"/>
      <w:bookmarkStart w:id="151" w:name="_Toc22901"/>
      <w:bookmarkStart w:id="152" w:name="_Toc11732"/>
      <w:bookmarkStart w:id="153" w:name="_Toc177994375"/>
      <w:r>
        <w:rPr>
          <w:rFonts w:hint="eastAsia" w:ascii="仿宋" w:hAnsi="仿宋" w:eastAsia="仿宋" w:cs="仿宋"/>
          <w:b/>
          <w:bCs/>
          <w:kern w:val="2"/>
          <w:sz w:val="30"/>
          <w:szCs w:val="32"/>
        </w:rPr>
        <w:t>一、实施森林可持续经营</w:t>
      </w:r>
      <w:bookmarkEnd w:id="148"/>
      <w:bookmarkEnd w:id="149"/>
      <w:bookmarkEnd w:id="150"/>
      <w:bookmarkEnd w:id="151"/>
      <w:bookmarkEnd w:id="152"/>
      <w:bookmarkEnd w:id="153"/>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（一）落实森林经营制度</w:t>
      </w:r>
    </w:p>
    <w:p>
      <w:pPr>
        <w:pStyle w:val="26"/>
        <w:ind w:firstLine="562"/>
        <w:rPr>
          <w:rFonts w:hint="eastAsia"/>
          <w:color w:val="auto"/>
        </w:rPr>
      </w:pPr>
      <w:r>
        <w:rPr>
          <w:rFonts w:hint="eastAsia"/>
          <w:b/>
          <w:bCs/>
          <w:color w:val="auto"/>
        </w:rPr>
        <w:t>编制和实施森林经营规划。</w:t>
      </w:r>
      <w:r>
        <w:rPr>
          <w:rFonts w:hint="eastAsia"/>
          <w:color w:val="auto"/>
        </w:rPr>
        <w:t>依据《北京市森林经营规划（2016-2050年）》编制怀柔区森林经营规划，转变经营理念，把构建长寿高大、乡土树种为主的森林生态系统，培育多树种、多层次、多色彩、多结构、多类型的近自然森林景观作为森林经营方向。调整优化经营措施，完善关键技术，加快探索建立科学、规范、可持续的现代森林经营体系，全面科学推动森林经营长期持续开展，避免急功近利的短期经营行为。</w:t>
      </w:r>
    </w:p>
    <w:p>
      <w:pPr>
        <w:pStyle w:val="26"/>
        <w:ind w:firstLine="562"/>
        <w:rPr>
          <w:rFonts w:hint="eastAsia"/>
          <w:b/>
          <w:color w:val="auto"/>
        </w:rPr>
      </w:pPr>
      <w:r>
        <w:rPr>
          <w:rFonts w:hint="eastAsia"/>
          <w:b/>
          <w:color w:val="auto"/>
        </w:rPr>
        <w:t>实施森林经营方案。</w:t>
      </w:r>
      <w:r>
        <w:rPr>
          <w:rFonts w:hint="eastAsia"/>
          <w:color w:val="auto"/>
        </w:rPr>
        <w:t>以培育稳定、健康、优质、高效的森林生态系统为目标，及时修订《北京市怀柔区森林经营方案（2021-2030年）》，并科学实施。鼓励新型集体林场编制实施森林经营方案，规范创新集体经营模式，支持、引导其他林业经营者编制森林经营方案，推动全域森林可持续经营。建立以经营小班为单元的多目标、全周期森林经营模式，将林地保护、造林、抚育、采伐利用全过程的森林经营措施落实到经营小班，全面提升森林质量和功能效益。</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bCs/>
          <w:kern w:val="2"/>
          <w:sz w:val="28"/>
          <w:szCs w:val="28"/>
        </w:rPr>
      </w:pPr>
      <w:r>
        <w:rPr>
          <w:rFonts w:hint="eastAsia" w:ascii="仿宋" w:hAnsi="仿宋" w:eastAsia="仿宋" w:cs="仿宋"/>
          <w:b/>
          <w:bCs/>
          <w:kern w:val="2"/>
          <w:sz w:val="28"/>
          <w:szCs w:val="28"/>
        </w:rPr>
        <w:t>（二）保证森林覆盖率</w:t>
      </w:r>
    </w:p>
    <w:p>
      <w:pPr>
        <w:pStyle w:val="26"/>
        <w:ind w:firstLine="562"/>
        <w:rPr>
          <w:rFonts w:hint="eastAsia"/>
          <w:color w:val="auto"/>
        </w:rPr>
      </w:pPr>
      <w:r>
        <w:rPr>
          <w:rFonts w:hint="eastAsia"/>
          <w:b/>
          <w:bCs/>
          <w:color w:val="auto"/>
        </w:rPr>
        <w:t>实施森林占补平衡。</w:t>
      </w:r>
      <w:r>
        <w:rPr>
          <w:rFonts w:hint="eastAsia"/>
          <w:color w:val="auto"/>
        </w:rPr>
        <w:t>全面及时掌握林地内森林面积变化情况，依法落实森林资源占补平衡。对园林绿化局和规自分局共同审核确认的新调入林地开展现状调查、造林作业设计，当年完成整地造林。科学实施山区灌木林地的封育成林和乔木化改造，退化林地的恢复和重建。加强林木采伐管理，按照采伐设计，依法依规及时开展更新造林，更新造林的面积不得少于采伐的面积。</w:t>
      </w:r>
    </w:p>
    <w:p>
      <w:pPr>
        <w:pStyle w:val="26"/>
        <w:ind w:firstLine="562"/>
        <w:rPr>
          <w:rFonts w:hint="eastAsia"/>
          <w:color w:val="auto"/>
        </w:rPr>
      </w:pPr>
      <w:r>
        <w:rPr>
          <w:rFonts w:hint="eastAsia"/>
          <w:b/>
          <w:bCs/>
          <w:color w:val="auto"/>
        </w:rPr>
        <w:t>落实森林保有量。</w:t>
      </w:r>
      <w:r>
        <w:rPr>
          <w:rFonts w:hint="eastAsia"/>
          <w:color w:val="auto"/>
        </w:rPr>
        <w:t>加快森林植被恢复，稳步增加森林面积，全面落实怀柔区森林覆盖率目标。</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bCs/>
          <w:kern w:val="2"/>
          <w:sz w:val="28"/>
          <w:szCs w:val="28"/>
        </w:rPr>
      </w:pPr>
      <w:r>
        <w:rPr>
          <w:rFonts w:hint="eastAsia" w:ascii="仿宋" w:hAnsi="仿宋" w:eastAsia="仿宋" w:cs="仿宋"/>
          <w:b/>
          <w:bCs/>
          <w:kern w:val="2"/>
          <w:sz w:val="28"/>
          <w:szCs w:val="28"/>
        </w:rPr>
        <w:t>（三）强化森林健康经营</w:t>
      </w:r>
    </w:p>
    <w:p>
      <w:pPr>
        <w:pStyle w:val="26"/>
        <w:ind w:firstLine="562"/>
        <w:rPr>
          <w:rFonts w:hint="eastAsia"/>
          <w:color w:val="auto"/>
        </w:rPr>
      </w:pPr>
      <w:r>
        <w:rPr>
          <w:rFonts w:hint="eastAsia"/>
          <w:b/>
          <w:bCs/>
          <w:color w:val="auto"/>
        </w:rPr>
        <w:t>加速天然林正向演替进程。</w:t>
      </w:r>
      <w:r>
        <w:rPr>
          <w:rFonts w:hint="eastAsia"/>
          <w:color w:val="auto"/>
        </w:rPr>
        <w:t>坚持以自然恢复为主，对稀疏退化的天然林，适当采取补植补造、定株抚育等人工辅助措施，推动森林正向演替、天然更新，逐步修复退化天然林生态功能；对密度过高的，强化中幼林抚育，通过抚育调整密度，调整林木竞争关系，促进形成地带性顶级群落，提高森林生态系统的稳定性、多样性。</w:t>
      </w:r>
    </w:p>
    <w:p>
      <w:pPr>
        <w:pStyle w:val="26"/>
        <w:ind w:firstLine="562"/>
        <w:rPr>
          <w:rFonts w:hint="eastAsia"/>
          <w:color w:val="auto"/>
        </w:rPr>
      </w:pPr>
      <w:r>
        <w:rPr>
          <w:rFonts w:hint="eastAsia"/>
          <w:b/>
          <w:bCs/>
          <w:color w:val="auto"/>
        </w:rPr>
        <w:t>加强人工林抚育经营。</w:t>
      </w:r>
      <w:r>
        <w:rPr>
          <w:rFonts w:hint="eastAsia"/>
          <w:color w:val="auto"/>
        </w:rPr>
        <w:t>牢固树立全周期森林经营理念，营造实生乡土长寿树种，实施封山育林、除蘖补植，促进林木郁闭成林，坚持留优去劣、留强去弱，调整林分密度和树种结构，逐步培育异龄、复层、混交、近自然森林。适当建设防火巡护道路、森林步道以及森林旅游、森林康养等相关设施，充分发挥森林多功能效益。</w:t>
      </w:r>
    </w:p>
    <w:p>
      <w:pPr>
        <w:widowControl w:val="0"/>
        <w:spacing w:before="312" w:beforeLines="100" w:after="156" w:afterLines="50" w:line="360" w:lineRule="auto"/>
        <w:ind w:firstLine="602" w:firstLineChars="200"/>
        <w:jc w:val="both"/>
        <w:outlineLvl w:val="1"/>
        <w:rPr>
          <w:rFonts w:hint="eastAsia" w:ascii="仿宋" w:hAnsi="仿宋" w:eastAsia="仿宋" w:cs="仿宋"/>
          <w:b/>
          <w:bCs/>
          <w:kern w:val="2"/>
          <w:sz w:val="30"/>
          <w:szCs w:val="32"/>
        </w:rPr>
      </w:pPr>
      <w:bookmarkStart w:id="154" w:name="_Toc15718"/>
      <w:bookmarkStart w:id="155" w:name="_Toc5136"/>
      <w:bookmarkStart w:id="156" w:name="_Toc21231"/>
      <w:bookmarkStart w:id="157" w:name="_Toc162268317"/>
      <w:bookmarkStart w:id="158" w:name="_Toc31998"/>
      <w:bookmarkStart w:id="159" w:name="_Toc177994376"/>
      <w:r>
        <w:rPr>
          <w:rFonts w:hint="eastAsia" w:ascii="仿宋" w:hAnsi="仿宋" w:eastAsia="仿宋" w:cs="仿宋"/>
          <w:b/>
          <w:bCs/>
          <w:kern w:val="2"/>
          <w:sz w:val="30"/>
          <w:szCs w:val="32"/>
        </w:rPr>
        <w:t>二、提高林地质量</w:t>
      </w:r>
      <w:bookmarkEnd w:id="154"/>
      <w:bookmarkEnd w:id="155"/>
      <w:bookmarkEnd w:id="156"/>
      <w:bookmarkEnd w:id="157"/>
      <w:bookmarkEnd w:id="158"/>
      <w:bookmarkEnd w:id="159"/>
    </w:p>
    <w:p>
      <w:pPr>
        <w:keepLines/>
        <w:widowControl w:val="0"/>
        <w:spacing w:before="156" w:beforeLines="50" w:after="156" w:afterLines="50" w:line="360" w:lineRule="auto"/>
        <w:ind w:firstLine="562" w:firstLineChars="200"/>
        <w:jc w:val="both"/>
        <w:outlineLvl w:val="2"/>
        <w:rPr>
          <w:rFonts w:hint="eastAsia" w:ascii="仿宋" w:hAnsi="仿宋" w:eastAsia="仿宋" w:cs="仿宋"/>
          <w:b/>
          <w:bCs/>
          <w:kern w:val="2"/>
          <w:sz w:val="28"/>
          <w:szCs w:val="28"/>
        </w:rPr>
      </w:pPr>
      <w:r>
        <w:rPr>
          <w:rFonts w:hint="eastAsia" w:ascii="仿宋" w:hAnsi="仿宋" w:eastAsia="仿宋" w:cs="仿宋"/>
          <w:b/>
          <w:bCs/>
          <w:kern w:val="2"/>
          <w:sz w:val="28"/>
          <w:szCs w:val="28"/>
        </w:rPr>
        <w:t>（一）精准提升林地质量</w:t>
      </w:r>
    </w:p>
    <w:p>
      <w:pPr>
        <w:pStyle w:val="26"/>
        <w:rPr>
          <w:rFonts w:hint="eastAsia"/>
          <w:color w:val="auto"/>
        </w:rPr>
      </w:pPr>
      <w:r>
        <w:rPr>
          <w:rFonts w:hint="eastAsia"/>
          <w:color w:val="auto"/>
        </w:rPr>
        <w:t>持续加大浅山区生态修复和生态保护，加强生态脆弱区的生态治理。重点实施浅山区台地、拆迁腾退地、浅山荒山造林成林后的抚育管理，提高绿色空间比例。科学种植固氮树种，改善土壤的养分，提升土壤肥力。提升生态环境质量，优化现状森林生态格局及休闲游憩资源。推进国家重点生态工程，实施森林健康经营，增加森林资源，改善森林质量，提高森林景观效果，巩固生态屏障建设。</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（二）提升林地生态功能效益</w:t>
      </w:r>
    </w:p>
    <w:p>
      <w:pPr>
        <w:pStyle w:val="26"/>
        <w:rPr>
          <w:rFonts w:hint="eastAsia"/>
          <w:color w:val="auto"/>
        </w:rPr>
      </w:pPr>
      <w:r>
        <w:rPr>
          <w:rFonts w:hint="eastAsia"/>
          <w:color w:val="auto"/>
        </w:rPr>
        <w:t>根据立地条件、经营目标、资源特点，采取不同的培育技术，科学选择树种及空间搭配，充分利用林地空间，大力营造乔灌草立体搭配的混交林。促进形成森林类型较多，多样性较高，生物种类丰富，健康稳定的森林生态系统，持续维护林地的可持续性。</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（三）增加林地生产力</w:t>
      </w:r>
    </w:p>
    <w:p>
      <w:pPr>
        <w:pStyle w:val="26"/>
        <w:rPr>
          <w:rFonts w:hint="eastAsia"/>
          <w:color w:val="auto"/>
        </w:rPr>
      </w:pPr>
      <w:r>
        <w:rPr>
          <w:rFonts w:hint="eastAsia"/>
          <w:color w:val="auto"/>
        </w:rPr>
        <w:t>优化林地作业措施，加强森林抚育，合理调整林分密度，避免因林分密度过小而浪费空间、光能等，影响林地生产力发挥，或者因林分密度过大而导致树木个体之间相互竞争，降低林地生产力。加强人工造林管理，防止地表植被破坏，增加采伐剩余物、凋落物的养分归还能力，恢复森林土壤，及时处理作业时可能造成的立地条件破坏，避免水土流失，保证土壤肥力。</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（四）发展绿色产业工程</w:t>
      </w:r>
    </w:p>
    <w:p>
      <w:pPr>
        <w:pStyle w:val="26"/>
        <w:rPr>
          <w:rFonts w:hint="eastAsia"/>
          <w:color w:val="auto"/>
        </w:rPr>
      </w:pPr>
      <w:r>
        <w:rPr>
          <w:rFonts w:hint="eastAsia"/>
          <w:color w:val="auto"/>
        </w:rPr>
        <w:t>推进果树产业优化升级，加快发展特色、优质、安全、高效果品产业。大力发展优良林木种苗，实施标准化苗木基地建设，完善花卉产业研发创新、生产加工、市场流通和消费服务体系。积极发展蜂产业，加强蜜蜂饲养基地建设，推动有机蜂产品生产，大力发展林菌、林药等特色林下经济，促进农民就业增收。推进森林旅游和沟域绿色产业发展，开发多种林业资源，打造以森林旅游、观光采摘、绿色科普、森林养生、山地休闲等为特色的生态游憩主题沟域。</w:t>
      </w:r>
    </w:p>
    <w:p>
      <w:pPr>
        <w:widowControl w:val="0"/>
        <w:spacing w:before="312" w:beforeLines="100" w:after="156" w:afterLines="50" w:line="360" w:lineRule="auto"/>
        <w:ind w:firstLine="602" w:firstLineChars="200"/>
        <w:jc w:val="both"/>
        <w:outlineLvl w:val="1"/>
        <w:rPr>
          <w:rFonts w:hint="eastAsia" w:ascii="仿宋" w:hAnsi="仿宋" w:eastAsia="仿宋" w:cs="仿宋"/>
          <w:b/>
          <w:bCs/>
          <w:kern w:val="2"/>
          <w:sz w:val="30"/>
          <w:szCs w:val="32"/>
        </w:rPr>
      </w:pPr>
      <w:bookmarkStart w:id="160" w:name="_Toc23762"/>
      <w:bookmarkStart w:id="161" w:name="_Toc16718"/>
      <w:bookmarkStart w:id="162" w:name="_Toc21077"/>
      <w:bookmarkStart w:id="163" w:name="_Toc28518"/>
      <w:bookmarkStart w:id="164" w:name="_Toc162268318"/>
      <w:bookmarkStart w:id="165" w:name="_Toc177994377"/>
      <w:r>
        <w:rPr>
          <w:rFonts w:hint="eastAsia" w:ascii="仿宋" w:hAnsi="仿宋" w:eastAsia="仿宋" w:cs="仿宋"/>
          <w:b/>
          <w:bCs/>
          <w:kern w:val="2"/>
          <w:sz w:val="30"/>
          <w:szCs w:val="32"/>
        </w:rPr>
        <w:t>三、实行差别化管理</w:t>
      </w:r>
      <w:bookmarkEnd w:id="160"/>
      <w:bookmarkEnd w:id="161"/>
      <w:bookmarkEnd w:id="162"/>
      <w:bookmarkEnd w:id="163"/>
      <w:bookmarkEnd w:id="164"/>
      <w:bookmarkEnd w:id="165"/>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（一）实行分类管理</w:t>
      </w:r>
    </w:p>
    <w:p>
      <w:pPr>
        <w:pStyle w:val="26"/>
        <w:ind w:firstLine="562"/>
        <w:rPr>
          <w:rFonts w:hint="eastAsia"/>
          <w:color w:val="auto"/>
        </w:rPr>
      </w:pPr>
      <w:r>
        <w:rPr>
          <w:rFonts w:hint="eastAsia"/>
          <w:b/>
          <w:bCs/>
          <w:color w:val="auto"/>
        </w:rPr>
        <w:t>严格控制人为因素对禁止开发区自然生态的干扰</w:t>
      </w:r>
      <w:r>
        <w:rPr>
          <w:rFonts w:hint="eastAsia"/>
          <w:color w:val="auto"/>
        </w:rPr>
        <w:t>。</w:t>
      </w:r>
      <w:r>
        <w:rPr>
          <w:rFonts w:ascii="Times New Roman" w:hAnsi="Times New Roman" w:cs="Times New Roman"/>
        </w:rPr>
        <w:t>自然保护地核心保护区原则上禁止人为活动，一般控制区内限制人为活动。严禁在生态保护红线的林地内进行不符合主体功能定位的各类开发活动，加强自然生态系统的保护和修复，保证生态空间内林地面积不减少、功能不降低。</w:t>
      </w:r>
    </w:p>
    <w:p>
      <w:pPr>
        <w:pStyle w:val="26"/>
        <w:ind w:firstLine="562"/>
        <w:rPr>
          <w:rFonts w:hint="eastAsia"/>
          <w:color w:val="auto"/>
        </w:rPr>
      </w:pPr>
      <w:r>
        <w:rPr>
          <w:rFonts w:hint="eastAsia"/>
          <w:b/>
          <w:color w:val="auto"/>
        </w:rPr>
        <w:t>合理利用生态公益林地。</w:t>
      </w:r>
      <w:r>
        <w:rPr>
          <w:rFonts w:hint="eastAsia"/>
          <w:color w:val="auto"/>
        </w:rPr>
        <w:t>适度支持环境友好型的特色产业、服务业、公益性建设及资源环境承载能力较强的建设使用林地，</w:t>
      </w:r>
      <w:r>
        <w:rPr>
          <w:rFonts w:ascii="Times New Roman" w:hAnsi="Times New Roman" w:cs="Times New Roman"/>
        </w:rPr>
        <w:t>严禁在生态公益林林地和政府划定的高保护价值林地内开展可能威胁生态系统稳定、生态功能正常发挥和生物多样性保护的各类林地开发利用活动。</w:t>
      </w:r>
    </w:p>
    <w:p>
      <w:pPr>
        <w:pStyle w:val="26"/>
        <w:ind w:firstLine="562"/>
        <w:rPr>
          <w:rFonts w:hint="eastAsia"/>
          <w:color w:val="auto"/>
        </w:rPr>
      </w:pPr>
      <w:r>
        <w:rPr>
          <w:rFonts w:hint="eastAsia"/>
          <w:b/>
          <w:color w:val="auto"/>
          <w:lang w:val="en-US"/>
        </w:rPr>
        <w:t>科学</w:t>
      </w:r>
      <w:r>
        <w:rPr>
          <w:rFonts w:hint="eastAsia"/>
          <w:b/>
          <w:color w:val="auto"/>
        </w:rPr>
        <w:t>利用商品林地。</w:t>
      </w:r>
      <w:r>
        <w:rPr>
          <w:rFonts w:hint="eastAsia"/>
          <w:color w:val="auto"/>
        </w:rPr>
        <w:t>支持经济发展与生态建设同步推进，支持城镇化、工业化及城市基础设施建设用地需求，允许主导产业及配套建设、循环经济产业占用Ⅳ级保护林地。鼓励建设高标准森林公园、郊野公园，建设宜居环境，加强粮食产区、水源区的生态林网建设。</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bookmarkStart w:id="166" w:name="_Toc12005"/>
      <w:bookmarkStart w:id="167" w:name="_Toc24268"/>
      <w:bookmarkStart w:id="168" w:name="_Toc30011"/>
      <w:bookmarkStart w:id="169" w:name="_Toc4760"/>
      <w:bookmarkStart w:id="170" w:name="_Toc162268319"/>
      <w:bookmarkStart w:id="171" w:name="_Toc9118"/>
      <w:r>
        <w:rPr>
          <w:rFonts w:hint="eastAsia" w:ascii="仿宋" w:hAnsi="仿宋" w:eastAsia="仿宋" w:cs="仿宋"/>
          <w:b/>
          <w:kern w:val="2"/>
          <w:sz w:val="28"/>
          <w:szCs w:val="28"/>
        </w:rPr>
        <w:t>（二）实行分等级经营</w:t>
      </w:r>
    </w:p>
    <w:p>
      <w:pPr>
        <w:pStyle w:val="26"/>
        <w:rPr>
          <w:rFonts w:hint="eastAsia"/>
          <w:color w:val="auto"/>
        </w:rPr>
      </w:pPr>
      <w:r>
        <w:rPr>
          <w:rFonts w:hint="eastAsia"/>
        </w:rPr>
        <w:t>依据林地的自然属性和经营条件，将林地按质量优劣划分为Ⅰ、Ⅱ、Ⅲ、Ⅳ、Ⅴ五个质量等级。</w:t>
      </w:r>
      <w:r>
        <w:rPr>
          <w:rFonts w:hint="eastAsia"/>
          <w:color w:val="auto"/>
        </w:rPr>
        <w:t>对Ⅰ、Ⅱ级高质量林地，集约开发利用，注重发挥林地的综合效益。对Ⅲ、Ⅳ级中质量林地，重点进行生态修复与治理，提高林地生产力，在不降低林地地力条件下开展生产经营活动。对Ⅴ级低质量林地，主要进行生态保护，有效遏制林地退化。</w:t>
      </w:r>
    </w:p>
    <w:p>
      <w:pPr>
        <w:widowControl w:val="0"/>
        <w:spacing w:before="312" w:beforeLines="100" w:after="156" w:afterLines="50" w:line="360" w:lineRule="auto"/>
        <w:ind w:firstLine="602" w:firstLineChars="200"/>
        <w:jc w:val="both"/>
        <w:outlineLvl w:val="1"/>
        <w:rPr>
          <w:rFonts w:hint="eastAsia" w:ascii="仿宋" w:hAnsi="仿宋" w:eastAsia="仿宋" w:cs="仿宋"/>
          <w:b/>
          <w:bCs/>
          <w:kern w:val="2"/>
          <w:sz w:val="30"/>
          <w:szCs w:val="32"/>
        </w:rPr>
      </w:pPr>
      <w:bookmarkStart w:id="172" w:name="_Toc177994378"/>
      <w:r>
        <w:rPr>
          <w:rFonts w:hint="eastAsia" w:ascii="仿宋" w:hAnsi="仿宋" w:eastAsia="仿宋" w:cs="仿宋"/>
          <w:b/>
          <w:bCs/>
          <w:kern w:val="2"/>
          <w:sz w:val="30"/>
          <w:szCs w:val="32"/>
        </w:rPr>
        <w:t>四、加强林地和森林安全</w:t>
      </w:r>
      <w:bookmarkEnd w:id="166"/>
      <w:bookmarkEnd w:id="167"/>
      <w:bookmarkEnd w:id="168"/>
      <w:bookmarkEnd w:id="169"/>
      <w:bookmarkEnd w:id="170"/>
      <w:bookmarkEnd w:id="171"/>
      <w:bookmarkEnd w:id="172"/>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（一）实施森林资源管理责任制</w:t>
      </w:r>
    </w:p>
    <w:p>
      <w:pPr>
        <w:pStyle w:val="26"/>
        <w:rPr>
          <w:rFonts w:hint="eastAsia"/>
          <w:color w:val="auto"/>
        </w:rPr>
      </w:pPr>
      <w:r>
        <w:rPr>
          <w:rFonts w:hint="eastAsia"/>
          <w:color w:val="auto"/>
        </w:rPr>
        <w:t>突出森林资源管理的主导作用，结合林长制的组织和实施，严格实行生态保护红线监管制度，落实生态空间管控边界，构建国土空间开发保护新格局，筑牢自然生态安全根基。明确林地保护利用的区域空间、主体责任和目标任务，着力解决退化林地、受损林地及补充林地的生态保护修复问题。加强林地管理的能力建设，实现地有人管、林有人造、树有人护、责有人担，守住森林、林地安全边界。</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（二）加强森林资源管护</w:t>
      </w:r>
    </w:p>
    <w:p>
      <w:pPr>
        <w:pStyle w:val="26"/>
        <w:rPr>
          <w:rFonts w:hint="eastAsia"/>
          <w:color w:val="auto"/>
        </w:rPr>
      </w:pPr>
      <w:r>
        <w:rPr>
          <w:rFonts w:hint="eastAsia"/>
          <w:color w:val="auto"/>
        </w:rPr>
        <w:t>加强森林资源监测、保护及采伐管理等各个环节的统筹管理，不断提升森林资源管护、森林资源监测等工作的技术手段，增加相关装备和设施设备，实现精准保护、精准建设高质量林地。加大森林资源行政执法力度，依法查处滥伐林木、</w:t>
      </w:r>
      <w:r>
        <w:rPr>
          <w:rFonts w:hint="eastAsia"/>
          <w:color w:val="auto"/>
          <w:lang w:val="en-US"/>
        </w:rPr>
        <w:t>盗伐林木、擅自改变林地用途等</w:t>
      </w:r>
      <w:r>
        <w:rPr>
          <w:rFonts w:hint="eastAsia"/>
          <w:color w:val="auto"/>
        </w:rPr>
        <w:t>破坏森林资源</w:t>
      </w:r>
      <w:r>
        <w:rPr>
          <w:rFonts w:hint="eastAsia"/>
          <w:color w:val="auto"/>
          <w:lang w:val="en-US"/>
        </w:rPr>
        <w:t>的</w:t>
      </w:r>
      <w:r>
        <w:rPr>
          <w:rFonts w:hint="eastAsia"/>
          <w:color w:val="auto"/>
        </w:rPr>
        <w:t>违法行为，全面提升森林资源管护水平。严格执行生态公益林管护制度，积极落实森林生态效益补偿制度。</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（三）增强防灾减灾能力</w:t>
      </w:r>
    </w:p>
    <w:p>
      <w:pPr>
        <w:pStyle w:val="26"/>
        <w:rPr>
          <w:rFonts w:hint="eastAsia"/>
          <w:color w:val="auto"/>
        </w:rPr>
      </w:pPr>
      <w:r>
        <w:rPr>
          <w:rFonts w:hint="eastAsia"/>
          <w:color w:val="auto"/>
        </w:rPr>
        <w:t>发挥科技创新引领作用，强化高新林业科技成果推广应用，全面构建集监控、预警、指挥及灾后处理于一体的信息化防火调控体系，全力构筑森林防火安全线。加强“监测预警、检疫御灾、防治减灾、应急减灾”四大防控体系建设，稳步提升林业有害生物监测预警能力和服务保障水平。加强野生动植物病源监测防控，提高森林生态系统的健康程度，确保自然生态平衡和森林卫生安全。</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（四）积极维护生物多样性</w:t>
      </w:r>
    </w:p>
    <w:p>
      <w:pPr>
        <w:pStyle w:val="26"/>
        <w:rPr>
          <w:rFonts w:hint="eastAsia"/>
          <w:color w:val="auto"/>
        </w:rPr>
      </w:pPr>
      <w:r>
        <w:rPr>
          <w:rFonts w:hint="eastAsia"/>
          <w:color w:val="auto"/>
        </w:rPr>
        <w:t>科学实施自然保护区、保护小区等重要生态空间以及森林生态系统影响较大区域的基础设施建设，落实规范化管理措施，提高管理水平，减少对生物多样性的影响。自然保护区</w:t>
      </w:r>
      <w:r>
        <w:rPr>
          <w:rFonts w:hint="eastAsia"/>
          <w:color w:val="auto"/>
          <w:lang w:val="en-US"/>
        </w:rPr>
        <w:t>建设</w:t>
      </w:r>
      <w:r>
        <w:rPr>
          <w:rFonts w:hint="eastAsia"/>
          <w:color w:val="auto"/>
        </w:rPr>
        <w:t>要符合《中华人民共和国自然保护区条例》等相关法规、标准及规范，维护生物多样性，保障生态系统稳定。加强森林健康经营，改造低产低效林分，改善树种结构，完善生态功能，优化生物多样性保护利用空间，增加生物多样性。</w:t>
      </w:r>
    </w:p>
    <w:p>
      <w:pPr>
        <w:pStyle w:val="26"/>
        <w:rPr>
          <w:rFonts w:hint="eastAsia"/>
          <w:color w:val="auto"/>
        </w:rPr>
      </w:pPr>
    </w:p>
    <w:p>
      <w:pPr>
        <w:pageBreakBefore/>
        <w:widowControl w:val="0"/>
        <w:spacing w:before="156" w:beforeLines="50" w:after="156" w:afterLines="50" w:line="360" w:lineRule="auto"/>
        <w:jc w:val="center"/>
        <w:outlineLvl w:val="0"/>
        <w:rPr>
          <w:rFonts w:hint="eastAsia" w:ascii="仿宋" w:hAnsi="仿宋" w:eastAsia="仿宋" w:cs="仿宋"/>
          <w:b/>
          <w:kern w:val="44"/>
          <w:sz w:val="32"/>
          <w:szCs w:val="32"/>
        </w:rPr>
      </w:pPr>
      <w:bookmarkStart w:id="173" w:name="_Toc25805"/>
      <w:bookmarkStart w:id="174" w:name="_Toc6190"/>
      <w:bookmarkStart w:id="175" w:name="_Toc162268320"/>
      <w:bookmarkStart w:id="176" w:name="_Toc17759"/>
      <w:bookmarkStart w:id="177" w:name="_Toc177994379"/>
      <w:r>
        <w:rPr>
          <w:rFonts w:hint="eastAsia" w:ascii="仿宋" w:hAnsi="仿宋" w:eastAsia="仿宋" w:cs="仿宋"/>
          <w:b/>
          <w:kern w:val="44"/>
          <w:sz w:val="32"/>
          <w:szCs w:val="32"/>
        </w:rPr>
        <w:t>第五章 合理利用林地</w:t>
      </w:r>
      <w:bookmarkEnd w:id="173"/>
      <w:bookmarkEnd w:id="174"/>
      <w:bookmarkEnd w:id="175"/>
      <w:bookmarkEnd w:id="176"/>
      <w:bookmarkEnd w:id="177"/>
    </w:p>
    <w:p>
      <w:pPr>
        <w:keepLines/>
        <w:widowControl w:val="0"/>
        <w:spacing w:before="120" w:after="120" w:line="360" w:lineRule="auto"/>
        <w:ind w:firstLine="596" w:firstLineChars="198"/>
        <w:jc w:val="both"/>
        <w:textAlignment w:val="baseline"/>
        <w:outlineLvl w:val="1"/>
        <w:rPr>
          <w:rFonts w:hint="eastAsia" w:ascii="仿宋" w:hAnsi="仿宋" w:eastAsia="仿宋" w:cs="仿宋"/>
          <w:b/>
          <w:sz w:val="30"/>
          <w:szCs w:val="20"/>
        </w:rPr>
      </w:pPr>
      <w:bookmarkStart w:id="178" w:name="_Toc162268321"/>
      <w:bookmarkStart w:id="179" w:name="_Toc6841"/>
      <w:bookmarkStart w:id="180" w:name="_Toc775"/>
      <w:bookmarkStart w:id="181" w:name="_Toc16422"/>
      <w:bookmarkStart w:id="182" w:name="_Toc177994380"/>
      <w:r>
        <w:rPr>
          <w:rFonts w:hint="eastAsia" w:ascii="仿宋" w:hAnsi="仿宋" w:eastAsia="仿宋" w:cs="仿宋"/>
          <w:b/>
          <w:sz w:val="30"/>
          <w:szCs w:val="20"/>
        </w:rPr>
        <w:t>一、优化林地结构</w:t>
      </w:r>
      <w:bookmarkEnd w:id="178"/>
      <w:bookmarkEnd w:id="179"/>
      <w:bookmarkEnd w:id="180"/>
      <w:bookmarkEnd w:id="181"/>
      <w:bookmarkEnd w:id="182"/>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（一）统筹规划公益林地和商品林地</w:t>
      </w:r>
    </w:p>
    <w:p>
      <w:pPr>
        <w:pStyle w:val="26"/>
        <w:rPr>
          <w:rFonts w:hint="eastAsia"/>
          <w:color w:val="auto"/>
        </w:rPr>
      </w:pPr>
      <w:r>
        <w:rPr>
          <w:rFonts w:hint="eastAsia"/>
          <w:color w:val="auto"/>
        </w:rPr>
        <w:t>根据区域生态建设和经济社会发展的需求，统筹考虑经济社会发展对生态和林产品的需求，适当调整公益林地和商品林地结构，优化林地资源配置，满足林地多功能的发挥。深化森林分类经营管理体制改革，建立与现代林业发展和市场经济体制相适应的经营管理制度，严格保护生态公益林</w:t>
      </w:r>
      <w:r>
        <w:rPr>
          <w:rFonts w:hint="eastAsia"/>
          <w:color w:val="auto"/>
          <w:lang w:val="en-US"/>
        </w:rPr>
        <w:t>地</w:t>
      </w:r>
      <w:r>
        <w:rPr>
          <w:rFonts w:hint="eastAsia"/>
          <w:color w:val="auto"/>
        </w:rPr>
        <w:t>，</w:t>
      </w:r>
      <w:r>
        <w:rPr>
          <w:rFonts w:ascii="Times New Roman" w:hAnsi="Times New Roman" w:cs="Times New Roman"/>
        </w:rPr>
        <w:t>严格管理商品林地</w:t>
      </w:r>
      <w:r>
        <w:rPr>
          <w:rFonts w:hint="eastAsia"/>
          <w:color w:val="auto"/>
        </w:rPr>
        <w:t>。</w:t>
      </w:r>
    </w:p>
    <w:p>
      <w:pPr>
        <w:pStyle w:val="26"/>
        <w:rPr>
          <w:rFonts w:hint="eastAsia"/>
          <w:color w:val="auto"/>
        </w:rPr>
      </w:pPr>
      <w:r>
        <w:rPr>
          <w:rFonts w:hint="eastAsia"/>
          <w:color w:val="auto"/>
        </w:rPr>
        <w:t>统筹考虑区域经济社会发展对资源环境和生态产品的需求。优化林地资源配置。规划到2035年，以提供生态产品为主体功能的公益林地面积比例保持稳定，保障生态安全，为市民提供良好的生态环境。实施商品林地集约化经营，生产优质林产品。</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（二）科学培育天然林地与人工林地</w:t>
      </w:r>
    </w:p>
    <w:p>
      <w:pPr>
        <w:pStyle w:val="26"/>
        <w:rPr>
          <w:rFonts w:hint="eastAsia"/>
          <w:color w:val="auto"/>
        </w:rPr>
      </w:pPr>
      <w:r>
        <w:rPr>
          <w:rFonts w:hint="eastAsia"/>
          <w:color w:val="auto"/>
        </w:rPr>
        <w:t>积极保护天然林资源，严格控制天然林地的占用，实施封山育林和封禁保护，逐步恢复、科学培育天然林，保持天然林面积稳中有升。加大人工造林力度，着力开展困难立地条件下人工造林与封山育林，加快在水肥条件适宜地区培育高效、丰产的人工林，着力发展北京“名特优”果品果树基地，保护好桥梓镇等地的古老果树资源。</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（三）优化林分结构</w:t>
      </w:r>
    </w:p>
    <w:p>
      <w:pPr>
        <w:pStyle w:val="26"/>
        <w:rPr>
          <w:rFonts w:hint="eastAsia"/>
          <w:color w:val="auto"/>
        </w:rPr>
      </w:pPr>
      <w:r>
        <w:rPr>
          <w:rFonts w:hint="eastAsia"/>
          <w:color w:val="auto"/>
        </w:rPr>
        <w:t>加强对天然林的科学保育，着力开展</w:t>
      </w:r>
      <w:r>
        <w:rPr>
          <w:rFonts w:hint="eastAsia"/>
          <w:color w:val="auto"/>
          <w:lang w:bidi="ar"/>
        </w:rPr>
        <w:t>Ⅰ级</w:t>
      </w:r>
      <w:r>
        <w:rPr>
          <w:rFonts w:hint="eastAsia"/>
          <w:color w:val="auto"/>
          <w:lang w:val="en-US" w:bidi="ar"/>
        </w:rPr>
        <w:t>保护林地的封禁保护</w:t>
      </w:r>
      <w:r>
        <w:rPr>
          <w:rFonts w:hint="eastAsia"/>
          <w:color w:val="auto"/>
        </w:rPr>
        <w:t>，促进天然林木的郁闭成林和天然次生林的正向演替，培育复层、混交、异龄林，构建稳定健康的森林生态系统。</w:t>
      </w:r>
    </w:p>
    <w:p>
      <w:pPr>
        <w:pStyle w:val="26"/>
        <w:rPr>
          <w:rFonts w:hint="eastAsia"/>
          <w:color w:val="auto"/>
        </w:rPr>
      </w:pPr>
      <w:r>
        <w:rPr>
          <w:rFonts w:hint="eastAsia"/>
          <w:color w:val="auto"/>
        </w:rPr>
        <w:t>加强人工林的近自然经营，着力开展退化林修复、低效林改造、人工纯林树种结构调整等森林健康经营措施，培育多色彩、多树种、多层次的近自然森林，森林结构持续改善，生物多样性不断丰富。</w:t>
      </w:r>
    </w:p>
    <w:p>
      <w:pPr>
        <w:keepLines/>
        <w:widowControl w:val="0"/>
        <w:spacing w:before="120" w:after="120" w:line="360" w:lineRule="auto"/>
        <w:ind w:firstLine="596" w:firstLineChars="198"/>
        <w:jc w:val="both"/>
        <w:textAlignment w:val="baseline"/>
        <w:outlineLvl w:val="1"/>
        <w:rPr>
          <w:rFonts w:hint="eastAsia" w:ascii="仿宋" w:hAnsi="仿宋" w:eastAsia="仿宋" w:cs="仿宋"/>
          <w:b/>
          <w:sz w:val="30"/>
          <w:szCs w:val="20"/>
        </w:rPr>
      </w:pPr>
      <w:bookmarkStart w:id="183" w:name="_Toc162268322"/>
      <w:bookmarkStart w:id="184" w:name="_Toc177994381"/>
      <w:bookmarkStart w:id="185" w:name="_Toc10915"/>
      <w:bookmarkStart w:id="186" w:name="_Toc18482"/>
      <w:bookmarkStart w:id="187" w:name="_Toc20557"/>
      <w:bookmarkStart w:id="188" w:name="_Toc24992"/>
      <w:bookmarkStart w:id="189" w:name="_Toc17387"/>
      <w:r>
        <w:rPr>
          <w:rFonts w:hint="eastAsia" w:ascii="仿宋" w:hAnsi="仿宋" w:eastAsia="仿宋" w:cs="仿宋"/>
          <w:b/>
          <w:sz w:val="30"/>
          <w:szCs w:val="20"/>
        </w:rPr>
        <w:t>二、保障重点用地</w:t>
      </w:r>
      <w:bookmarkEnd w:id="183"/>
      <w:bookmarkEnd w:id="184"/>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（一）保障京北绿色生态屏障用地</w:t>
      </w:r>
    </w:p>
    <w:p>
      <w:pPr>
        <w:pStyle w:val="26"/>
        <w:rPr>
          <w:rFonts w:hint="eastAsia"/>
          <w:color w:val="auto"/>
        </w:rPr>
      </w:pPr>
      <w:r>
        <w:rPr>
          <w:rFonts w:hint="eastAsia"/>
          <w:color w:val="auto"/>
        </w:rPr>
        <w:t>强化山区生态屏障作用，推进平原添彩增绿。坚持生态保育、生态建设和生态修复并重，持续加强水源涵养、林地保育、废弃矿山修复，推进水库上游地区生态保护。加强浅山区生态修复和建设管控，推进绿化造林工程，统筹实施城镇组团间的大尺度绿色空间，在雁栖河、怀河、沙河、小泉河等滨河地区，建设滨河森林公园及郊野公园，展现林海起伏、碧波叠翠的生态风景线，构建多物种、多层次、多功能稳定健康的生态屏障。</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lang w:val="zh-TW"/>
        </w:rPr>
      </w:pPr>
      <w:r>
        <w:rPr>
          <w:rFonts w:hint="eastAsia" w:ascii="仿宋" w:hAnsi="仿宋" w:eastAsia="仿宋" w:cs="仿宋"/>
          <w:b/>
          <w:kern w:val="2"/>
          <w:sz w:val="28"/>
          <w:szCs w:val="28"/>
          <w:lang w:val="zh-TW"/>
        </w:rPr>
        <w:t>（二）保障林业发展用地</w:t>
      </w:r>
    </w:p>
    <w:p>
      <w:pPr>
        <w:pStyle w:val="26"/>
        <w:rPr>
          <w:rFonts w:hint="eastAsia"/>
          <w:color w:val="auto"/>
        </w:rPr>
      </w:pPr>
      <w:r>
        <w:rPr>
          <w:rFonts w:hint="eastAsia"/>
          <w:color w:val="auto"/>
        </w:rPr>
        <w:t>保障林业生态产业用地，在不破坏森林生态功能的前提下，充分利用资源优势和区域特点，适度支持森林旅游、森林康养、文化传承、科教宣传等基础设施用地需求，不断满足社会公众对生态产品的需求。保障商品林用地，结合资源禀赋与目标市场需求，全力支持北京“名特优”果品果树基地工程建设的用地需求，推动北京特色林果、花卉、蜂业等生态产业高质量发展，促进农民就业增收。</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lang w:val="zh-TW"/>
        </w:rPr>
      </w:pPr>
      <w:r>
        <w:rPr>
          <w:rFonts w:hint="eastAsia" w:ascii="仿宋" w:hAnsi="仿宋" w:eastAsia="仿宋" w:cs="仿宋"/>
          <w:b/>
          <w:kern w:val="2"/>
          <w:sz w:val="28"/>
          <w:szCs w:val="28"/>
        </w:rPr>
        <w:t>（三）</w:t>
      </w:r>
      <w:r>
        <w:rPr>
          <w:rFonts w:hint="eastAsia" w:ascii="仿宋" w:hAnsi="仿宋" w:eastAsia="仿宋" w:cs="仿宋"/>
          <w:b/>
          <w:kern w:val="2"/>
          <w:sz w:val="28"/>
          <w:szCs w:val="28"/>
          <w:lang w:val="zh-TW"/>
        </w:rPr>
        <w:t>保障重大重点项目用地</w:t>
      </w:r>
    </w:p>
    <w:p>
      <w:pPr>
        <w:pStyle w:val="26"/>
        <w:ind w:firstLine="562"/>
        <w:rPr>
          <w:rFonts w:hint="eastAsia"/>
          <w:color w:val="auto"/>
        </w:rPr>
      </w:pPr>
      <w:r>
        <w:rPr>
          <w:rFonts w:hint="eastAsia"/>
          <w:b/>
          <w:bCs/>
          <w:color w:val="auto"/>
        </w:rPr>
        <w:t>保障基础设施建设用地。</w:t>
      </w:r>
      <w:r>
        <w:rPr>
          <w:rFonts w:hint="eastAsia"/>
          <w:color w:val="auto"/>
        </w:rPr>
        <w:t>提前积极参与重点重大工程用地规划，保障列入国家和市重点建设项目目录的公路、铁路、水利、电力、能源基地等基础设施、公共事业和民生、军事国防等建设项目使用林地，加大国家重大项目占用林地保障力度。</w:t>
      </w:r>
    </w:p>
    <w:p>
      <w:pPr>
        <w:pStyle w:val="26"/>
        <w:ind w:firstLine="562"/>
        <w:rPr>
          <w:rFonts w:hint="eastAsia"/>
          <w:color w:val="auto"/>
        </w:rPr>
      </w:pPr>
      <w:r>
        <w:rPr>
          <w:rFonts w:hint="eastAsia"/>
          <w:b/>
          <w:bCs/>
          <w:color w:val="auto"/>
        </w:rPr>
        <w:t>适度保障城乡建设用地。</w:t>
      </w:r>
      <w:r>
        <w:rPr>
          <w:rFonts w:hint="eastAsia"/>
          <w:color w:val="auto"/>
        </w:rPr>
        <w:t>按照分区规划，结合城镇发展实际，支持城镇开发边界内建设项目使用林地，依法依规办理林地占用手续，逐步按需满足用地需求，限制城镇开发边界外城乡建设项目使用林地。使用林地时须保护山脚线，避免</w:t>
      </w:r>
      <w:r>
        <w:rPr>
          <w:rFonts w:hint="eastAsia"/>
          <w:color w:val="auto"/>
          <w:lang w:val="en-US"/>
        </w:rPr>
        <w:t>城镇建设</w:t>
      </w:r>
      <w:r>
        <w:rPr>
          <w:rFonts w:hint="eastAsia"/>
          <w:color w:val="auto"/>
        </w:rPr>
        <w:t>开山毁林。</w:t>
      </w:r>
    </w:p>
    <w:p>
      <w:pPr>
        <w:pStyle w:val="26"/>
        <w:ind w:firstLine="562"/>
        <w:rPr>
          <w:rFonts w:hint="eastAsia"/>
          <w:color w:val="auto"/>
        </w:rPr>
      </w:pPr>
      <w:r>
        <w:rPr>
          <w:rFonts w:hint="eastAsia"/>
          <w:b/>
          <w:bCs/>
          <w:color w:val="auto"/>
        </w:rPr>
        <w:t>保障木本粮油用地。</w:t>
      </w:r>
      <w:r>
        <w:rPr>
          <w:rFonts w:hint="eastAsia"/>
          <w:color w:val="auto"/>
        </w:rPr>
        <w:t>全面落实北京市及怀柔区关于耕地保护的决策部署，切实协调好、保护好、利用好林地资源和耕地资源，将位于永久基本农田和耕地保护红线范围内，“三调”为林地的地块依法依规逐步退出，恢复耕地属性。依法依规支持建设核桃、板栗、仁用杏、榛子等木本粮油及林果生产的林地使用，积极推广良种选育和集约经营技术，提高木本粮油及林果产量和质量，丰富市场需求。</w:t>
      </w:r>
    </w:p>
    <w:p>
      <w:pPr>
        <w:keepLines/>
        <w:widowControl w:val="0"/>
        <w:spacing w:before="120" w:after="120" w:line="360" w:lineRule="auto"/>
        <w:ind w:firstLine="596" w:firstLineChars="198"/>
        <w:jc w:val="both"/>
        <w:textAlignment w:val="baseline"/>
        <w:outlineLvl w:val="1"/>
        <w:rPr>
          <w:rFonts w:hint="eastAsia" w:ascii="仿宋" w:hAnsi="仿宋" w:eastAsia="仿宋" w:cs="仿宋"/>
          <w:b/>
          <w:sz w:val="30"/>
          <w:szCs w:val="20"/>
        </w:rPr>
      </w:pPr>
      <w:bookmarkStart w:id="190" w:name="_Toc162268323"/>
      <w:bookmarkStart w:id="191" w:name="_Toc177994382"/>
      <w:r>
        <w:rPr>
          <w:rFonts w:hint="eastAsia" w:ascii="仿宋" w:hAnsi="仿宋" w:eastAsia="仿宋" w:cs="仿宋"/>
          <w:b/>
          <w:sz w:val="30"/>
          <w:szCs w:val="20"/>
        </w:rPr>
        <w:t>三、持续利用资源</w:t>
      </w:r>
      <w:bookmarkEnd w:id="190"/>
      <w:bookmarkEnd w:id="191"/>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（一）加快生态建设进程</w:t>
      </w:r>
    </w:p>
    <w:p>
      <w:pPr>
        <w:pStyle w:val="26"/>
        <w:rPr>
          <w:rFonts w:hint="eastAsia"/>
          <w:color w:val="auto"/>
        </w:rPr>
      </w:pPr>
      <w:r>
        <w:rPr>
          <w:rFonts w:hint="eastAsia"/>
          <w:color w:val="auto"/>
        </w:rPr>
        <w:t>充分利用林地资源开展造林绿化，不断提高林地利用率，根据立地条件和经营目标，采取工程造林和自然恢复等多种形式，增加森林植被。对适宜森林生长的岩石裸露地、拆迁腾退地、临时用地等林地，采取工程恢复林地土壤、人工造林等措施，培育乔木林。对山区灌木林地，采用封山育林和人工促进天然更新等手段，逐步使灌木林转变为乔木林。对疏林地，采用补植补造、定株抚育等手段，培育成乔木林。不断优化林地结构，增进森林面积和储量，提升林地的生态功能和效益。</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（二）积极修复被毁和退化林地</w:t>
      </w:r>
    </w:p>
    <w:p>
      <w:pPr>
        <w:pStyle w:val="26"/>
        <w:rPr>
          <w:rFonts w:hint="eastAsia"/>
          <w:color w:val="auto"/>
        </w:rPr>
      </w:pPr>
      <w:r>
        <w:rPr>
          <w:rFonts w:hint="eastAsia"/>
          <w:color w:val="auto"/>
        </w:rPr>
        <w:t>积极修复被毁林地，采取工程措施与生物措施相结合的方式，着力开展毁林开垦林地、建设项目非法占用林地的综合治理，逐步恢复森林植被生长条件，实现森林生态系统重建。科学规划并实施退化林地修复，综合运用工程、生物等措施，加快退化林地的生态治理和生态改良，提高林地质量和生产力。编制实施退化林修复方案，不断修复稀疏老化、生长不良的退化林，改善林分结构和生境，培育高质量的森林。</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（三）全力推进花园城市建设</w:t>
      </w:r>
    </w:p>
    <w:p>
      <w:pPr>
        <w:pStyle w:val="26"/>
        <w:rPr>
          <w:rFonts w:hint="eastAsia"/>
          <w:color w:val="auto"/>
        </w:rPr>
      </w:pPr>
      <w:r>
        <w:rPr>
          <w:rFonts w:hint="eastAsia"/>
          <w:color w:val="auto"/>
        </w:rPr>
        <w:t>巩固森林城市建设成效，结合森林景观改造提升、乡村振兴战略、美丽乡村建设和疏解整治促提升等重点工作，最大限度地增加森林面积，让森林走进城市。完善森林城市生态网络体系，通过积极保护、恢复拓宽、补缺造林等措施，加大城镇间成片森林和林网建设。根据森林生态系统演替规律和景观需求，培育乡土乔木树种，合理调控林分密度，以及乔、灌、草和绿色、彩色树种比例，培育近自然森林，努力构建高水平的城市森林生态体系，为实现花园城市建设目标奠定基础。</w:t>
      </w:r>
    </w:p>
    <w:p>
      <w:pPr>
        <w:widowControl w:val="0"/>
        <w:spacing w:after="0" w:line="360" w:lineRule="auto"/>
        <w:ind w:firstLine="560" w:firstLineChars="200"/>
        <w:jc w:val="both"/>
        <w:rPr>
          <w:rFonts w:hint="eastAsia" w:ascii="仿宋" w:hAnsi="仿宋" w:eastAsia="仿宋" w:cs="仿宋"/>
          <w:kern w:val="2"/>
          <w:sz w:val="28"/>
          <w:szCs w:val="28"/>
        </w:rPr>
      </w:pPr>
    </w:p>
    <w:p>
      <w:pPr>
        <w:pageBreakBefore/>
        <w:widowControl w:val="0"/>
        <w:spacing w:before="156" w:beforeLines="50" w:after="156" w:afterLines="50" w:line="360" w:lineRule="auto"/>
        <w:jc w:val="center"/>
        <w:outlineLvl w:val="0"/>
        <w:rPr>
          <w:rFonts w:hint="eastAsia" w:ascii="仿宋" w:hAnsi="仿宋" w:eastAsia="仿宋" w:cs="仿宋"/>
          <w:b/>
          <w:kern w:val="44"/>
          <w:sz w:val="32"/>
          <w:szCs w:val="32"/>
        </w:rPr>
      </w:pPr>
      <w:bookmarkStart w:id="192" w:name="_Toc162268324"/>
      <w:bookmarkStart w:id="193" w:name="_Toc177994383"/>
      <w:r>
        <w:rPr>
          <w:rFonts w:hint="eastAsia" w:ascii="仿宋" w:hAnsi="仿宋" w:eastAsia="仿宋" w:cs="仿宋"/>
          <w:b/>
          <w:kern w:val="44"/>
          <w:sz w:val="32"/>
          <w:szCs w:val="32"/>
        </w:rPr>
        <w:t>第六章 加强重点工程</w:t>
      </w:r>
      <w:bookmarkEnd w:id="185"/>
      <w:r>
        <w:rPr>
          <w:rFonts w:hint="eastAsia" w:ascii="仿宋" w:hAnsi="仿宋" w:eastAsia="仿宋" w:cs="仿宋"/>
          <w:b/>
          <w:kern w:val="44"/>
          <w:sz w:val="32"/>
          <w:szCs w:val="32"/>
        </w:rPr>
        <w:t>和能力建设</w:t>
      </w:r>
      <w:bookmarkEnd w:id="186"/>
      <w:bookmarkEnd w:id="187"/>
      <w:bookmarkEnd w:id="188"/>
      <w:bookmarkEnd w:id="189"/>
      <w:bookmarkEnd w:id="192"/>
      <w:bookmarkEnd w:id="193"/>
    </w:p>
    <w:p>
      <w:pPr>
        <w:widowControl w:val="0"/>
        <w:spacing w:before="312" w:beforeLines="100" w:after="156" w:afterLines="50" w:line="360" w:lineRule="auto"/>
        <w:ind w:firstLine="602" w:firstLineChars="200"/>
        <w:jc w:val="both"/>
        <w:outlineLvl w:val="1"/>
        <w:rPr>
          <w:rFonts w:hint="eastAsia" w:ascii="仿宋" w:hAnsi="仿宋" w:eastAsia="仿宋" w:cs="仿宋"/>
          <w:b/>
          <w:bCs/>
          <w:kern w:val="2"/>
          <w:sz w:val="30"/>
          <w:szCs w:val="32"/>
        </w:rPr>
      </w:pPr>
      <w:bookmarkStart w:id="194" w:name="_Toc28805"/>
      <w:bookmarkStart w:id="195" w:name="_Toc3616"/>
      <w:bookmarkStart w:id="196" w:name="_Toc22246"/>
      <w:bookmarkStart w:id="197" w:name="_Toc162268325"/>
      <w:bookmarkStart w:id="198" w:name="_Toc14246"/>
      <w:bookmarkStart w:id="199" w:name="_Toc177994384"/>
      <w:bookmarkStart w:id="200" w:name="_Toc3195"/>
      <w:r>
        <w:rPr>
          <w:rFonts w:hint="eastAsia" w:ascii="仿宋" w:hAnsi="仿宋" w:eastAsia="仿宋" w:cs="仿宋"/>
          <w:b/>
          <w:bCs/>
          <w:kern w:val="2"/>
          <w:sz w:val="30"/>
          <w:szCs w:val="32"/>
        </w:rPr>
        <w:t>一、重点工程建设</w:t>
      </w:r>
      <w:bookmarkEnd w:id="194"/>
      <w:bookmarkEnd w:id="195"/>
      <w:bookmarkEnd w:id="196"/>
      <w:bookmarkEnd w:id="197"/>
      <w:bookmarkEnd w:id="198"/>
      <w:bookmarkEnd w:id="199"/>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（一）林地保护工程</w:t>
      </w:r>
    </w:p>
    <w:p>
      <w:pPr>
        <w:pStyle w:val="26"/>
        <w:ind w:firstLine="562"/>
        <w:rPr>
          <w:rFonts w:hint="eastAsia"/>
          <w:color w:val="auto"/>
        </w:rPr>
      </w:pPr>
      <w:r>
        <w:rPr>
          <w:rFonts w:hint="eastAsia"/>
          <w:b/>
          <w:bCs/>
          <w:color w:val="auto"/>
        </w:rPr>
        <w:t>天然林保护。</w:t>
      </w:r>
      <w:r>
        <w:rPr>
          <w:rFonts w:hint="eastAsia"/>
          <w:color w:val="auto"/>
        </w:rPr>
        <w:t>贯彻落实《北京市天然林保护修复工作方案》文件精神，落实天然林保护政策，优化健全天然林保护管理制度，全面保护天然林资源。实行天然林分级保护制度，加强天然林用途管制及退化天然林的修复，强化科技支撑和监测评估，加强基础设施和管护能力建设。</w:t>
      </w:r>
    </w:p>
    <w:p>
      <w:pPr>
        <w:pStyle w:val="26"/>
        <w:ind w:firstLine="562"/>
        <w:rPr>
          <w:rFonts w:hint="eastAsia"/>
          <w:b/>
          <w:bCs/>
          <w:color w:val="auto"/>
        </w:rPr>
      </w:pPr>
      <w:r>
        <w:rPr>
          <w:rFonts w:hint="eastAsia"/>
          <w:b/>
          <w:bCs/>
          <w:color w:val="auto"/>
        </w:rPr>
        <w:t>公益林管理保护。</w:t>
      </w:r>
      <w:r>
        <w:rPr>
          <w:rFonts w:hint="eastAsia"/>
          <w:color w:val="auto"/>
        </w:rPr>
        <w:t>全面落实国家级公益林、平原生态林、山区生态公益林等多种类型生态公益林的经营管护法律法规及有关规定，加大对公益林管护的投入，加强国家级公益林抚育管护、平原生态林经营管护、山区生态公益林森林健康经营、退耕还生态林养护、矿山植被恢复等项目统筹，充分发挥镇（乡）或新型集体林场作为经营管护主体责任，</w:t>
      </w:r>
      <w:r>
        <w:rPr>
          <w:rFonts w:hint="eastAsia" w:ascii="Times New Roman" w:hAnsi="Times New Roman" w:cs="Times New Roman"/>
          <w:kern w:val="2"/>
        </w:rPr>
        <w:t>促进生态公益林健康稳定</w:t>
      </w:r>
      <w:r>
        <w:rPr>
          <w:rFonts w:hint="eastAsia"/>
          <w:color w:val="auto"/>
        </w:rPr>
        <w:t>。</w:t>
      </w:r>
    </w:p>
    <w:p>
      <w:pPr>
        <w:pStyle w:val="26"/>
        <w:ind w:firstLine="562"/>
        <w:rPr>
          <w:rFonts w:hint="eastAsia"/>
          <w:color w:val="auto"/>
        </w:rPr>
      </w:pPr>
      <w:r>
        <w:rPr>
          <w:rFonts w:hint="eastAsia"/>
          <w:b/>
          <w:bCs/>
          <w:color w:val="auto"/>
        </w:rPr>
        <w:t>自然保护地建设。</w:t>
      </w:r>
      <w:r>
        <w:rPr>
          <w:rFonts w:hint="eastAsia"/>
          <w:color w:val="auto"/>
        </w:rPr>
        <w:t>推进自然保护地整合优化工作，依据批复的自然保护地整合优化</w:t>
      </w:r>
      <w:r>
        <w:rPr>
          <w:rFonts w:hint="eastAsia"/>
          <w:color w:val="auto"/>
          <w:lang w:val="en-US"/>
        </w:rPr>
        <w:t>文件</w:t>
      </w:r>
      <w:r>
        <w:rPr>
          <w:rFonts w:hint="eastAsia"/>
          <w:color w:val="auto"/>
        </w:rPr>
        <w:t>，开展勘界立标、确权登记、总体规划编制等专项规划编制工作，并严格落实各项规划。健全自然保护地管理体系，加强自然保护地监测系统，开展自然保护地保护、管理、建设等相关工作，加强自然保护地日常巡护检查工作，维护自然资源的完整性和稳定性。</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（二）森林经营工程</w:t>
      </w:r>
    </w:p>
    <w:p>
      <w:pPr>
        <w:pStyle w:val="26"/>
        <w:ind w:firstLine="562"/>
        <w:rPr>
          <w:rFonts w:hint="eastAsia"/>
          <w:color w:val="auto"/>
        </w:rPr>
      </w:pPr>
      <w:r>
        <w:rPr>
          <w:rFonts w:hint="eastAsia"/>
          <w:b/>
          <w:color w:val="auto"/>
        </w:rPr>
        <w:t>森林健康经营。</w:t>
      </w:r>
      <w:r>
        <w:rPr>
          <w:rFonts w:hint="eastAsia"/>
          <w:color w:val="auto"/>
        </w:rPr>
        <w:t>采取近自然的森林经营方法，优化林分结构，持续构建稳定的森林生态系统，促进森林健康可持续经营。实施山区生态修复，重点开展山杏、山桃、萌生栎等低质林分的改造提升，培育区域顶级森林群落。优化林地结构，在生态廊道和重要生态节点集中布局造林空间，提升森林覆盖率。继续落实封山育林、山区森林健康经营等重点工程，进行浅山荒山绿化，增加森林面积。</w:t>
      </w:r>
    </w:p>
    <w:p>
      <w:pPr>
        <w:pStyle w:val="26"/>
        <w:ind w:firstLine="562"/>
        <w:rPr>
          <w:rFonts w:hint="eastAsia"/>
          <w:color w:val="auto"/>
        </w:rPr>
      </w:pPr>
      <w:r>
        <w:rPr>
          <w:rFonts w:hint="eastAsia"/>
          <w:b/>
          <w:color w:val="auto"/>
        </w:rPr>
        <w:t>受损弃置地生态修复。</w:t>
      </w:r>
      <w:r>
        <w:rPr>
          <w:rFonts w:hint="eastAsia"/>
          <w:color w:val="auto"/>
          <w:lang w:val="en-US"/>
        </w:rPr>
        <w:t>实施</w:t>
      </w:r>
      <w:r>
        <w:rPr>
          <w:rFonts w:hint="eastAsia"/>
          <w:color w:val="auto"/>
        </w:rPr>
        <w:t>泥石流、滑坡、水毁地、塌陷地等受损废弃地</w:t>
      </w:r>
      <w:r>
        <w:rPr>
          <w:rFonts w:hint="eastAsia"/>
          <w:color w:val="auto"/>
          <w:lang w:val="en-US"/>
        </w:rPr>
        <w:t>的</w:t>
      </w:r>
      <w:r>
        <w:rPr>
          <w:rFonts w:hint="eastAsia"/>
          <w:color w:val="auto"/>
        </w:rPr>
        <w:t>生态修复，坚持生态优先原则，存在一处治理一处。通过生态修复把受损弃置地由“荒地”变“绿地”。</w:t>
      </w:r>
    </w:p>
    <w:p>
      <w:pPr>
        <w:pStyle w:val="26"/>
        <w:ind w:firstLine="562"/>
        <w:rPr>
          <w:rFonts w:hint="eastAsia"/>
          <w:color w:val="auto"/>
        </w:rPr>
      </w:pPr>
      <w:r>
        <w:rPr>
          <w:rFonts w:hint="eastAsia"/>
          <w:b/>
          <w:bCs/>
          <w:color w:val="auto"/>
        </w:rPr>
        <w:t>经济林经营。</w:t>
      </w:r>
      <w:r>
        <w:rPr>
          <w:rFonts w:hint="eastAsia"/>
          <w:color w:val="auto"/>
        </w:rPr>
        <w:t>建设板栗、核桃、尜尜枣等特色林果示范基地，加强果树产业优化升级，推进果品产业高效发展。推动板栗种植区向生态景观型果园和特色精品型果园发展，建立“京字号”名特优果品示范基地。</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（三）林地利用工程</w:t>
      </w:r>
    </w:p>
    <w:p>
      <w:pPr>
        <w:pStyle w:val="26"/>
        <w:ind w:firstLine="562"/>
        <w:rPr>
          <w:rFonts w:hint="eastAsia"/>
          <w:color w:val="auto"/>
        </w:rPr>
      </w:pPr>
      <w:r>
        <w:rPr>
          <w:rFonts w:hint="eastAsia"/>
          <w:b/>
          <w:bCs/>
          <w:color w:val="auto"/>
        </w:rPr>
        <w:t>持续推进人工造林和封山育林。</w:t>
      </w:r>
      <w:r>
        <w:rPr>
          <w:rFonts w:hint="eastAsia"/>
          <w:color w:val="auto"/>
        </w:rPr>
        <w:t>全面落实“</w:t>
      </w:r>
      <w:r>
        <w:rPr>
          <w:rFonts w:hint="eastAsia"/>
          <w:color w:val="auto"/>
          <w:lang w:val="en-US"/>
        </w:rPr>
        <w:t>三北</w:t>
      </w:r>
      <w:r>
        <w:rPr>
          <w:rFonts w:hint="eastAsia"/>
          <w:color w:val="auto"/>
        </w:rPr>
        <w:t>”</w:t>
      </w:r>
      <w:r>
        <w:rPr>
          <w:rFonts w:hint="eastAsia"/>
          <w:color w:val="auto"/>
          <w:lang w:val="en-US"/>
        </w:rPr>
        <w:t>防护林工程、</w:t>
      </w:r>
      <w:r>
        <w:rPr>
          <w:rFonts w:hint="eastAsia"/>
          <w:color w:val="auto"/>
        </w:rPr>
        <w:t>燕山—太行山水源涵养林建设、水土流失治理和京津冀风沙源治理等建设任务，强化绿色生态治理。科学开展残次林、适宜造林的地块等区域的大尺度块状造林绿化美化。加大深山区封山育林力度，促进灌木林中乔木树种的生长。</w:t>
      </w:r>
      <w:bookmarkEnd w:id="200"/>
      <w:r>
        <w:rPr>
          <w:rFonts w:hint="eastAsia"/>
          <w:color w:val="auto"/>
        </w:rPr>
        <w:t>重点围绕科学城进行绿化景观建设，通过见空插绿、疏解整治留白增绿，使碎片资源有效连接，形成局部各有特色、整体和谐统一的景观格局。</w:t>
      </w:r>
    </w:p>
    <w:p>
      <w:pPr>
        <w:pStyle w:val="26"/>
        <w:ind w:firstLine="562"/>
        <w:rPr>
          <w:rFonts w:hint="eastAsia"/>
          <w:color w:val="auto"/>
        </w:rPr>
      </w:pPr>
      <w:bookmarkStart w:id="201" w:name="_Toc9344"/>
      <w:r>
        <w:rPr>
          <w:rFonts w:hint="eastAsia"/>
          <w:b/>
          <w:bCs/>
          <w:color w:val="auto"/>
        </w:rPr>
        <w:t>森林康养和旅游休闲</w:t>
      </w:r>
      <w:r>
        <w:rPr>
          <w:rFonts w:hint="eastAsia"/>
          <w:b/>
          <w:bCs/>
          <w:color w:val="auto"/>
          <w:lang w:val="en-US"/>
        </w:rPr>
        <w:t>项目</w:t>
      </w:r>
      <w:r>
        <w:rPr>
          <w:rFonts w:hint="eastAsia"/>
          <w:b/>
          <w:bCs/>
          <w:color w:val="auto"/>
        </w:rPr>
        <w:t>建设</w:t>
      </w:r>
      <w:bookmarkEnd w:id="201"/>
      <w:r>
        <w:rPr>
          <w:rFonts w:hint="eastAsia"/>
          <w:b/>
          <w:bCs/>
          <w:color w:val="auto"/>
        </w:rPr>
        <w:t>。</w:t>
      </w:r>
      <w:r>
        <w:rPr>
          <w:rFonts w:hint="eastAsia"/>
          <w:color w:val="auto"/>
        </w:rPr>
        <w:t>依托怀柔区充沛的森林资源、优良的生态环境、丰富的生态旅游产品和浓厚的康养文化，参照《国家康养旅游示范基地》（L</w:t>
      </w:r>
      <w:r>
        <w:rPr>
          <w:color w:val="auto"/>
        </w:rPr>
        <w:t>B/T 051-2016</w:t>
      </w:r>
      <w:r>
        <w:rPr>
          <w:rFonts w:hint="eastAsia"/>
          <w:color w:val="auto"/>
        </w:rPr>
        <w:t>），加强推进森林步道、自然疗养公园、自然休养示范林等项目建设，积极探索健康与林业、旅游、体育运动、健身休闲相融合的新产业、新业态、新模式，建立首都后花园康养示范基地。充分利用平原区域及浅山地区的森林生态景观，推动全区“森林人家”健康快速发展，推进景观优美、功能完备的郊野公园建设，拓展市民生态活动空间。</w:t>
      </w:r>
    </w:p>
    <w:p>
      <w:pPr>
        <w:pStyle w:val="26"/>
        <w:ind w:firstLine="562"/>
        <w:rPr>
          <w:rFonts w:hint="eastAsia"/>
          <w:color w:val="auto"/>
        </w:rPr>
      </w:pPr>
      <w:bookmarkStart w:id="202" w:name="_Toc18863"/>
      <w:bookmarkStart w:id="203" w:name="_Toc5638"/>
      <w:r>
        <w:rPr>
          <w:rFonts w:hint="eastAsia"/>
          <w:b/>
          <w:color w:val="auto"/>
        </w:rPr>
        <w:t>林业产业</w:t>
      </w:r>
      <w:bookmarkEnd w:id="202"/>
      <w:r>
        <w:rPr>
          <w:rFonts w:hint="eastAsia"/>
          <w:b/>
          <w:color w:val="auto"/>
        </w:rPr>
        <w:t>建设。</w:t>
      </w:r>
      <w:r>
        <w:rPr>
          <w:rFonts w:hint="eastAsia"/>
          <w:color w:val="auto"/>
        </w:rPr>
        <w:t>发挥自然条件优势，加强科学管理水平，提高全区果品品质，打造区域特色品牌，创建怀柔区果品无公害绿色有机基地。推进林下经济高效发展，促进林下经济发展的林业资源管理制度，培育一批管理水平高、产品质量优、带动能力强、综合效益好的林下经济示范基地。着力培育一批示范作用强、经济效益突出的果品基地，</w:t>
      </w:r>
      <w:r>
        <w:rPr>
          <w:rFonts w:hint="eastAsia"/>
          <w:color w:val="auto"/>
          <w:lang w:val="en-US"/>
        </w:rPr>
        <w:t>加强</w:t>
      </w:r>
      <w:r>
        <w:rPr>
          <w:rFonts w:hint="eastAsia"/>
          <w:color w:val="auto"/>
        </w:rPr>
        <w:t>北京"名特优"果</w:t>
      </w:r>
      <w:r>
        <w:rPr>
          <w:rFonts w:hint="eastAsia"/>
          <w:color w:val="auto"/>
          <w:lang w:val="en-US"/>
        </w:rPr>
        <w:t>品</w:t>
      </w:r>
      <w:r>
        <w:rPr>
          <w:rFonts w:hint="eastAsia"/>
          <w:color w:val="auto"/>
        </w:rPr>
        <w:t>基地、林果类农业文化遗产资源、“京字号”古老果树资源</w:t>
      </w:r>
      <w:r>
        <w:rPr>
          <w:rFonts w:hint="eastAsia"/>
          <w:color w:val="auto"/>
          <w:lang w:val="en-US"/>
        </w:rPr>
        <w:t>的保护与利用</w:t>
      </w:r>
      <w:r>
        <w:rPr>
          <w:rFonts w:hint="eastAsia"/>
          <w:color w:val="auto"/>
        </w:rPr>
        <w:t>。推进蜂产业高效发展，加强蜜源、粉源种质资源保护与良种扩繁，利用成熟蜜生产技术探索规模化蜂场发展，推广多箱体成熟蜂蜜养殖技术，抓点带面、辐射带动全区果品产业发展，增加农民收益。</w:t>
      </w:r>
      <w:bookmarkEnd w:id="203"/>
    </w:p>
    <w:p>
      <w:pPr>
        <w:widowControl w:val="0"/>
        <w:spacing w:before="312" w:beforeLines="100" w:after="156" w:afterLines="50" w:line="360" w:lineRule="auto"/>
        <w:ind w:firstLine="602" w:firstLineChars="200"/>
        <w:jc w:val="both"/>
        <w:outlineLvl w:val="1"/>
        <w:rPr>
          <w:rFonts w:hint="eastAsia" w:ascii="仿宋" w:hAnsi="仿宋" w:eastAsia="仿宋" w:cs="仿宋"/>
          <w:b/>
          <w:bCs/>
          <w:kern w:val="2"/>
          <w:sz w:val="30"/>
          <w:szCs w:val="32"/>
        </w:rPr>
      </w:pPr>
      <w:bookmarkStart w:id="204" w:name="_Toc17628"/>
      <w:bookmarkStart w:id="205" w:name="_Toc4768"/>
      <w:bookmarkStart w:id="206" w:name="_Toc177994385"/>
      <w:bookmarkStart w:id="207" w:name="_Toc23998"/>
      <w:bookmarkStart w:id="208" w:name="_Toc29252"/>
      <w:bookmarkStart w:id="209" w:name="_Toc162268326"/>
      <w:bookmarkStart w:id="210" w:name="_Toc1610"/>
      <w:r>
        <w:rPr>
          <w:rFonts w:hint="eastAsia" w:ascii="仿宋" w:hAnsi="仿宋" w:eastAsia="仿宋" w:cs="仿宋"/>
          <w:b/>
          <w:bCs/>
          <w:kern w:val="2"/>
          <w:sz w:val="30"/>
          <w:szCs w:val="32"/>
        </w:rPr>
        <w:t>二、加强能力建设</w:t>
      </w:r>
      <w:bookmarkEnd w:id="204"/>
      <w:bookmarkEnd w:id="205"/>
      <w:bookmarkEnd w:id="206"/>
      <w:bookmarkEnd w:id="207"/>
      <w:bookmarkEnd w:id="208"/>
      <w:bookmarkEnd w:id="209"/>
      <w:bookmarkEnd w:id="210"/>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bookmarkStart w:id="211" w:name="_Toc29243"/>
      <w:r>
        <w:rPr>
          <w:rFonts w:hint="eastAsia" w:ascii="仿宋" w:hAnsi="仿宋" w:eastAsia="仿宋" w:cs="仿宋"/>
          <w:b/>
          <w:kern w:val="2"/>
          <w:sz w:val="28"/>
          <w:szCs w:val="28"/>
        </w:rPr>
        <w:t>（一）推进体制机制改革</w:t>
      </w:r>
      <w:bookmarkEnd w:id="211"/>
    </w:p>
    <w:p>
      <w:pPr>
        <w:pStyle w:val="26"/>
        <w:ind w:firstLine="562"/>
        <w:rPr>
          <w:rFonts w:hint="eastAsia"/>
          <w:color w:val="auto"/>
        </w:rPr>
      </w:pPr>
      <w:r>
        <w:rPr>
          <w:rFonts w:hint="eastAsia"/>
          <w:b/>
          <w:bCs/>
          <w:color w:val="auto"/>
        </w:rPr>
        <w:t>全面落实林长制。</w:t>
      </w:r>
      <w:r>
        <w:rPr>
          <w:rFonts w:hint="eastAsia"/>
          <w:color w:val="auto"/>
        </w:rPr>
        <w:t>贯彻落实《森林法》，健全以党政主要领导为主的林长制，层层落实责任，明确任务，提升林业综合管理能力，统筹林业资源，释放林业发展潜力，推动林业高质量发展。定期组织园林绿化资源专项调查，编制自然资源资产负债表。</w:t>
      </w:r>
    </w:p>
    <w:p>
      <w:pPr>
        <w:pStyle w:val="26"/>
        <w:ind w:firstLine="562"/>
        <w:rPr>
          <w:rFonts w:hint="eastAsia"/>
          <w:color w:val="auto"/>
        </w:rPr>
      </w:pPr>
      <w:r>
        <w:rPr>
          <w:rFonts w:hint="eastAsia"/>
          <w:b/>
          <w:bCs/>
          <w:color w:val="auto"/>
        </w:rPr>
        <w:t>持续推进林权制度改革。</w:t>
      </w:r>
      <w:r>
        <w:rPr>
          <w:rFonts w:hint="eastAsia"/>
          <w:color w:val="auto"/>
        </w:rPr>
        <w:t>落实《关于完善集体林权制度促进首都林业发展的实施意见》的要求，以提高森林管护质量为首要原则，以新型集体林场为载体，以集体生态林保护、经营、利用和生态承载力提升为核心，激发林业活力，培育后备森林资源，凝聚集体经济，增加社会财富。</w:t>
      </w:r>
    </w:p>
    <w:p>
      <w:pPr>
        <w:pStyle w:val="26"/>
        <w:ind w:firstLine="562"/>
        <w:rPr>
          <w:rFonts w:hint="eastAsia"/>
          <w:color w:val="auto"/>
        </w:rPr>
      </w:pPr>
      <w:r>
        <w:rPr>
          <w:rFonts w:hint="eastAsia"/>
          <w:b/>
          <w:bCs/>
          <w:color w:val="auto"/>
          <w:lang w:val="en-US"/>
        </w:rPr>
        <w:t>落实</w:t>
      </w:r>
      <w:r>
        <w:rPr>
          <w:rFonts w:hint="eastAsia"/>
          <w:b/>
          <w:bCs/>
          <w:color w:val="auto"/>
        </w:rPr>
        <w:t>生态效益补偿</w:t>
      </w:r>
      <w:r>
        <w:rPr>
          <w:rFonts w:hint="eastAsia"/>
          <w:b/>
          <w:bCs/>
          <w:color w:val="auto"/>
          <w:lang w:val="en-US"/>
        </w:rPr>
        <w:t>制度</w:t>
      </w:r>
      <w:r>
        <w:rPr>
          <w:rFonts w:hint="eastAsia"/>
          <w:b/>
          <w:bCs/>
          <w:color w:val="auto"/>
        </w:rPr>
        <w:t>。</w:t>
      </w:r>
      <w:r>
        <w:rPr>
          <w:rFonts w:ascii="Times New Roman" w:hAnsi="Times New Roman" w:cs="Times New Roman"/>
          <w:kern w:val="2"/>
        </w:rPr>
        <w:t>贯彻执行森林资源管理及绿地管护制度</w:t>
      </w:r>
      <w:r>
        <w:rPr>
          <w:rFonts w:hint="eastAsia"/>
          <w:color w:val="auto"/>
        </w:rPr>
        <w:t>，逐级分解落实森林保护修复和城市绿地管护的责任与任务，保障各项园林绿化工作的顺利实施，</w:t>
      </w:r>
      <w:r>
        <w:rPr>
          <w:rFonts w:ascii="Times New Roman" w:hAnsi="Times New Roman" w:cs="Times New Roman"/>
          <w:kern w:val="2"/>
        </w:rPr>
        <w:t>促进生态林提质增效，增加林农收入</w:t>
      </w:r>
      <w:r>
        <w:rPr>
          <w:rFonts w:hint="eastAsia"/>
          <w:color w:val="auto"/>
        </w:rPr>
        <w:t>。</w:t>
      </w:r>
    </w:p>
    <w:p>
      <w:pPr>
        <w:pStyle w:val="26"/>
        <w:ind w:firstLine="562"/>
        <w:rPr>
          <w:rFonts w:hint="eastAsia"/>
          <w:color w:val="auto"/>
        </w:rPr>
      </w:pPr>
      <w:r>
        <w:rPr>
          <w:rFonts w:hint="eastAsia"/>
          <w:b/>
          <w:bCs/>
          <w:color w:val="auto"/>
        </w:rPr>
        <w:t>构建生态资源产权制度。</w:t>
      </w:r>
      <w:r>
        <w:rPr>
          <w:rFonts w:hint="eastAsia"/>
          <w:color w:val="auto"/>
        </w:rPr>
        <w:t>积极融入市级统一自然资源资产产权确权登记系统和权责明确的产权体系，探索构建生态产品价值实现机制。强化政策保障，探索绿色金融实施路径，鼓励银行业金融机构、融资性担保机构、保险机构落户，重点发展绿色债券、绿色融资、绿色保险等。</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bookmarkStart w:id="212" w:name="_Toc12700"/>
      <w:r>
        <w:rPr>
          <w:rFonts w:hint="eastAsia" w:ascii="仿宋" w:hAnsi="仿宋" w:eastAsia="仿宋" w:cs="仿宋"/>
          <w:b/>
          <w:kern w:val="2"/>
          <w:sz w:val="28"/>
          <w:szCs w:val="28"/>
        </w:rPr>
        <w:t>（二）建立完善资源管理平台</w:t>
      </w:r>
      <w:bookmarkEnd w:id="212"/>
    </w:p>
    <w:p>
      <w:pPr>
        <w:pStyle w:val="26"/>
        <w:rPr>
          <w:rFonts w:hint="eastAsia"/>
          <w:color w:val="auto"/>
        </w:rPr>
      </w:pPr>
      <w:r>
        <w:rPr>
          <w:rFonts w:hint="eastAsia"/>
          <w:color w:val="auto"/>
        </w:rPr>
        <w:t>利用物联网、大数据、云计算的思维、理论和技术，结合人工智能、无人机、卫星遥感、视频监控探头等现代科技产品，构建一体化的林地、森林资源管理系统，优化森林火灾、古树名木等视频监控系统，及时掌握林地和森林资源的现状和变化情况，全面提升管理水平，促进园林绿化向科学化、精细化、智能化、融合化、立体化发展。</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bookmarkStart w:id="213" w:name="_Toc4948"/>
      <w:r>
        <w:rPr>
          <w:rFonts w:hint="eastAsia" w:ascii="仿宋" w:hAnsi="仿宋" w:eastAsia="仿宋" w:cs="仿宋"/>
          <w:b/>
          <w:kern w:val="2"/>
          <w:sz w:val="28"/>
          <w:szCs w:val="28"/>
        </w:rPr>
        <w:t>（三）加强人才队伍建设</w:t>
      </w:r>
      <w:bookmarkEnd w:id="213"/>
    </w:p>
    <w:p>
      <w:pPr>
        <w:pStyle w:val="26"/>
        <w:rPr>
          <w:rFonts w:hint="eastAsia"/>
          <w:color w:val="auto"/>
        </w:rPr>
      </w:pPr>
      <w:r>
        <w:rPr>
          <w:rFonts w:hint="eastAsia"/>
          <w:color w:val="auto"/>
        </w:rPr>
        <w:t>利用北京高等院校、科研院所较多的区域优势，积极与科研院所、高校开展全方位、多层次的科技合作，采取请进来、送出去等多种方式，加强科技人员的培养，不断提高技术人员的理论水平、实践能力。加强园林绿化系统人才队伍建设，实施人才强绿。将引进和培养人才相结合，大力引进和培养规划设计、建设施工、养护管理、有害生物防治等方面的人才，不断借鉴先进理念，提升园林绿化的规划、建设、保护、管养水平。定期对基层林业队伍开展技术培训，提高基层人员的技术水平。</w:t>
      </w:r>
    </w:p>
    <w:p>
      <w:pPr>
        <w:pageBreakBefore/>
        <w:widowControl w:val="0"/>
        <w:spacing w:before="156" w:beforeLines="50" w:after="156" w:afterLines="50" w:line="360" w:lineRule="auto"/>
        <w:jc w:val="center"/>
        <w:outlineLvl w:val="0"/>
        <w:rPr>
          <w:rFonts w:hint="eastAsia" w:ascii="仿宋" w:hAnsi="仿宋" w:eastAsia="仿宋" w:cs="仿宋"/>
          <w:b/>
          <w:kern w:val="44"/>
          <w:sz w:val="32"/>
          <w:szCs w:val="32"/>
        </w:rPr>
      </w:pPr>
      <w:bookmarkStart w:id="214" w:name="_Toc6549"/>
      <w:bookmarkStart w:id="215" w:name="_Toc25876"/>
      <w:bookmarkStart w:id="216" w:name="_Toc14216"/>
      <w:bookmarkStart w:id="217" w:name="_Toc162268327"/>
      <w:bookmarkStart w:id="218" w:name="_Toc16213"/>
      <w:bookmarkStart w:id="219" w:name="_Toc177994386"/>
      <w:r>
        <w:rPr>
          <w:rFonts w:hint="eastAsia" w:ascii="仿宋" w:hAnsi="仿宋" w:eastAsia="仿宋" w:cs="仿宋"/>
          <w:b/>
          <w:kern w:val="44"/>
          <w:sz w:val="32"/>
          <w:szCs w:val="32"/>
        </w:rPr>
        <w:t>第七章 规范林地外林木资源管理</w:t>
      </w:r>
      <w:bookmarkEnd w:id="214"/>
      <w:bookmarkEnd w:id="215"/>
      <w:bookmarkEnd w:id="216"/>
      <w:bookmarkEnd w:id="217"/>
      <w:bookmarkEnd w:id="218"/>
      <w:bookmarkEnd w:id="219"/>
    </w:p>
    <w:p>
      <w:pPr>
        <w:widowControl w:val="0"/>
        <w:spacing w:before="312" w:beforeLines="100" w:after="156" w:afterLines="50" w:line="360" w:lineRule="auto"/>
        <w:ind w:firstLine="602" w:firstLineChars="200"/>
        <w:jc w:val="both"/>
        <w:outlineLvl w:val="1"/>
        <w:rPr>
          <w:rFonts w:hint="eastAsia" w:ascii="仿宋" w:hAnsi="仿宋" w:eastAsia="仿宋" w:cs="仿宋"/>
          <w:b/>
          <w:bCs/>
          <w:kern w:val="2"/>
          <w:sz w:val="30"/>
          <w:szCs w:val="32"/>
          <w:lang w:val="zh-TW"/>
        </w:rPr>
      </w:pPr>
      <w:bookmarkStart w:id="220" w:name="_Toc18133"/>
      <w:bookmarkStart w:id="221" w:name="_Toc30771"/>
      <w:bookmarkStart w:id="222" w:name="_Toc162268328"/>
      <w:bookmarkStart w:id="223" w:name="_Toc11270"/>
      <w:bookmarkStart w:id="224" w:name="_Toc2851"/>
      <w:bookmarkStart w:id="225" w:name="_Toc177994387"/>
      <w:r>
        <w:rPr>
          <w:rFonts w:hint="eastAsia" w:ascii="仿宋" w:hAnsi="仿宋" w:eastAsia="仿宋" w:cs="仿宋"/>
          <w:b/>
          <w:bCs/>
          <w:kern w:val="2"/>
          <w:sz w:val="30"/>
          <w:szCs w:val="32"/>
        </w:rPr>
        <w:t>一、</w:t>
      </w:r>
      <w:r>
        <w:rPr>
          <w:rFonts w:hint="eastAsia" w:ascii="仿宋" w:hAnsi="仿宋" w:eastAsia="仿宋" w:cs="仿宋"/>
          <w:b/>
          <w:bCs/>
          <w:kern w:val="2"/>
          <w:sz w:val="30"/>
          <w:szCs w:val="32"/>
          <w:lang w:val="zh-TW"/>
        </w:rPr>
        <w:t>理顺经营管理机制</w:t>
      </w:r>
      <w:bookmarkEnd w:id="220"/>
      <w:bookmarkEnd w:id="221"/>
      <w:bookmarkEnd w:id="222"/>
      <w:bookmarkEnd w:id="223"/>
      <w:bookmarkEnd w:id="224"/>
      <w:bookmarkEnd w:id="225"/>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（一）厘清资源情况</w:t>
      </w:r>
    </w:p>
    <w:p>
      <w:pPr>
        <w:pStyle w:val="26"/>
        <w:rPr>
          <w:rFonts w:hint="eastAsia"/>
          <w:color w:val="auto"/>
        </w:rPr>
      </w:pPr>
      <w:r>
        <w:rPr>
          <w:color w:val="auto"/>
        </w:rPr>
        <w:t>将</w:t>
      </w:r>
      <w:r>
        <w:rPr>
          <w:rFonts w:hint="eastAsia"/>
          <w:color w:val="auto"/>
          <w:lang w:val="en-US"/>
        </w:rPr>
        <w:t>林地外重要林木资源，按公园绿地、</w:t>
      </w:r>
      <w:r>
        <w:rPr>
          <w:color w:val="auto"/>
        </w:rPr>
        <w:t>水库周边、河道两岸、农田林网、城镇周边，以及国家、市级</w:t>
      </w:r>
      <w:r>
        <w:rPr>
          <w:rFonts w:hint="eastAsia"/>
          <w:color w:val="auto"/>
        </w:rPr>
        <w:t>古树名木</w:t>
      </w:r>
      <w:r>
        <w:rPr>
          <w:color w:val="auto"/>
        </w:rPr>
        <w:t>等</w:t>
      </w:r>
      <w:r>
        <w:rPr>
          <w:rFonts w:hint="eastAsia"/>
          <w:color w:val="auto"/>
          <w:lang w:val="en-US"/>
        </w:rPr>
        <w:t>不同类型，纳入</w:t>
      </w:r>
      <w:r>
        <w:rPr>
          <w:color w:val="auto"/>
        </w:rPr>
        <w:t>国土变更、园林绿化资源普查等专项调查工作，建立包括资源类型、生长状况、管理属性、地块属性、变更情况等信息在内的林木资源专题数据库，及时掌握林地外林木资源的数量、质量、分布及动态变化情况。</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（二）完善调整机制</w:t>
      </w:r>
    </w:p>
    <w:p>
      <w:pPr>
        <w:pStyle w:val="26"/>
        <w:rPr>
          <w:rFonts w:hint="eastAsia"/>
          <w:color w:val="auto"/>
        </w:rPr>
      </w:pPr>
      <w:r>
        <w:rPr>
          <w:rFonts w:hint="eastAsia"/>
          <w:color w:val="auto"/>
        </w:rPr>
        <w:t>结合</w:t>
      </w:r>
      <w:r>
        <w:rPr>
          <w:rFonts w:hint="eastAsia"/>
          <w:color w:val="auto"/>
          <w:lang w:val="en-US"/>
        </w:rPr>
        <w:t>怀柔区</w:t>
      </w:r>
      <w:r>
        <w:rPr>
          <w:color w:val="auto"/>
        </w:rPr>
        <w:t>森林资源管理的特点和实际，坚持宜林则林、宜草则草、宜湿则湿、宜园则园，围绕城市空间结构和绿色空间结构建设的总体布局，</w:t>
      </w:r>
      <w:r>
        <w:rPr>
          <w:rFonts w:hint="eastAsia"/>
          <w:color w:val="auto"/>
          <w:lang w:val="en-US"/>
        </w:rPr>
        <w:t>落实</w:t>
      </w:r>
      <w:r>
        <w:rPr>
          <w:color w:val="auto"/>
        </w:rPr>
        <w:t>林木资源管理制度，有效保护重要生态区位的森林资源。实事求是将生态区位重要、生态环境脆弱、生态敏感、生态价值高的区域，通过国土年度更新，逐步调整纳入林地管理，增强生态系统的多样性、稳定性和完整性。</w:t>
      </w:r>
    </w:p>
    <w:p>
      <w:pPr>
        <w:widowControl w:val="0"/>
        <w:spacing w:before="312" w:beforeLines="100" w:after="156" w:afterLines="50" w:line="360" w:lineRule="auto"/>
        <w:ind w:firstLine="602" w:firstLineChars="200"/>
        <w:jc w:val="both"/>
        <w:outlineLvl w:val="1"/>
        <w:rPr>
          <w:rFonts w:hint="eastAsia" w:ascii="仿宋" w:hAnsi="仿宋" w:eastAsia="仿宋" w:cs="仿宋"/>
          <w:b/>
          <w:bCs/>
          <w:kern w:val="2"/>
          <w:sz w:val="30"/>
          <w:szCs w:val="32"/>
          <w:lang w:val="zh-TW"/>
        </w:rPr>
      </w:pPr>
      <w:bookmarkStart w:id="226" w:name="_Toc162268329"/>
      <w:bookmarkStart w:id="227" w:name="_Toc82"/>
      <w:bookmarkStart w:id="228" w:name="_Toc15786"/>
      <w:bookmarkStart w:id="229" w:name="_Toc24671"/>
      <w:bookmarkStart w:id="230" w:name="_Toc20730"/>
      <w:bookmarkStart w:id="231" w:name="_Toc149941356"/>
      <w:bookmarkStart w:id="232" w:name="_Toc177994388"/>
      <w:bookmarkStart w:id="233" w:name="_Hlk148983431"/>
      <w:r>
        <w:rPr>
          <w:rFonts w:hint="eastAsia" w:ascii="仿宋" w:hAnsi="仿宋" w:eastAsia="仿宋" w:cs="仿宋"/>
          <w:b/>
          <w:bCs/>
          <w:kern w:val="2"/>
          <w:sz w:val="30"/>
          <w:szCs w:val="32"/>
        </w:rPr>
        <w:t>二</w:t>
      </w:r>
      <w:r>
        <w:rPr>
          <w:rFonts w:hint="eastAsia" w:ascii="仿宋" w:hAnsi="仿宋" w:eastAsia="仿宋" w:cs="仿宋"/>
          <w:b/>
          <w:bCs/>
          <w:kern w:val="2"/>
          <w:sz w:val="30"/>
          <w:szCs w:val="32"/>
          <w:lang w:val="zh-TW"/>
        </w:rPr>
        <w:t>、规范林地外林木资源经营</w:t>
      </w:r>
      <w:bookmarkEnd w:id="226"/>
      <w:bookmarkEnd w:id="227"/>
      <w:bookmarkEnd w:id="228"/>
      <w:bookmarkEnd w:id="229"/>
      <w:bookmarkEnd w:id="230"/>
      <w:bookmarkEnd w:id="231"/>
      <w:bookmarkEnd w:id="232"/>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（一）防护林和特用林</w:t>
      </w:r>
    </w:p>
    <w:p>
      <w:pPr>
        <w:pStyle w:val="26"/>
        <w:ind w:firstLine="562"/>
        <w:rPr>
          <w:rFonts w:hint="eastAsia"/>
          <w:color w:val="auto"/>
        </w:rPr>
      </w:pPr>
      <w:r>
        <w:rPr>
          <w:rFonts w:hint="eastAsia"/>
          <w:b/>
          <w:bCs/>
          <w:color w:val="auto"/>
        </w:rPr>
        <w:t>统筹开展防护林建设。</w:t>
      </w:r>
      <w:r>
        <w:rPr>
          <w:rFonts w:hint="eastAsia"/>
          <w:color w:val="auto"/>
        </w:rPr>
        <w:t>按照山水林田湖草沙综合治理理念，合理布局防护林带的走向、间距和宽度，优先选用树体高大美观、适应性和抗逆性强的乡土长寿树种，加快农田防护林、防风固沙林、护路林、护岸护堤林等防护林的更新改造、缺失修复、景观提升，织补绿色空间，打通生态廊道，营造林、田、水、路相结合，开合有序的绿色空间，实现道路林荫化、河渠风景化、农田林网化。</w:t>
      </w:r>
    </w:p>
    <w:p>
      <w:pPr>
        <w:pStyle w:val="26"/>
        <w:ind w:firstLine="562"/>
        <w:rPr>
          <w:rFonts w:hint="eastAsia"/>
          <w:color w:val="auto"/>
        </w:rPr>
      </w:pPr>
      <w:r>
        <w:rPr>
          <w:rFonts w:hint="eastAsia"/>
          <w:b/>
          <w:bCs/>
          <w:color w:val="auto"/>
        </w:rPr>
        <w:t>充分发挥特种用途林多功能效益。</w:t>
      </w:r>
      <w:r>
        <w:rPr>
          <w:rFonts w:hint="eastAsia"/>
          <w:color w:val="auto"/>
        </w:rPr>
        <w:t>实施保护为主、分类经营，积极开展特种用途林的森林抚育和更新改造，营造安全、舒适的环境。及时掌握名胜古迹和革命纪念地林木的生长状况，防虫、防火、防雷击，开展树木养护复壮，有效保护珍贵珍稀物种</w:t>
      </w:r>
      <w:bookmarkStart w:id="267" w:name="_GoBack"/>
      <w:bookmarkEnd w:id="267"/>
      <w:r>
        <w:rPr>
          <w:rFonts w:hint="eastAsia"/>
          <w:color w:val="auto"/>
        </w:rPr>
        <w:t>资源和历史文化。</w:t>
      </w:r>
      <w:r>
        <w:rPr>
          <w:rFonts w:hint="eastAsia"/>
          <w:color w:val="auto"/>
          <w:lang w:val="en-US"/>
        </w:rPr>
        <w:t>按照</w:t>
      </w:r>
      <w:r>
        <w:rPr>
          <w:rFonts w:hint="eastAsia"/>
          <w:color w:val="auto"/>
        </w:rPr>
        <w:t>《北京市绿化条例》有关规定，划定城镇林木养护等级，明确管理责任，规范开展风景林维护提升，保障生产生活运行安全。加强环保林等其他特用林的养护管理，促进城乡生态环境协同发展。</w:t>
      </w:r>
    </w:p>
    <w:p>
      <w:pPr>
        <w:keepLines/>
        <w:widowControl w:val="0"/>
        <w:spacing w:before="156" w:beforeLines="50" w:after="156" w:afterLines="50" w:line="360" w:lineRule="auto"/>
        <w:ind w:firstLine="562" w:firstLineChars="200"/>
        <w:jc w:val="both"/>
        <w:outlineLvl w:val="2"/>
        <w:rPr>
          <w:rFonts w:hint="eastAsia" w:ascii="仿宋" w:hAnsi="仿宋" w:eastAsia="仿宋" w:cs="仿宋"/>
          <w:b/>
          <w:kern w:val="2"/>
          <w:sz w:val="28"/>
          <w:szCs w:val="28"/>
        </w:rPr>
      </w:pPr>
      <w:r>
        <w:rPr>
          <w:rFonts w:hint="eastAsia" w:ascii="仿宋" w:hAnsi="仿宋" w:eastAsia="仿宋" w:cs="仿宋"/>
          <w:b/>
          <w:kern w:val="2"/>
          <w:sz w:val="28"/>
          <w:szCs w:val="28"/>
        </w:rPr>
        <w:t>（二）经济林和用材林</w:t>
      </w:r>
    </w:p>
    <w:p>
      <w:pPr>
        <w:pStyle w:val="26"/>
        <w:ind w:firstLine="562"/>
        <w:rPr>
          <w:rFonts w:hint="eastAsia"/>
          <w:color w:val="auto"/>
        </w:rPr>
      </w:pPr>
      <w:r>
        <w:rPr>
          <w:rFonts w:hint="eastAsia"/>
          <w:b/>
          <w:bCs/>
          <w:color w:val="auto"/>
        </w:rPr>
        <w:t>创新规范特色经济林产业。</w:t>
      </w:r>
      <w:r>
        <w:rPr>
          <w:rFonts w:hint="eastAsia"/>
          <w:color w:val="auto"/>
        </w:rPr>
        <w:t>充分尊重农民、企业等经营主体意愿，引导科学选择搭配特色树种、品种及栽培模式，支持集约经营。加大对“京字号”产品种质资源的推广应用，鼓励经营主体创建果品、苗木、花卉等新品牌，支持开展规模化、标准化建设。倡导建立稳定的多方利益联结机制，支持林果、园圃的繁殖培育、加工销售等传统产业与采摘观光、生态休闲等新型产业的深度融合，推动优质高效的特色经济林产业建设。</w:t>
      </w:r>
    </w:p>
    <w:p>
      <w:pPr>
        <w:pStyle w:val="26"/>
        <w:ind w:firstLine="562"/>
        <w:rPr>
          <w:rFonts w:hint="eastAsia"/>
          <w:color w:val="auto"/>
        </w:rPr>
      </w:pPr>
      <w:r>
        <w:rPr>
          <w:rFonts w:hint="eastAsia"/>
          <w:b/>
          <w:bCs/>
          <w:color w:val="auto"/>
        </w:rPr>
        <w:t>引导栽植丰产优质用材林。</w:t>
      </w:r>
      <w:r>
        <w:rPr>
          <w:rFonts w:hint="eastAsia"/>
          <w:color w:val="auto"/>
        </w:rPr>
        <w:t>充分尊重经营者意愿，鼓励培育珍贵树种。加大用材林定向集约经营力度，实施中幼林抚育和低质林改造，加快形成大径级用材林，推广大径材套种乡土珍稀树种、林下养殖等“立体复合经营”模式。合理利用用材林的生态区位优势，完善全域绿色空间体系，提升森林生态系统的完整性和连通性。</w:t>
      </w:r>
      <w:bookmarkEnd w:id="233"/>
    </w:p>
    <w:p>
      <w:pPr>
        <w:pageBreakBefore/>
        <w:widowControl w:val="0"/>
        <w:spacing w:before="156" w:beforeLines="50" w:after="156" w:afterLines="50" w:line="360" w:lineRule="auto"/>
        <w:jc w:val="center"/>
        <w:outlineLvl w:val="0"/>
        <w:rPr>
          <w:rFonts w:hint="eastAsia" w:ascii="仿宋" w:hAnsi="仿宋" w:eastAsia="仿宋" w:cs="仿宋"/>
          <w:b/>
          <w:kern w:val="44"/>
          <w:sz w:val="32"/>
          <w:szCs w:val="32"/>
        </w:rPr>
      </w:pPr>
      <w:bookmarkStart w:id="234" w:name="_Toc162268330"/>
      <w:bookmarkStart w:id="235" w:name="_Toc13024"/>
      <w:bookmarkStart w:id="236" w:name="_Toc20382"/>
      <w:bookmarkStart w:id="237" w:name="_Toc25607"/>
      <w:bookmarkStart w:id="238" w:name="_Toc177994389"/>
      <w:r>
        <w:rPr>
          <w:rFonts w:hint="eastAsia" w:ascii="仿宋" w:hAnsi="仿宋" w:eastAsia="仿宋" w:cs="仿宋"/>
          <w:b/>
          <w:kern w:val="44"/>
          <w:sz w:val="32"/>
          <w:szCs w:val="32"/>
        </w:rPr>
        <w:t>第八章 保障措施</w:t>
      </w:r>
      <w:bookmarkEnd w:id="234"/>
      <w:bookmarkEnd w:id="235"/>
      <w:bookmarkEnd w:id="236"/>
      <w:bookmarkEnd w:id="237"/>
      <w:bookmarkEnd w:id="238"/>
    </w:p>
    <w:p>
      <w:pPr>
        <w:widowControl w:val="0"/>
        <w:adjustRightInd/>
        <w:snapToGrid/>
        <w:spacing w:after="0" w:line="360" w:lineRule="auto"/>
        <w:ind w:firstLine="602" w:firstLineChars="200"/>
        <w:jc w:val="both"/>
        <w:outlineLvl w:val="1"/>
        <w:rPr>
          <w:rFonts w:hint="eastAsia" w:ascii="仿宋" w:hAnsi="仿宋" w:eastAsia="仿宋" w:cs="仿宋"/>
          <w:b/>
          <w:bCs/>
          <w:kern w:val="2"/>
          <w:sz w:val="30"/>
          <w:szCs w:val="32"/>
        </w:rPr>
      </w:pPr>
      <w:bookmarkStart w:id="239" w:name="_Toc9569"/>
      <w:bookmarkStart w:id="240" w:name="_Toc6301"/>
      <w:bookmarkStart w:id="241" w:name="_Toc16104"/>
      <w:bookmarkStart w:id="242" w:name="_Toc31876"/>
      <w:bookmarkStart w:id="243" w:name="_Toc162268331"/>
      <w:bookmarkStart w:id="244" w:name="_Toc177994390"/>
      <w:r>
        <w:rPr>
          <w:rFonts w:hint="eastAsia" w:ascii="仿宋" w:hAnsi="仿宋" w:eastAsia="仿宋" w:cs="仿宋"/>
          <w:b/>
          <w:bCs/>
          <w:kern w:val="2"/>
          <w:sz w:val="30"/>
          <w:szCs w:val="32"/>
        </w:rPr>
        <w:t>一、加强组织</w:t>
      </w:r>
      <w:bookmarkEnd w:id="239"/>
      <w:bookmarkEnd w:id="240"/>
      <w:bookmarkEnd w:id="241"/>
      <w:r>
        <w:rPr>
          <w:rFonts w:hint="eastAsia" w:ascii="仿宋" w:hAnsi="仿宋" w:eastAsia="仿宋" w:cs="仿宋"/>
          <w:b/>
          <w:bCs/>
          <w:kern w:val="2"/>
          <w:sz w:val="30"/>
          <w:szCs w:val="32"/>
        </w:rPr>
        <w:t>管理</w:t>
      </w:r>
      <w:bookmarkEnd w:id="242"/>
      <w:bookmarkEnd w:id="243"/>
      <w:bookmarkEnd w:id="244"/>
    </w:p>
    <w:p>
      <w:pPr>
        <w:pStyle w:val="26"/>
        <w:ind w:firstLine="562"/>
        <w:rPr>
          <w:rFonts w:hint="eastAsia"/>
          <w:b/>
          <w:bCs/>
          <w:color w:val="auto"/>
        </w:rPr>
      </w:pPr>
      <w:r>
        <w:rPr>
          <w:b/>
          <w:bCs/>
          <w:color w:val="auto"/>
        </w:rPr>
        <w:t>加强</w:t>
      </w:r>
      <w:r>
        <w:rPr>
          <w:rFonts w:hint="eastAsia"/>
          <w:b/>
          <w:bCs/>
          <w:color w:val="auto"/>
        </w:rPr>
        <w:t>组织领导。</w:t>
      </w:r>
      <w:r>
        <w:rPr>
          <w:rFonts w:hint="eastAsia" w:ascii="Times New Roman" w:hAnsi="Times New Roman" w:cs="Times New Roman"/>
          <w:color w:val="auto"/>
        </w:rPr>
        <w:t>发挥党的领导核心作用，把党的领导贯穿到林地保护利用</w:t>
      </w:r>
      <w:r>
        <w:rPr>
          <w:rFonts w:hint="eastAsia"/>
          <w:color w:val="auto"/>
          <w:kern w:val="2"/>
          <w:lang w:val="en-US"/>
        </w:rPr>
        <w:t>规划</w:t>
      </w:r>
      <w:r>
        <w:rPr>
          <w:rFonts w:hint="eastAsia" w:ascii="Times New Roman" w:hAnsi="Times New Roman" w:cs="Times New Roman"/>
          <w:color w:val="auto"/>
        </w:rPr>
        <w:t>编制、实施的全过程、各领域、各环节。把实施</w:t>
      </w:r>
      <w:r>
        <w:rPr>
          <w:rFonts w:hint="eastAsia"/>
          <w:color w:val="auto"/>
          <w:kern w:val="2"/>
          <w:lang w:val="en-US"/>
        </w:rPr>
        <w:t>《规划》</w:t>
      </w:r>
      <w:r>
        <w:rPr>
          <w:rFonts w:hint="eastAsia" w:ascii="Times New Roman" w:hAnsi="Times New Roman" w:cs="Times New Roman"/>
          <w:color w:val="auto"/>
        </w:rPr>
        <w:t>纳入政府工作中，强化</w:t>
      </w:r>
      <w:r>
        <w:rPr>
          <w:rFonts w:hint="eastAsia"/>
          <w:color w:val="auto"/>
          <w:kern w:val="2"/>
          <w:lang w:val="en-US"/>
        </w:rPr>
        <w:t>《规划》</w:t>
      </w:r>
      <w:r>
        <w:rPr>
          <w:rFonts w:hint="eastAsia" w:ascii="Times New Roman" w:hAnsi="Times New Roman" w:cs="Times New Roman"/>
          <w:color w:val="auto"/>
        </w:rPr>
        <w:t>执行力，充分发挥</w:t>
      </w:r>
      <w:r>
        <w:rPr>
          <w:rFonts w:hint="eastAsia"/>
          <w:color w:val="auto"/>
          <w:kern w:val="2"/>
          <w:lang w:val="en-US"/>
        </w:rPr>
        <w:t>《规划》</w:t>
      </w:r>
      <w:r>
        <w:rPr>
          <w:rFonts w:hint="eastAsia" w:ascii="Times New Roman" w:hAnsi="Times New Roman" w:cs="Times New Roman"/>
          <w:color w:val="auto"/>
        </w:rPr>
        <w:t>在林地资源管理中的引领作用。</w:t>
      </w:r>
    </w:p>
    <w:p>
      <w:pPr>
        <w:pStyle w:val="26"/>
        <w:ind w:firstLine="562"/>
        <w:rPr>
          <w:rFonts w:hint="eastAsia"/>
          <w:color w:val="auto"/>
          <w:lang w:val="en-US"/>
        </w:rPr>
      </w:pPr>
      <w:r>
        <w:rPr>
          <w:rFonts w:hint="eastAsia"/>
          <w:b/>
          <w:bCs/>
          <w:color w:val="auto"/>
        </w:rPr>
        <w:t>统筹部门协调。</w:t>
      </w:r>
      <w:r>
        <w:rPr>
          <w:rFonts w:hint="eastAsia"/>
          <w:color w:val="auto"/>
          <w:lang w:val="en-US"/>
        </w:rPr>
        <w:t>明确</w:t>
      </w:r>
      <w:r>
        <w:rPr>
          <w:rFonts w:hint="eastAsia"/>
          <w:color w:val="auto"/>
        </w:rPr>
        <w:t>园林绿化、规自、</w:t>
      </w:r>
      <w:r>
        <w:rPr>
          <w:rFonts w:hint="eastAsia"/>
          <w:color w:val="auto"/>
          <w:lang w:val="en-US"/>
        </w:rPr>
        <w:t>水务、农业农村</w:t>
      </w:r>
      <w:r>
        <w:rPr>
          <w:rFonts w:hint="eastAsia"/>
          <w:color w:val="auto"/>
        </w:rPr>
        <w:t>等相关部门</w:t>
      </w:r>
      <w:r>
        <w:rPr>
          <w:rFonts w:hint="eastAsia"/>
          <w:color w:val="auto"/>
          <w:lang w:val="en-US"/>
        </w:rPr>
        <w:t>的任务</w:t>
      </w:r>
      <w:r>
        <w:rPr>
          <w:rFonts w:hint="eastAsia"/>
          <w:color w:val="auto"/>
        </w:rPr>
        <w:t>分工，强化部门联动，严格规范林地管理，建立各司其职、各负其责、齐抓共管、运转高效的林地保护管理工作机制。</w:t>
      </w:r>
      <w:r>
        <w:rPr>
          <w:rFonts w:hint="eastAsia"/>
          <w:color w:val="auto"/>
          <w:kern w:val="2"/>
          <w:lang w:val="en-US"/>
        </w:rPr>
        <w:t>《规划》</w:t>
      </w:r>
      <w:r>
        <w:rPr>
          <w:rFonts w:hint="eastAsia"/>
          <w:color w:val="auto"/>
        </w:rPr>
        <w:t>实施中遇到重大事项及时按程序报告，</w:t>
      </w:r>
      <w:r>
        <w:rPr>
          <w:rFonts w:hint="eastAsia"/>
          <w:color w:val="auto"/>
          <w:lang w:val="en-US"/>
        </w:rPr>
        <w:t>及时解决存在的问题。</w:t>
      </w:r>
    </w:p>
    <w:p>
      <w:pPr>
        <w:pStyle w:val="26"/>
        <w:ind w:firstLine="562"/>
        <w:rPr>
          <w:rFonts w:hint="eastAsia"/>
          <w:b/>
          <w:bCs/>
          <w:color w:val="auto"/>
        </w:rPr>
      </w:pPr>
      <w:r>
        <w:rPr>
          <w:rFonts w:hint="eastAsia"/>
          <w:b/>
          <w:bCs/>
          <w:color w:val="auto"/>
        </w:rPr>
        <w:t>落实主体责任。</w:t>
      </w:r>
      <w:r>
        <w:rPr>
          <w:rFonts w:hint="eastAsia" w:ascii="Times New Roman" w:hAnsi="Times New Roman" w:cs="Times New Roman"/>
          <w:color w:val="auto"/>
        </w:rPr>
        <w:t>区政府要履行林地保护利用规划管理主体责任，</w:t>
      </w:r>
      <w:r>
        <w:rPr>
          <w:rFonts w:hint="eastAsia"/>
          <w:color w:val="auto"/>
        </w:rPr>
        <w:t>维护《规划》权威性、严肃性，</w:t>
      </w:r>
      <w:r>
        <w:rPr>
          <w:rFonts w:hint="eastAsia"/>
          <w:color w:val="auto"/>
          <w:kern w:val="2"/>
          <w:lang w:val="en-US"/>
        </w:rPr>
        <w:t>《规划》</w:t>
      </w:r>
      <w:r>
        <w:rPr>
          <w:rFonts w:hint="eastAsia"/>
          <w:color w:val="auto"/>
        </w:rPr>
        <w:t>一经批复，任何部门和个人不得随意修改、违规变更，将森林覆盖率、林地保有量等规划目标纳入林长制目标考核体系。明确</w:t>
      </w:r>
      <w:r>
        <w:rPr>
          <w:rFonts w:hint="eastAsia"/>
          <w:color w:val="auto"/>
          <w:lang w:val="en-US"/>
        </w:rPr>
        <w:t>园林绿化</w:t>
      </w:r>
      <w:r>
        <w:rPr>
          <w:rFonts w:hint="eastAsia"/>
          <w:color w:val="auto"/>
        </w:rPr>
        <w:t>、规自、</w:t>
      </w:r>
      <w:r>
        <w:rPr>
          <w:rFonts w:hint="eastAsia"/>
          <w:color w:val="auto"/>
          <w:lang w:val="en-US"/>
        </w:rPr>
        <w:t>水务、农业农村</w:t>
      </w:r>
      <w:r>
        <w:rPr>
          <w:rFonts w:hint="eastAsia"/>
          <w:color w:val="auto"/>
        </w:rPr>
        <w:t>等部门的责任，加强</w:t>
      </w:r>
      <w:r>
        <w:rPr>
          <w:rFonts w:hint="eastAsia"/>
          <w:color w:val="auto"/>
          <w:kern w:val="2"/>
          <w:lang w:val="en-US"/>
        </w:rPr>
        <w:t>《规划》</w:t>
      </w:r>
      <w:r>
        <w:rPr>
          <w:rFonts w:hint="eastAsia"/>
          <w:color w:val="auto"/>
        </w:rPr>
        <w:t>实施的监督检查，及时发现、制止违反林地保护利用规划的行为。</w:t>
      </w:r>
    </w:p>
    <w:p>
      <w:pPr>
        <w:widowControl w:val="0"/>
        <w:adjustRightInd/>
        <w:snapToGrid/>
        <w:spacing w:after="0" w:line="360" w:lineRule="auto"/>
        <w:ind w:firstLine="602" w:firstLineChars="200"/>
        <w:jc w:val="both"/>
        <w:outlineLvl w:val="1"/>
        <w:rPr>
          <w:rFonts w:hint="eastAsia" w:ascii="仿宋" w:hAnsi="仿宋" w:eastAsia="仿宋" w:cs="仿宋"/>
          <w:b/>
          <w:bCs/>
          <w:kern w:val="2"/>
          <w:sz w:val="30"/>
          <w:szCs w:val="32"/>
        </w:rPr>
      </w:pPr>
      <w:bookmarkStart w:id="245" w:name="_Toc22061"/>
      <w:bookmarkStart w:id="246" w:name="_Toc30715"/>
      <w:bookmarkStart w:id="247" w:name="_Toc11766"/>
      <w:bookmarkStart w:id="248" w:name="_Toc23148"/>
      <w:bookmarkStart w:id="249" w:name="_Toc162268332"/>
      <w:bookmarkStart w:id="250" w:name="_Toc177994391"/>
      <w:r>
        <w:rPr>
          <w:rFonts w:hint="eastAsia" w:ascii="仿宋" w:hAnsi="仿宋" w:eastAsia="仿宋" w:cs="仿宋"/>
          <w:b/>
          <w:bCs/>
          <w:kern w:val="2"/>
          <w:sz w:val="30"/>
          <w:szCs w:val="32"/>
        </w:rPr>
        <w:t>二、落实政策机制</w:t>
      </w:r>
      <w:bookmarkEnd w:id="245"/>
      <w:bookmarkEnd w:id="246"/>
      <w:bookmarkEnd w:id="247"/>
      <w:bookmarkEnd w:id="248"/>
      <w:bookmarkEnd w:id="249"/>
      <w:bookmarkEnd w:id="250"/>
    </w:p>
    <w:p>
      <w:pPr>
        <w:pStyle w:val="26"/>
        <w:adjustRightInd w:val="0"/>
        <w:snapToGrid w:val="0"/>
        <w:ind w:firstLine="562"/>
        <w:rPr>
          <w:rFonts w:hint="eastAsia"/>
          <w:b/>
          <w:color w:val="auto"/>
          <w:sz w:val="30"/>
          <w:szCs w:val="30"/>
        </w:rPr>
      </w:pPr>
      <w:r>
        <w:rPr>
          <w:rFonts w:hint="eastAsia"/>
          <w:b/>
          <w:bCs/>
          <w:color w:val="auto"/>
          <w:lang w:val="en-US"/>
        </w:rPr>
        <w:t>落实</w:t>
      </w:r>
      <w:r>
        <w:rPr>
          <w:rFonts w:hint="eastAsia"/>
          <w:b/>
          <w:bCs/>
          <w:color w:val="auto"/>
        </w:rPr>
        <w:t>《规划》实施政策制度。</w:t>
      </w:r>
      <w:r>
        <w:rPr>
          <w:rFonts w:ascii="Times New Roman" w:hAnsi="Times New Roman" w:cs="Times New Roman"/>
          <w:color w:val="auto"/>
        </w:rPr>
        <w:t>贯彻落实北京市林地保护利用的政策措施，</w:t>
      </w:r>
      <w:r>
        <w:rPr>
          <w:rFonts w:hint="eastAsia"/>
          <w:color w:val="auto"/>
        </w:rPr>
        <w:t>加强林地林权管理，</w:t>
      </w:r>
      <w:r>
        <w:rPr>
          <w:rFonts w:ascii="Times New Roman" w:hAnsi="Times New Roman" w:cs="Times New Roman"/>
        </w:rPr>
        <w:t>切实维护国有林地确权登记颁证成果的权威性和合法性</w:t>
      </w:r>
      <w:r>
        <w:rPr>
          <w:rFonts w:hint="eastAsia" w:ascii="Times New Roman" w:hAnsi="Times New Roman" w:cs="Times New Roman"/>
        </w:rPr>
        <w:t>，</w:t>
      </w:r>
      <w:r>
        <w:rPr>
          <w:rFonts w:hint="eastAsia"/>
          <w:color w:val="auto"/>
        </w:rPr>
        <w:t>规范林地林权流转行为，不得非法改变林地用途和毁坏森林、林木、林地。</w:t>
      </w:r>
    </w:p>
    <w:p>
      <w:pPr>
        <w:pStyle w:val="26"/>
        <w:ind w:firstLine="562"/>
        <w:rPr>
          <w:rFonts w:hint="eastAsia"/>
          <w:color w:val="auto"/>
        </w:rPr>
      </w:pPr>
      <w:r>
        <w:rPr>
          <w:rFonts w:hint="eastAsia"/>
          <w:b/>
          <w:bCs/>
          <w:color w:val="auto"/>
        </w:rPr>
        <w:t>稳定投入机制。</w:t>
      </w:r>
      <w:r>
        <w:rPr>
          <w:rFonts w:hint="eastAsia"/>
          <w:color w:val="auto"/>
        </w:rPr>
        <w:t>加大生态建设财政补贴投入力度，稳定资金投入，拓展资金渠道。提高水源保护地、自然保护区等生态脆弱和生态区位重要区域林地的资金投入，防止毁林和森林退化。按照造林难度落实退化林地修复、规划林地和补充林地造林的建设经费。确保规划编制、林地落界、规划实施、监测评价、数据管理以及林地管护、执法监管等资金投入。积极鼓励和引导社会资金投入补充林地和森林资源的保护利用。</w:t>
      </w:r>
    </w:p>
    <w:p>
      <w:pPr>
        <w:widowControl w:val="0"/>
        <w:adjustRightInd/>
        <w:snapToGrid/>
        <w:spacing w:after="0" w:line="360" w:lineRule="auto"/>
        <w:ind w:firstLine="602" w:firstLineChars="200"/>
        <w:jc w:val="both"/>
        <w:outlineLvl w:val="1"/>
        <w:rPr>
          <w:rFonts w:hint="eastAsia" w:ascii="仿宋" w:hAnsi="仿宋" w:eastAsia="仿宋" w:cs="仿宋"/>
          <w:b/>
          <w:bCs/>
          <w:kern w:val="2"/>
          <w:sz w:val="30"/>
          <w:szCs w:val="32"/>
        </w:rPr>
      </w:pPr>
      <w:bookmarkStart w:id="251" w:name="_Toc14924"/>
      <w:bookmarkStart w:id="252" w:name="_Toc16319"/>
      <w:bookmarkStart w:id="253" w:name="_Toc19538"/>
      <w:bookmarkStart w:id="254" w:name="_Toc14813"/>
      <w:bookmarkStart w:id="255" w:name="_Toc162268333"/>
      <w:bookmarkStart w:id="256" w:name="_Toc177994392"/>
      <w:r>
        <w:rPr>
          <w:rFonts w:hint="eastAsia" w:ascii="仿宋" w:hAnsi="仿宋" w:eastAsia="仿宋" w:cs="仿宋"/>
          <w:b/>
          <w:bCs/>
          <w:kern w:val="2"/>
          <w:sz w:val="30"/>
          <w:szCs w:val="32"/>
        </w:rPr>
        <w:t>三、强化规划管理</w:t>
      </w:r>
      <w:bookmarkEnd w:id="251"/>
      <w:bookmarkEnd w:id="252"/>
      <w:bookmarkEnd w:id="253"/>
      <w:bookmarkEnd w:id="254"/>
      <w:bookmarkEnd w:id="255"/>
      <w:bookmarkEnd w:id="256"/>
    </w:p>
    <w:p>
      <w:pPr>
        <w:pStyle w:val="26"/>
        <w:ind w:firstLine="562"/>
        <w:rPr>
          <w:rFonts w:hint="eastAsia"/>
          <w:color w:val="auto"/>
        </w:rPr>
      </w:pPr>
      <w:r>
        <w:rPr>
          <w:rFonts w:hint="eastAsia"/>
          <w:b/>
          <w:bCs/>
          <w:color w:val="auto"/>
        </w:rPr>
        <w:t>加强</w:t>
      </w:r>
      <w:r>
        <w:rPr>
          <w:rFonts w:hint="eastAsia"/>
          <w:b/>
          <w:bCs/>
          <w:color w:val="auto"/>
          <w:lang w:val="en-US"/>
        </w:rPr>
        <w:t>《规划》</w:t>
      </w:r>
      <w:r>
        <w:rPr>
          <w:rFonts w:hint="eastAsia"/>
          <w:b/>
          <w:bCs/>
          <w:color w:val="auto"/>
        </w:rPr>
        <w:t>衔接。</w:t>
      </w:r>
      <w:r>
        <w:rPr>
          <w:rFonts w:hint="eastAsia"/>
          <w:color w:val="auto"/>
          <w:kern w:val="2"/>
          <w:lang w:val="en-US"/>
        </w:rPr>
        <w:t>加强《规划》</w:t>
      </w:r>
      <w:r>
        <w:rPr>
          <w:rFonts w:hint="eastAsia"/>
          <w:color w:val="auto"/>
          <w:lang w:val="en-US"/>
        </w:rPr>
        <w:t>与北京市林地保护利用规划，怀柔分区规划的衔接，</w:t>
      </w:r>
      <w:r>
        <w:rPr>
          <w:rFonts w:hint="eastAsia"/>
          <w:color w:val="auto"/>
        </w:rPr>
        <w:t>并与交通、水务、</w:t>
      </w:r>
      <w:r>
        <w:rPr>
          <w:rFonts w:hint="eastAsia"/>
          <w:color w:val="auto"/>
          <w:lang w:val="en-US"/>
        </w:rPr>
        <w:t>文化</w:t>
      </w:r>
      <w:r>
        <w:rPr>
          <w:rFonts w:hint="eastAsia"/>
          <w:color w:val="auto"/>
        </w:rPr>
        <w:t>旅游、农业农村等部门的相关规划相协调，纳入国土空间规划“一张图”实施监督。将《规划》确定的目标、空间布局和重点任务</w:t>
      </w:r>
      <w:r>
        <w:rPr>
          <w:rFonts w:hint="eastAsia"/>
          <w:color w:val="auto"/>
          <w:lang w:val="en-US"/>
        </w:rPr>
        <w:t>层层</w:t>
      </w:r>
      <w:r>
        <w:rPr>
          <w:rFonts w:hint="eastAsia"/>
          <w:color w:val="auto"/>
        </w:rPr>
        <w:t>落实，鼓励有条件的</w:t>
      </w:r>
      <w:r>
        <w:rPr>
          <w:rFonts w:hint="eastAsia"/>
          <w:color w:val="auto"/>
          <w:lang w:val="en-US"/>
        </w:rPr>
        <w:t>镇乡及林场</w:t>
      </w:r>
      <w:r>
        <w:rPr>
          <w:rFonts w:hint="eastAsia"/>
          <w:color w:val="auto"/>
        </w:rPr>
        <w:t>编制本辖区林地保护利用规划。</w:t>
      </w:r>
    </w:p>
    <w:p>
      <w:pPr>
        <w:pStyle w:val="26"/>
        <w:ind w:firstLine="562"/>
        <w:rPr>
          <w:rFonts w:hint="eastAsia"/>
          <w:b/>
          <w:bCs/>
          <w:color w:val="auto"/>
        </w:rPr>
      </w:pPr>
      <w:r>
        <w:rPr>
          <w:rFonts w:hint="eastAsia"/>
          <w:b/>
          <w:bCs/>
          <w:color w:val="auto"/>
        </w:rPr>
        <w:t>落实《规划》审批管理。</w:t>
      </w:r>
      <w:r>
        <w:rPr>
          <w:rFonts w:hint="eastAsia"/>
          <w:color w:val="auto"/>
          <w:lang w:val="en-US"/>
        </w:rPr>
        <w:t>《</w:t>
      </w:r>
      <w:r>
        <w:rPr>
          <w:rFonts w:hint="eastAsia"/>
          <w:color w:val="auto"/>
        </w:rPr>
        <w:t>规划</w:t>
      </w:r>
      <w:r>
        <w:rPr>
          <w:rFonts w:hint="eastAsia"/>
          <w:color w:val="auto"/>
          <w:lang w:val="en-US"/>
        </w:rPr>
        <w:t>》</w:t>
      </w:r>
      <w:r>
        <w:rPr>
          <w:rFonts w:hint="eastAsia"/>
          <w:color w:val="auto"/>
        </w:rPr>
        <w:t>经北京市园林绿化局审查同意后，由区级人民政府批准实施。建立林地保护利用规划定期评估制度，结合国民经济社会发展实际和规划定期评估结果，确需对规划进行修改和调整的，履行原规划编制审批程序。</w:t>
      </w:r>
    </w:p>
    <w:p>
      <w:pPr>
        <w:pStyle w:val="26"/>
        <w:ind w:firstLine="562"/>
        <w:rPr>
          <w:rFonts w:hint="eastAsia"/>
          <w:color w:val="auto"/>
        </w:rPr>
      </w:pPr>
      <w:r>
        <w:rPr>
          <w:rFonts w:hint="eastAsia"/>
          <w:b/>
          <w:bCs/>
          <w:color w:val="auto"/>
        </w:rPr>
        <w:t>强化《规划》实施监测监管。</w:t>
      </w:r>
      <w:r>
        <w:rPr>
          <w:rFonts w:hint="eastAsia"/>
          <w:color w:val="auto"/>
        </w:rPr>
        <w:t>依托国家林草生态网络感知系统和北京市</w:t>
      </w:r>
      <w:r>
        <w:rPr>
          <w:color w:val="auto"/>
        </w:rPr>
        <w:t>园林绿化智慧管理平台</w:t>
      </w:r>
      <w:r>
        <w:rPr>
          <w:rFonts w:hint="eastAsia"/>
          <w:color w:val="auto"/>
        </w:rPr>
        <w:t>，优化完善集资源</w:t>
      </w:r>
      <w:r>
        <w:rPr>
          <w:color w:val="auto"/>
        </w:rPr>
        <w:t>现状与规划信息于一体</w:t>
      </w:r>
      <w:r>
        <w:rPr>
          <w:rFonts w:hint="eastAsia"/>
          <w:color w:val="auto"/>
        </w:rPr>
        <w:t>的</w:t>
      </w:r>
      <w:r>
        <w:rPr>
          <w:color w:val="auto"/>
        </w:rPr>
        <w:t>林地保护利用“一张图”</w:t>
      </w:r>
      <w:r>
        <w:rPr>
          <w:rFonts w:hint="eastAsia"/>
          <w:color w:val="auto"/>
        </w:rPr>
        <w:t>，构建涵盖《</w:t>
      </w:r>
      <w:r>
        <w:rPr>
          <w:color w:val="auto"/>
        </w:rPr>
        <w:t>规划</w:t>
      </w:r>
      <w:r>
        <w:rPr>
          <w:rFonts w:hint="eastAsia"/>
          <w:color w:val="auto"/>
        </w:rPr>
        <w:t>》</w:t>
      </w:r>
      <w:r>
        <w:rPr>
          <w:color w:val="auto"/>
        </w:rPr>
        <w:t>实施、监测、评估、预警</w:t>
      </w:r>
      <w:r>
        <w:rPr>
          <w:rFonts w:hint="eastAsia"/>
          <w:color w:val="auto"/>
        </w:rPr>
        <w:t>、修编</w:t>
      </w:r>
      <w:r>
        <w:rPr>
          <w:color w:val="auto"/>
        </w:rPr>
        <w:t>全流程的管理系统。</w:t>
      </w:r>
      <w:r>
        <w:rPr>
          <w:rFonts w:hint="eastAsia"/>
          <w:color w:val="auto"/>
        </w:rPr>
        <w:t>开展园林绿化资源专项和年度等调查监测，完善林地空间与调查监测数据同步更新机制。健全与国土空间规划“一张图”衔接、协调机制，推进规划数据与其他行业部门的共建共享，提升</w:t>
      </w:r>
      <w:r>
        <w:rPr>
          <w:rFonts w:hint="eastAsia"/>
          <w:color w:val="auto"/>
          <w:kern w:val="2"/>
          <w:lang w:val="en-US"/>
        </w:rPr>
        <w:t>《规划》</w:t>
      </w:r>
      <w:r>
        <w:rPr>
          <w:rFonts w:hint="eastAsia"/>
          <w:color w:val="auto"/>
        </w:rPr>
        <w:t>的服务能力。</w:t>
      </w:r>
    </w:p>
    <w:p>
      <w:pPr>
        <w:pStyle w:val="26"/>
        <w:ind w:firstLine="562"/>
        <w:rPr>
          <w:rFonts w:hint="eastAsia"/>
          <w:color w:val="auto"/>
        </w:rPr>
      </w:pPr>
      <w:r>
        <w:rPr>
          <w:b/>
          <w:bCs/>
          <w:color w:val="auto"/>
        </w:rPr>
        <w:t>营造良好氛围</w:t>
      </w:r>
      <w:r>
        <w:rPr>
          <w:rFonts w:hint="eastAsia"/>
          <w:b/>
          <w:bCs/>
          <w:color w:val="auto"/>
        </w:rPr>
        <w:t>。</w:t>
      </w:r>
      <w:r>
        <w:rPr>
          <w:color w:val="auto"/>
        </w:rPr>
        <w:t>利用多种媒体，广泛深入地</w:t>
      </w:r>
      <w:r>
        <w:rPr>
          <w:rFonts w:hint="eastAsia"/>
          <w:color w:val="auto"/>
        </w:rPr>
        <w:t>讲好林业故事，</w:t>
      </w:r>
      <w:r>
        <w:rPr>
          <w:color w:val="auto"/>
        </w:rPr>
        <w:t>深入开展</w:t>
      </w:r>
      <w:r>
        <w:rPr>
          <w:rFonts w:hint="eastAsia"/>
          <w:color w:val="auto"/>
        </w:rPr>
        <w:t>森林资源保护利用的政策解读、舆论引导工作，增强全社会自觉保护林地、合理利用林地的意识。鼓励引导社会公众积极参与森林自然教育和生态体验等活动，推动生态产品富民利民，提高社会公众的参与度和获得感，实现全民共建、全民共享、全民受益。</w:t>
      </w:r>
      <w:bookmarkEnd w:id="0"/>
      <w:bookmarkEnd w:id="1"/>
      <w:bookmarkEnd w:id="2"/>
      <w:bookmarkEnd w:id="3"/>
    </w:p>
    <w:p>
      <w:pPr>
        <w:pStyle w:val="23"/>
        <w:spacing w:line="360" w:lineRule="auto"/>
        <w:ind w:firstLine="0"/>
        <w:rPr>
          <w:rFonts w:hint="eastAsia" w:ascii="仿宋" w:hAnsi="仿宋" w:eastAsia="仿宋" w:cs="仿宋"/>
        </w:rPr>
      </w:pPr>
    </w:p>
    <w:p>
      <w:pPr>
        <w:pStyle w:val="23"/>
        <w:spacing w:after="0"/>
        <w:ind w:firstLine="0"/>
        <w:jc w:val="right"/>
        <w:rPr>
          <w:rFonts w:hint="eastAsia" w:ascii="仿宋" w:hAnsi="仿宋" w:eastAsia="仿宋" w:cs="仿宋"/>
          <w:kern w:val="2"/>
          <w:sz w:val="21"/>
          <w:szCs w:val="21"/>
        </w:rPr>
      </w:pPr>
    </w:p>
    <w:p>
      <w:pPr>
        <w:pageBreakBefore/>
        <w:widowControl w:val="0"/>
        <w:spacing w:before="156" w:beforeLines="50" w:after="156" w:afterLines="50" w:line="360" w:lineRule="auto"/>
        <w:jc w:val="both"/>
        <w:outlineLvl w:val="0"/>
        <w:rPr>
          <w:rFonts w:hint="eastAsia" w:ascii="仿宋" w:hAnsi="仿宋" w:eastAsia="仿宋" w:cs="仿宋"/>
          <w:b/>
          <w:kern w:val="44"/>
          <w:sz w:val="44"/>
          <w:szCs w:val="28"/>
        </w:rPr>
      </w:pPr>
      <w:bookmarkStart w:id="257" w:name="_Toc162268343"/>
      <w:bookmarkStart w:id="258" w:name="_Toc12104"/>
      <w:bookmarkStart w:id="259" w:name="_Toc177994393"/>
      <w:r>
        <w:rPr>
          <w:rFonts w:hint="eastAsia"/>
        </w:rPr>
        <w:drawing>
          <wp:anchor distT="0" distB="0" distL="114935" distR="114935" simplePos="0" relativeHeight="251663360" behindDoc="0" locked="0" layoutInCell="1" allowOverlap="1">
            <wp:simplePos x="0" y="0"/>
            <wp:positionH relativeFrom="column">
              <wp:posOffset>-808355</wp:posOffset>
            </wp:positionH>
            <wp:positionV relativeFrom="paragraph">
              <wp:posOffset>41910</wp:posOffset>
            </wp:positionV>
            <wp:extent cx="6711950" cy="8818880"/>
            <wp:effectExtent l="0" t="0" r="12700" b="1270"/>
            <wp:wrapNone/>
            <wp:docPr id="10" name="图片 10" descr="北京市怀柔区林地保护利用规划（2021—2035年） -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北京市怀柔区林地保护利用规划（2021—2035年） - 1_画板 1"/>
                    <pic:cNvPicPr>
                      <a:picLocks noChangeAspect="1"/>
                    </pic:cNvPicPr>
                  </pic:nvPicPr>
                  <pic:blipFill>
                    <a:blip r:embed="rId9"/>
                    <a:stretch>
                      <a:fillRect/>
                    </a:stretch>
                  </pic:blipFill>
                  <pic:spPr>
                    <a:xfrm>
                      <a:off x="0" y="0"/>
                      <a:ext cx="6711950" cy="8818880"/>
                    </a:xfrm>
                    <a:prstGeom prst="rect">
                      <a:avLst/>
                    </a:prstGeom>
                  </pic:spPr>
                </pic:pic>
              </a:graphicData>
            </a:graphic>
          </wp:anchor>
        </w:drawing>
      </w:r>
      <w:r>
        <w:rPr>
          <w:rFonts w:hint="eastAsia" w:ascii="仿宋" w:hAnsi="仿宋" w:eastAsia="仿宋" w:cs="仿宋"/>
          <w:b/>
          <w:kern w:val="44"/>
          <w:sz w:val="44"/>
          <w:szCs w:val="28"/>
        </w:rPr>
        <w:t>附图</w:t>
      </w:r>
      <w:bookmarkEnd w:id="257"/>
      <w:bookmarkEnd w:id="258"/>
      <w:bookmarkEnd w:id="259"/>
    </w:p>
    <w:p>
      <w:pPr>
        <w:widowControl w:val="0"/>
        <w:adjustRightInd/>
        <w:snapToGrid/>
        <w:spacing w:after="0"/>
        <w:jc w:val="center"/>
        <w:outlineLvl w:val="1"/>
      </w:pPr>
      <w:bookmarkStart w:id="260" w:name="_Toc9724"/>
      <w:bookmarkStart w:id="261" w:name="_Toc162268344"/>
      <w:bookmarkStart w:id="262" w:name="_Toc5377"/>
      <w:bookmarkStart w:id="263" w:name="_Toc177994394"/>
      <w:r>
        <w:rPr>
          <w:rFonts w:hint="eastAsia" w:ascii="仿宋" w:hAnsi="仿宋" w:eastAsia="仿宋" w:cs="仿宋"/>
          <w:b/>
          <w:bCs/>
          <w:kern w:val="2"/>
          <w:sz w:val="24"/>
          <w:szCs w:val="24"/>
        </w:rPr>
        <w:t>附图1 林地资源地类分布现状图</w:t>
      </w:r>
      <w:bookmarkEnd w:id="260"/>
      <w:bookmarkEnd w:id="261"/>
      <w:bookmarkEnd w:id="262"/>
      <w:bookmarkEnd w:id="263"/>
    </w:p>
    <w:p>
      <w:pPr>
        <w:adjustRightInd/>
        <w:snapToGrid/>
        <w:spacing w:after="0"/>
      </w:pPr>
    </w:p>
    <w:p>
      <w:pPr>
        <w:adjustRightInd/>
        <w:snapToGrid/>
        <w:spacing w:after="0"/>
      </w:pPr>
      <w:r>
        <w:rPr>
          <w:rFonts w:hint="eastAsia"/>
        </w:rPr>
        <w:br w:type="page"/>
      </w:r>
    </w:p>
    <w:p>
      <w:pPr>
        <w:adjustRightInd/>
        <w:snapToGrid/>
        <w:spacing w:after="0"/>
      </w:pPr>
      <w:bookmarkStart w:id="264" w:name="_Toc31366"/>
      <w:r>
        <w:drawing>
          <wp:anchor distT="0" distB="0" distL="114300" distR="114300" simplePos="0" relativeHeight="251664384" behindDoc="0" locked="0" layoutInCell="1" allowOverlap="1">
            <wp:simplePos x="0" y="0"/>
            <wp:positionH relativeFrom="page">
              <wp:posOffset>363855</wp:posOffset>
            </wp:positionH>
            <wp:positionV relativeFrom="paragraph">
              <wp:posOffset>-71755</wp:posOffset>
            </wp:positionV>
            <wp:extent cx="6710680" cy="8820150"/>
            <wp:effectExtent l="0" t="0" r="0" b="635"/>
            <wp:wrapNone/>
            <wp:docPr id="5413881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8815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710400" cy="8820000"/>
                    </a:xfrm>
                    <a:prstGeom prst="rect">
                      <a:avLst/>
                    </a:prstGeom>
                    <a:noFill/>
                    <a:ln>
                      <a:noFill/>
                    </a:ln>
                  </pic:spPr>
                </pic:pic>
              </a:graphicData>
            </a:graphic>
          </wp:anchor>
        </w:drawing>
      </w:r>
    </w:p>
    <w:p>
      <w:pPr>
        <w:widowControl w:val="0"/>
        <w:adjustRightInd/>
        <w:snapToGrid/>
        <w:jc w:val="center"/>
        <w:outlineLvl w:val="1"/>
        <w:rPr>
          <w:rFonts w:hint="eastAsia" w:ascii="仿宋" w:hAnsi="仿宋" w:eastAsia="仿宋" w:cs="仿宋"/>
          <w:b/>
          <w:bCs/>
          <w:kern w:val="2"/>
          <w:sz w:val="24"/>
          <w:szCs w:val="24"/>
        </w:rPr>
      </w:pPr>
      <w:bookmarkStart w:id="265" w:name="_Toc162268346"/>
      <w:bookmarkStart w:id="266" w:name="_Toc177994395"/>
      <w:r>
        <w:rPr>
          <w:rFonts w:hint="eastAsia" w:ascii="仿宋" w:hAnsi="仿宋" w:eastAsia="仿宋" w:cs="仿宋"/>
          <w:b/>
          <w:bCs/>
          <w:kern w:val="2"/>
          <w:sz w:val="24"/>
          <w:szCs w:val="24"/>
        </w:rPr>
        <w:t>附图2 林地资源地类分布规划图</w:t>
      </w:r>
      <w:bookmarkEnd w:id="265"/>
      <w:bookmarkEnd w:id="266"/>
    </w:p>
    <w:p/>
    <w:p/>
    <w:bookmarkEnd w:id="264"/>
    <w:p>
      <w:pPr>
        <w:adjustRightInd/>
        <w:snapToGrid/>
        <w:spacing w:after="0"/>
      </w:pPr>
    </w:p>
    <w:sectPr>
      <w:footerReference r:id="rId7"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modern"/>
    <w:pitch w:val="default"/>
    <w:sig w:usb0="00000000" w:usb1="00000000" w:usb2="00000010" w:usb3="00000000" w:csb0="00040000" w:csb1="00000000"/>
  </w:font>
  <w:font w:name="SimSong Bold">
    <w:altName w:val="ESRI AMFM Electric"/>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ESI黑体-GB2312">
    <w:altName w:val="微软雅黑"/>
    <w:panose1 w:val="00000000000000000000"/>
    <w:charset w:val="86"/>
    <w:family w:val="auto"/>
    <w:pitch w:val="default"/>
    <w:sig w:usb0="00000000" w:usb1="00000000" w:usb2="00000012"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rPr>
        <w:sz w:val="18"/>
        <w:szCs w:val="18"/>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52400" cy="152400"/>
              <wp:effectExtent l="0" t="0" r="2540" b="381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ffectLst/>
                    </wps:spPr>
                    <wps:txbx>
                      <w:txbxContent>
                        <w:p>
                          <w:pPr>
                            <w:tabs>
                              <w:tab w:val="center" w:pos="4153"/>
                              <w:tab w:val="right" w:pos="8306"/>
                            </w:tabs>
                            <w:rPr>
                              <w:sz w:val="18"/>
                              <w:szCs w:val="18"/>
                            </w:rPr>
                          </w:pPr>
                        </w:p>
                      </w:txbxContent>
                    </wps:txbx>
                    <wps:bodyPr rot="0" vert="horz" wrap="square" lIns="0" tIns="0" rIns="0" bIns="0" anchor="t" anchorCtr="0" upright="1">
                      <a:noAutofit/>
                    </wps:bodyPr>
                  </wps:wsp>
                </a:graphicData>
              </a:graphic>
            </wp:anchor>
          </w:drawing>
        </mc:Choice>
        <mc:Fallback>
          <w:pict>
            <v:shape id="文本框 2" o:spid="_x0000_s1026" o:spt="202" type="#_x0000_t202" style="position:absolute;left:0pt;margin-top:0pt;height:12pt;width:12pt;mso-position-horizontal:center;mso-position-horizontal-relative:margin;z-index:251659264;mso-width-relative:page;mso-height-relative:page;" filled="f" stroked="f" coordsize="21600,21600" o:gfxdata="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oPj&#10;XNEAAAADAQAADwAAAAAAAAABACAAAAAiAAAAZHJzL2Rvd25yZXYueG1sUEsBAhQAFAAAAAgAh07i&#10;QPIoXYXwAQAAxAMAAA4AAAAAAAAAAQAgAAAAIAEAAGRycy9lMm9Eb2MueG1sUEsFBgAAAAAGAAYA&#10;WQEAAIIFAAAAAA==&#10;">
              <v:fill on="f" focussize="0,0"/>
              <v:stroke on="f"/>
              <v:imagedata o:title=""/>
              <o:lock v:ext="edit" aspectratio="f"/>
              <v:textbox inset="0mm,0mm,0mm,0mm">
                <w:txbxContent>
                  <w:p>
                    <w:pPr>
                      <w:tabs>
                        <w:tab w:val="center" w:pos="4153"/>
                        <w:tab w:val="right" w:pos="8306"/>
                      </w:tabs>
                      <w:rPr>
                        <w:sz w:val="18"/>
                        <w:szCs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rPr>
        <w:sz w:val="18"/>
        <w:szCs w:val="18"/>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52400" cy="152400"/>
              <wp:effectExtent l="0" t="0" r="2540" b="381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ffectLst/>
                    </wps:spPr>
                    <wps:txbx>
                      <w:txbxContent>
                        <w:p>
                          <w:pPr>
                            <w:tabs>
                              <w:tab w:val="center" w:pos="4153"/>
                              <w:tab w:val="right" w:pos="8306"/>
                            </w:tabs>
                            <w:rPr>
                              <w:sz w:val="18"/>
                              <w:szCs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2pt;mso-position-horizontal:center;mso-position-horizontal-relative:margin;z-index:251660288;mso-width-relative:page;mso-height-relative:page;" filled="f" stroked="f" coordsize="21600,21600" o:gfxdata="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oPj&#10;XNEAAAADAQAADwAAAAAAAAABACAAAAAiAAAAZHJzL2Rvd25yZXYueG1sUEsBAhQAFAAAAAgAh07i&#10;QN50V+bwAQAAxAMAAA4AAAAAAAAAAQAgAAAAIAEAAGRycy9lMm9Eb2MueG1sUEsFBgAAAAAGAAYA&#10;WQEAAIIFAAAAAA==&#10;">
              <v:fill on="f" focussize="0,0"/>
              <v:stroke on="f"/>
              <v:imagedata o:title=""/>
              <o:lock v:ext="edit" aspectratio="f"/>
              <v:textbox inset="0mm,0mm,0mm,0mm">
                <w:txbxContent>
                  <w:p>
                    <w:pPr>
                      <w:tabs>
                        <w:tab w:val="center" w:pos="4153"/>
                        <w:tab w:val="right" w:pos="8306"/>
                      </w:tabs>
                      <w:rPr>
                        <w:sz w:val="18"/>
                        <w:szCs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4003"/>
      </w:tabs>
      <w:spacing w:line="170" w:lineRule="auto"/>
      <w:ind w:left="4249"/>
      <w:rPr>
        <w:rFonts w:hint="eastAsia" w:ascii="仿宋" w:hAnsi="仿宋" w:eastAsia="仿宋"/>
        <w:sz w:val="20"/>
        <w:szCs w:val="20"/>
      </w:rPr>
    </w:pPr>
    <w:r>
      <w:rPr>
        <w:sz w:val="20"/>
        <w:lang w:eastAsia="zh-CN"/>
      </w:rPr>
      <mc:AlternateContent>
        <mc:Choice Requires="wps">
          <w:drawing>
            <wp:anchor distT="0" distB="0" distL="114300" distR="114300" simplePos="0" relativeHeight="251661312" behindDoc="0" locked="0" layoutInCell="1" allowOverlap="1">
              <wp:simplePos x="0" y="0"/>
              <wp:positionH relativeFrom="margin">
                <wp:posOffset>2608580</wp:posOffset>
              </wp:positionH>
              <wp:positionV relativeFrom="paragraph">
                <wp:posOffset>635</wp:posOffset>
              </wp:positionV>
              <wp:extent cx="166370" cy="253365"/>
              <wp:effectExtent l="0" t="0" r="5715" b="13970"/>
              <wp:wrapNone/>
              <wp:docPr id="1"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166272" cy="253219"/>
                      </a:xfrm>
                      <a:prstGeom prst="rect">
                        <a:avLst/>
                      </a:prstGeom>
                      <a:noFill/>
                      <a:ln>
                        <a:noFill/>
                      </a:ln>
                    </wps:spPr>
                    <wps:txbx>
                      <w:txbxContent>
                        <w:p>
                          <w:pPr>
                            <w:pStyle w:val="8"/>
                          </w:pPr>
                          <w:r>
                            <w:fldChar w:fldCharType="begin"/>
                          </w:r>
                          <w:r>
                            <w:instrText xml:space="preserve"> PAGE  \* MERGEFORMAT </w:instrText>
                          </w:r>
                          <w:r>
                            <w:fldChar w:fldCharType="separate"/>
                          </w:r>
                          <w:r>
                            <w:t>11</w:t>
                          </w:r>
                          <w:r>
                            <w:fldChar w:fldCharType="end"/>
                          </w:r>
                        </w:p>
                      </w:txbxContent>
                    </wps:txbx>
                    <wps:bodyPr rot="0" vert="horz" wrap="square" lIns="0" tIns="0" rIns="0" bIns="0" anchor="t" anchorCtr="0" upright="1">
                      <a:noAutofit/>
                    </wps:bodyPr>
                  </wps:wsp>
                </a:graphicData>
              </a:graphic>
            </wp:anchor>
          </w:drawing>
        </mc:Choice>
        <mc:Fallback>
          <w:pict>
            <v:shape id="文本框 43" o:spid="_x0000_s1026" o:spt="202" type="#_x0000_t202" style="position:absolute;left:0pt;margin-left:205.4pt;margin-top:0.05pt;height:19.95pt;width:13.1pt;mso-position-horizontal-relative:margin;z-index:251661312;mso-width-relative:page;mso-height-relative:page;" filled="f" stroked="f" coordsize="21600,21600" o:gfxdata="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f8Qt1QAAAAcBAAAPAAAAAAAAAAEAIAAAACIAAABkcnMvZG93bnJldi54bWxQSwECFAAUAAAA&#10;CACHTuJAEjPPv/EBAAC3AwAADgAAAAAAAAABACAAAAAkAQAAZHJzL2Uyb0RvYy54bWxQSwUGAAAA&#10;AAYABgBZAQAAhwUAAAAA&#10;">
              <v:fill on="f" focussize="0,0"/>
              <v:stroke on="f"/>
              <v:imagedata o:title=""/>
              <o:lock v:ext="edit" aspectratio="f"/>
              <v:textbox inset="0mm,0mm,0mm,0mm">
                <w:txbxContent>
                  <w:p>
                    <w:pPr>
                      <w:pStyle w:val="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VlYjA5Y2FhOTczNTQxMzFlOGE2YTdhYjQyZmE4ZDUifQ=="/>
  </w:docVars>
  <w:rsids>
    <w:rsidRoot w:val="008169EB"/>
    <w:rsid w:val="00000806"/>
    <w:rsid w:val="00007989"/>
    <w:rsid w:val="00013F2D"/>
    <w:rsid w:val="000207AE"/>
    <w:rsid w:val="00021CAE"/>
    <w:rsid w:val="0002561E"/>
    <w:rsid w:val="00032066"/>
    <w:rsid w:val="000430E9"/>
    <w:rsid w:val="00054DD8"/>
    <w:rsid w:val="00056F38"/>
    <w:rsid w:val="00073881"/>
    <w:rsid w:val="0007526B"/>
    <w:rsid w:val="00087956"/>
    <w:rsid w:val="00093CA5"/>
    <w:rsid w:val="000942B7"/>
    <w:rsid w:val="00096C21"/>
    <w:rsid w:val="000B44CB"/>
    <w:rsid w:val="000C653A"/>
    <w:rsid w:val="000E3130"/>
    <w:rsid w:val="000E612E"/>
    <w:rsid w:val="001236B0"/>
    <w:rsid w:val="00126D9C"/>
    <w:rsid w:val="00133612"/>
    <w:rsid w:val="00154EBF"/>
    <w:rsid w:val="00166814"/>
    <w:rsid w:val="00170DB8"/>
    <w:rsid w:val="001763B0"/>
    <w:rsid w:val="001820A2"/>
    <w:rsid w:val="00195CFE"/>
    <w:rsid w:val="001A2DA6"/>
    <w:rsid w:val="001A56E2"/>
    <w:rsid w:val="001B482A"/>
    <w:rsid w:val="001C0DB4"/>
    <w:rsid w:val="001C58EF"/>
    <w:rsid w:val="001D4EF4"/>
    <w:rsid w:val="001F2D28"/>
    <w:rsid w:val="001F6F9E"/>
    <w:rsid w:val="00201A88"/>
    <w:rsid w:val="00205815"/>
    <w:rsid w:val="0021114D"/>
    <w:rsid w:val="00223FD9"/>
    <w:rsid w:val="0023369F"/>
    <w:rsid w:val="0024448E"/>
    <w:rsid w:val="0024778B"/>
    <w:rsid w:val="00267F3A"/>
    <w:rsid w:val="002B0144"/>
    <w:rsid w:val="002B31ED"/>
    <w:rsid w:val="002D1461"/>
    <w:rsid w:val="002D1A67"/>
    <w:rsid w:val="002D4DB4"/>
    <w:rsid w:val="002D5B2A"/>
    <w:rsid w:val="002D6EA0"/>
    <w:rsid w:val="002E7001"/>
    <w:rsid w:val="002F3175"/>
    <w:rsid w:val="002F605E"/>
    <w:rsid w:val="003160D6"/>
    <w:rsid w:val="00321558"/>
    <w:rsid w:val="003275D5"/>
    <w:rsid w:val="00330CC3"/>
    <w:rsid w:val="003349E3"/>
    <w:rsid w:val="00385297"/>
    <w:rsid w:val="003C0AC9"/>
    <w:rsid w:val="003D05A4"/>
    <w:rsid w:val="003D6ECC"/>
    <w:rsid w:val="003F0052"/>
    <w:rsid w:val="003F6823"/>
    <w:rsid w:val="00401CAF"/>
    <w:rsid w:val="004412FD"/>
    <w:rsid w:val="004653FE"/>
    <w:rsid w:val="004B0B63"/>
    <w:rsid w:val="004B1425"/>
    <w:rsid w:val="004B4E8A"/>
    <w:rsid w:val="004C4CB3"/>
    <w:rsid w:val="004F6188"/>
    <w:rsid w:val="004F6C86"/>
    <w:rsid w:val="00506BEE"/>
    <w:rsid w:val="00517081"/>
    <w:rsid w:val="0052099D"/>
    <w:rsid w:val="005238F7"/>
    <w:rsid w:val="00542DFC"/>
    <w:rsid w:val="005513A4"/>
    <w:rsid w:val="005536EA"/>
    <w:rsid w:val="00562DE6"/>
    <w:rsid w:val="00577A9C"/>
    <w:rsid w:val="0058228C"/>
    <w:rsid w:val="00582731"/>
    <w:rsid w:val="00595108"/>
    <w:rsid w:val="005A1638"/>
    <w:rsid w:val="005B62DB"/>
    <w:rsid w:val="005E218C"/>
    <w:rsid w:val="005E40E4"/>
    <w:rsid w:val="005E7C4F"/>
    <w:rsid w:val="00601C6D"/>
    <w:rsid w:val="00621156"/>
    <w:rsid w:val="00630DBC"/>
    <w:rsid w:val="00630E0A"/>
    <w:rsid w:val="006369C5"/>
    <w:rsid w:val="00641941"/>
    <w:rsid w:val="00641C6F"/>
    <w:rsid w:val="006442FE"/>
    <w:rsid w:val="0065778A"/>
    <w:rsid w:val="00663D70"/>
    <w:rsid w:val="00673B69"/>
    <w:rsid w:val="00680198"/>
    <w:rsid w:val="00681F1E"/>
    <w:rsid w:val="00686B39"/>
    <w:rsid w:val="006916D0"/>
    <w:rsid w:val="006A2A9F"/>
    <w:rsid w:val="006A3491"/>
    <w:rsid w:val="006A52B3"/>
    <w:rsid w:val="006D2C61"/>
    <w:rsid w:val="006D5D74"/>
    <w:rsid w:val="006D79E5"/>
    <w:rsid w:val="006E460D"/>
    <w:rsid w:val="006E7DE0"/>
    <w:rsid w:val="00703A8F"/>
    <w:rsid w:val="00707A84"/>
    <w:rsid w:val="007111B6"/>
    <w:rsid w:val="0075194C"/>
    <w:rsid w:val="00753680"/>
    <w:rsid w:val="00754F1E"/>
    <w:rsid w:val="00770A23"/>
    <w:rsid w:val="00783D19"/>
    <w:rsid w:val="00783D69"/>
    <w:rsid w:val="0079587D"/>
    <w:rsid w:val="007A0B8D"/>
    <w:rsid w:val="007A4882"/>
    <w:rsid w:val="007A7761"/>
    <w:rsid w:val="007B02BD"/>
    <w:rsid w:val="007D0827"/>
    <w:rsid w:val="007D7AE1"/>
    <w:rsid w:val="007E097B"/>
    <w:rsid w:val="008169EB"/>
    <w:rsid w:val="00826089"/>
    <w:rsid w:val="0082608A"/>
    <w:rsid w:val="00837767"/>
    <w:rsid w:val="008410E5"/>
    <w:rsid w:val="00845057"/>
    <w:rsid w:val="0084562A"/>
    <w:rsid w:val="008521DD"/>
    <w:rsid w:val="00852B12"/>
    <w:rsid w:val="00862CD6"/>
    <w:rsid w:val="00871664"/>
    <w:rsid w:val="0087324A"/>
    <w:rsid w:val="00886CC9"/>
    <w:rsid w:val="00893428"/>
    <w:rsid w:val="008A6F17"/>
    <w:rsid w:val="008B0AC2"/>
    <w:rsid w:val="008C5826"/>
    <w:rsid w:val="008C6BD4"/>
    <w:rsid w:val="008D44A5"/>
    <w:rsid w:val="008F051B"/>
    <w:rsid w:val="008F7189"/>
    <w:rsid w:val="00913092"/>
    <w:rsid w:val="00913338"/>
    <w:rsid w:val="009555F2"/>
    <w:rsid w:val="00976F01"/>
    <w:rsid w:val="0097701D"/>
    <w:rsid w:val="009836D1"/>
    <w:rsid w:val="00991272"/>
    <w:rsid w:val="00992141"/>
    <w:rsid w:val="00995246"/>
    <w:rsid w:val="00997014"/>
    <w:rsid w:val="009A378A"/>
    <w:rsid w:val="009A6950"/>
    <w:rsid w:val="009B0424"/>
    <w:rsid w:val="009B163E"/>
    <w:rsid w:val="009D0EA3"/>
    <w:rsid w:val="009D6555"/>
    <w:rsid w:val="00A05EDE"/>
    <w:rsid w:val="00A103A1"/>
    <w:rsid w:val="00A23360"/>
    <w:rsid w:val="00A24543"/>
    <w:rsid w:val="00A279F7"/>
    <w:rsid w:val="00A33264"/>
    <w:rsid w:val="00A3481E"/>
    <w:rsid w:val="00A55A88"/>
    <w:rsid w:val="00A60AEB"/>
    <w:rsid w:val="00A61588"/>
    <w:rsid w:val="00A83FC7"/>
    <w:rsid w:val="00AB79DE"/>
    <w:rsid w:val="00AC1A2B"/>
    <w:rsid w:val="00AD3BA3"/>
    <w:rsid w:val="00AD6964"/>
    <w:rsid w:val="00AE3739"/>
    <w:rsid w:val="00AF0374"/>
    <w:rsid w:val="00AF121E"/>
    <w:rsid w:val="00B023FC"/>
    <w:rsid w:val="00B100C3"/>
    <w:rsid w:val="00B110C8"/>
    <w:rsid w:val="00B14282"/>
    <w:rsid w:val="00B17D11"/>
    <w:rsid w:val="00B312F2"/>
    <w:rsid w:val="00B42762"/>
    <w:rsid w:val="00B45FFB"/>
    <w:rsid w:val="00B46310"/>
    <w:rsid w:val="00B55B5A"/>
    <w:rsid w:val="00B55DB6"/>
    <w:rsid w:val="00B7613F"/>
    <w:rsid w:val="00B922DE"/>
    <w:rsid w:val="00BA4E61"/>
    <w:rsid w:val="00BA7A67"/>
    <w:rsid w:val="00BB56C4"/>
    <w:rsid w:val="00BC2C57"/>
    <w:rsid w:val="00BD40A3"/>
    <w:rsid w:val="00BD4231"/>
    <w:rsid w:val="00BD528A"/>
    <w:rsid w:val="00BD5E5C"/>
    <w:rsid w:val="00BE04F5"/>
    <w:rsid w:val="00BE2C42"/>
    <w:rsid w:val="00BF16EE"/>
    <w:rsid w:val="00BF3B08"/>
    <w:rsid w:val="00BF7F36"/>
    <w:rsid w:val="00C026DD"/>
    <w:rsid w:val="00C07171"/>
    <w:rsid w:val="00C12E58"/>
    <w:rsid w:val="00C168B2"/>
    <w:rsid w:val="00C17814"/>
    <w:rsid w:val="00C22C88"/>
    <w:rsid w:val="00C24509"/>
    <w:rsid w:val="00C460BE"/>
    <w:rsid w:val="00C46905"/>
    <w:rsid w:val="00C523B1"/>
    <w:rsid w:val="00C55BE9"/>
    <w:rsid w:val="00C603FA"/>
    <w:rsid w:val="00C66301"/>
    <w:rsid w:val="00C7544E"/>
    <w:rsid w:val="00C761E3"/>
    <w:rsid w:val="00C765D9"/>
    <w:rsid w:val="00C841DC"/>
    <w:rsid w:val="00C91998"/>
    <w:rsid w:val="00C9234E"/>
    <w:rsid w:val="00CA3B13"/>
    <w:rsid w:val="00CB53C5"/>
    <w:rsid w:val="00CB69B2"/>
    <w:rsid w:val="00CC6455"/>
    <w:rsid w:val="00CC7965"/>
    <w:rsid w:val="00CD3706"/>
    <w:rsid w:val="00CD45D9"/>
    <w:rsid w:val="00D015C0"/>
    <w:rsid w:val="00D0164D"/>
    <w:rsid w:val="00D03F82"/>
    <w:rsid w:val="00D35C3F"/>
    <w:rsid w:val="00D44283"/>
    <w:rsid w:val="00D47B12"/>
    <w:rsid w:val="00D5524B"/>
    <w:rsid w:val="00D80DE8"/>
    <w:rsid w:val="00D8258C"/>
    <w:rsid w:val="00D8517A"/>
    <w:rsid w:val="00DA2747"/>
    <w:rsid w:val="00DA56AB"/>
    <w:rsid w:val="00DA6EEC"/>
    <w:rsid w:val="00DB179E"/>
    <w:rsid w:val="00DD66A8"/>
    <w:rsid w:val="00DE0E31"/>
    <w:rsid w:val="00DE2918"/>
    <w:rsid w:val="00E01742"/>
    <w:rsid w:val="00E15234"/>
    <w:rsid w:val="00E20AA2"/>
    <w:rsid w:val="00E22F6F"/>
    <w:rsid w:val="00E53702"/>
    <w:rsid w:val="00E55429"/>
    <w:rsid w:val="00E70062"/>
    <w:rsid w:val="00E74409"/>
    <w:rsid w:val="00E92270"/>
    <w:rsid w:val="00EA12ED"/>
    <w:rsid w:val="00EA3504"/>
    <w:rsid w:val="00ED6E34"/>
    <w:rsid w:val="00EE0082"/>
    <w:rsid w:val="00EE25EE"/>
    <w:rsid w:val="00EE4AEB"/>
    <w:rsid w:val="00EF1E13"/>
    <w:rsid w:val="00EF4C39"/>
    <w:rsid w:val="00EF5325"/>
    <w:rsid w:val="00F00C23"/>
    <w:rsid w:val="00F11111"/>
    <w:rsid w:val="00F2614F"/>
    <w:rsid w:val="00F3399C"/>
    <w:rsid w:val="00F611C4"/>
    <w:rsid w:val="00F62160"/>
    <w:rsid w:val="00F7128E"/>
    <w:rsid w:val="00F87788"/>
    <w:rsid w:val="00FA094B"/>
    <w:rsid w:val="00FA1EF2"/>
    <w:rsid w:val="00FA5864"/>
    <w:rsid w:val="00FB1746"/>
    <w:rsid w:val="00FB78CA"/>
    <w:rsid w:val="00FD13EF"/>
    <w:rsid w:val="00FE1758"/>
    <w:rsid w:val="00FE64C3"/>
    <w:rsid w:val="00FE783E"/>
    <w:rsid w:val="01297697"/>
    <w:rsid w:val="013E15C9"/>
    <w:rsid w:val="01551819"/>
    <w:rsid w:val="018B3BEF"/>
    <w:rsid w:val="01974F9B"/>
    <w:rsid w:val="01B10439"/>
    <w:rsid w:val="01C872B8"/>
    <w:rsid w:val="022914B9"/>
    <w:rsid w:val="023D7393"/>
    <w:rsid w:val="024051C5"/>
    <w:rsid w:val="028E0CBA"/>
    <w:rsid w:val="029C1412"/>
    <w:rsid w:val="02AD1871"/>
    <w:rsid w:val="02AE119D"/>
    <w:rsid w:val="02C646E1"/>
    <w:rsid w:val="032558AB"/>
    <w:rsid w:val="034505E7"/>
    <w:rsid w:val="03942A31"/>
    <w:rsid w:val="03B30308"/>
    <w:rsid w:val="03D270B5"/>
    <w:rsid w:val="03E24E8D"/>
    <w:rsid w:val="03F60FF6"/>
    <w:rsid w:val="040E6810"/>
    <w:rsid w:val="048C75E0"/>
    <w:rsid w:val="04B1150D"/>
    <w:rsid w:val="04C12599"/>
    <w:rsid w:val="04D82578"/>
    <w:rsid w:val="04E4498E"/>
    <w:rsid w:val="05166AA5"/>
    <w:rsid w:val="05185F2A"/>
    <w:rsid w:val="053242B0"/>
    <w:rsid w:val="05355B4E"/>
    <w:rsid w:val="053C40E3"/>
    <w:rsid w:val="0546188D"/>
    <w:rsid w:val="057654C1"/>
    <w:rsid w:val="05950117"/>
    <w:rsid w:val="05B2719F"/>
    <w:rsid w:val="05C56B35"/>
    <w:rsid w:val="0605625E"/>
    <w:rsid w:val="060A0D89"/>
    <w:rsid w:val="060F67D7"/>
    <w:rsid w:val="06163BD1"/>
    <w:rsid w:val="063365F7"/>
    <w:rsid w:val="06414488"/>
    <w:rsid w:val="067179CD"/>
    <w:rsid w:val="06A17ED9"/>
    <w:rsid w:val="06A2706F"/>
    <w:rsid w:val="06CE7744"/>
    <w:rsid w:val="06DD024B"/>
    <w:rsid w:val="06DF4CAC"/>
    <w:rsid w:val="06EF7F2D"/>
    <w:rsid w:val="073B0E91"/>
    <w:rsid w:val="073C5002"/>
    <w:rsid w:val="076F7AC4"/>
    <w:rsid w:val="077000CA"/>
    <w:rsid w:val="0791048F"/>
    <w:rsid w:val="07AB0349"/>
    <w:rsid w:val="07CF385B"/>
    <w:rsid w:val="083251D0"/>
    <w:rsid w:val="084762C4"/>
    <w:rsid w:val="084C1D96"/>
    <w:rsid w:val="08C93E76"/>
    <w:rsid w:val="08CC67C9"/>
    <w:rsid w:val="08D13DE0"/>
    <w:rsid w:val="08E73603"/>
    <w:rsid w:val="09287B6E"/>
    <w:rsid w:val="093550BB"/>
    <w:rsid w:val="09475E50"/>
    <w:rsid w:val="094B5940"/>
    <w:rsid w:val="098E477D"/>
    <w:rsid w:val="09A45050"/>
    <w:rsid w:val="09AA3DA3"/>
    <w:rsid w:val="09AB5452"/>
    <w:rsid w:val="09B8789E"/>
    <w:rsid w:val="09C563A3"/>
    <w:rsid w:val="09CF6487"/>
    <w:rsid w:val="09FA0ACA"/>
    <w:rsid w:val="09FC4E8C"/>
    <w:rsid w:val="0A1E4E03"/>
    <w:rsid w:val="0A5B6057"/>
    <w:rsid w:val="0A5D3B7D"/>
    <w:rsid w:val="0A747118"/>
    <w:rsid w:val="0A7E3AF3"/>
    <w:rsid w:val="0A8C6210"/>
    <w:rsid w:val="0A955023"/>
    <w:rsid w:val="0B1278D4"/>
    <w:rsid w:val="0B1701D0"/>
    <w:rsid w:val="0B3643CE"/>
    <w:rsid w:val="0B440A8A"/>
    <w:rsid w:val="0B4B7E79"/>
    <w:rsid w:val="0BA77641"/>
    <w:rsid w:val="0BB55B0D"/>
    <w:rsid w:val="0BBC0D77"/>
    <w:rsid w:val="0BCF0AAA"/>
    <w:rsid w:val="0BF1626A"/>
    <w:rsid w:val="0C116B32"/>
    <w:rsid w:val="0C1A5976"/>
    <w:rsid w:val="0C4538DB"/>
    <w:rsid w:val="0C6311F3"/>
    <w:rsid w:val="0C7E718C"/>
    <w:rsid w:val="0C9A52EF"/>
    <w:rsid w:val="0C9C64B3"/>
    <w:rsid w:val="0CCE2B10"/>
    <w:rsid w:val="0CDD0E04"/>
    <w:rsid w:val="0CDD5CBA"/>
    <w:rsid w:val="0CF167FE"/>
    <w:rsid w:val="0CFC2102"/>
    <w:rsid w:val="0D3C520E"/>
    <w:rsid w:val="0D66155F"/>
    <w:rsid w:val="0D9B5937"/>
    <w:rsid w:val="0DA1354B"/>
    <w:rsid w:val="0DA33A2B"/>
    <w:rsid w:val="0DB25F8E"/>
    <w:rsid w:val="0E102F81"/>
    <w:rsid w:val="0E3746E5"/>
    <w:rsid w:val="0E7D5F44"/>
    <w:rsid w:val="0EB806B0"/>
    <w:rsid w:val="0EDF7256"/>
    <w:rsid w:val="0F390DFE"/>
    <w:rsid w:val="0F7315FA"/>
    <w:rsid w:val="0FB26719"/>
    <w:rsid w:val="101C3B95"/>
    <w:rsid w:val="103E2570"/>
    <w:rsid w:val="10725178"/>
    <w:rsid w:val="107716C5"/>
    <w:rsid w:val="10794906"/>
    <w:rsid w:val="10833411"/>
    <w:rsid w:val="109352AB"/>
    <w:rsid w:val="10FB40F0"/>
    <w:rsid w:val="11164A85"/>
    <w:rsid w:val="11214E8E"/>
    <w:rsid w:val="112C6796"/>
    <w:rsid w:val="11954A6C"/>
    <w:rsid w:val="11A24F22"/>
    <w:rsid w:val="11D0732A"/>
    <w:rsid w:val="12027239"/>
    <w:rsid w:val="122512A7"/>
    <w:rsid w:val="12435340"/>
    <w:rsid w:val="125F245C"/>
    <w:rsid w:val="126F754D"/>
    <w:rsid w:val="12C0739F"/>
    <w:rsid w:val="12C33DB7"/>
    <w:rsid w:val="12F25A48"/>
    <w:rsid w:val="12FB2185"/>
    <w:rsid w:val="13107662"/>
    <w:rsid w:val="13160D6D"/>
    <w:rsid w:val="131E5E73"/>
    <w:rsid w:val="13571087"/>
    <w:rsid w:val="13B16CE7"/>
    <w:rsid w:val="13BD10C8"/>
    <w:rsid w:val="13CF6232"/>
    <w:rsid w:val="13DF6F11"/>
    <w:rsid w:val="13F217DA"/>
    <w:rsid w:val="142467A3"/>
    <w:rsid w:val="147E5429"/>
    <w:rsid w:val="14942891"/>
    <w:rsid w:val="14A22C25"/>
    <w:rsid w:val="14B14FFE"/>
    <w:rsid w:val="14C36CD2"/>
    <w:rsid w:val="14C75A1F"/>
    <w:rsid w:val="14F00C35"/>
    <w:rsid w:val="15223F5B"/>
    <w:rsid w:val="152F43F1"/>
    <w:rsid w:val="156E2D38"/>
    <w:rsid w:val="15703557"/>
    <w:rsid w:val="1584700D"/>
    <w:rsid w:val="158E028D"/>
    <w:rsid w:val="15A10461"/>
    <w:rsid w:val="15B75448"/>
    <w:rsid w:val="160C6457"/>
    <w:rsid w:val="164D719B"/>
    <w:rsid w:val="165A5414"/>
    <w:rsid w:val="165A6D50"/>
    <w:rsid w:val="16744E73"/>
    <w:rsid w:val="1695529A"/>
    <w:rsid w:val="16DA64AE"/>
    <w:rsid w:val="16F13FCB"/>
    <w:rsid w:val="171047C6"/>
    <w:rsid w:val="17185DB3"/>
    <w:rsid w:val="174E4D03"/>
    <w:rsid w:val="1765169A"/>
    <w:rsid w:val="17690EDA"/>
    <w:rsid w:val="17BF54AF"/>
    <w:rsid w:val="17D9196B"/>
    <w:rsid w:val="17EE152B"/>
    <w:rsid w:val="17FF700A"/>
    <w:rsid w:val="18027B12"/>
    <w:rsid w:val="182308DE"/>
    <w:rsid w:val="183A374F"/>
    <w:rsid w:val="183A7502"/>
    <w:rsid w:val="183B4E16"/>
    <w:rsid w:val="185E1D53"/>
    <w:rsid w:val="18616838"/>
    <w:rsid w:val="18730A0F"/>
    <w:rsid w:val="18772F59"/>
    <w:rsid w:val="18AD2173"/>
    <w:rsid w:val="18AF1E35"/>
    <w:rsid w:val="18F03E0E"/>
    <w:rsid w:val="18F74EEB"/>
    <w:rsid w:val="19742C91"/>
    <w:rsid w:val="197B7B7C"/>
    <w:rsid w:val="197E1E6E"/>
    <w:rsid w:val="19824403"/>
    <w:rsid w:val="198F1879"/>
    <w:rsid w:val="1990114D"/>
    <w:rsid w:val="19902055"/>
    <w:rsid w:val="19A60971"/>
    <w:rsid w:val="19B968F6"/>
    <w:rsid w:val="19D84FCE"/>
    <w:rsid w:val="19D92807"/>
    <w:rsid w:val="19E27BFB"/>
    <w:rsid w:val="1A083437"/>
    <w:rsid w:val="1A1E48F4"/>
    <w:rsid w:val="1A3D12D5"/>
    <w:rsid w:val="1A5F2FF9"/>
    <w:rsid w:val="1AF851FC"/>
    <w:rsid w:val="1AFF2A2E"/>
    <w:rsid w:val="1B0F24CD"/>
    <w:rsid w:val="1B266F46"/>
    <w:rsid w:val="1B2E4E30"/>
    <w:rsid w:val="1B324E58"/>
    <w:rsid w:val="1B7F608E"/>
    <w:rsid w:val="1BA34B6E"/>
    <w:rsid w:val="1BB43819"/>
    <w:rsid w:val="1BE37C5A"/>
    <w:rsid w:val="1BF048ED"/>
    <w:rsid w:val="1C34745F"/>
    <w:rsid w:val="1C630856"/>
    <w:rsid w:val="1C7C4DDF"/>
    <w:rsid w:val="1C7D36C7"/>
    <w:rsid w:val="1CF5391B"/>
    <w:rsid w:val="1D0600A4"/>
    <w:rsid w:val="1D0B0BD5"/>
    <w:rsid w:val="1D596426"/>
    <w:rsid w:val="1D646E3A"/>
    <w:rsid w:val="1DC84766"/>
    <w:rsid w:val="1DE47C50"/>
    <w:rsid w:val="1E0345E3"/>
    <w:rsid w:val="1E0740D4"/>
    <w:rsid w:val="1E4109BD"/>
    <w:rsid w:val="1E533911"/>
    <w:rsid w:val="1E6A4910"/>
    <w:rsid w:val="1E8B609E"/>
    <w:rsid w:val="1E9B0CC0"/>
    <w:rsid w:val="1EB93D66"/>
    <w:rsid w:val="1ED841F2"/>
    <w:rsid w:val="1EDE398D"/>
    <w:rsid w:val="1EE55710"/>
    <w:rsid w:val="1F236C33"/>
    <w:rsid w:val="1F33719D"/>
    <w:rsid w:val="1F5844BB"/>
    <w:rsid w:val="1F757300"/>
    <w:rsid w:val="1F7F1652"/>
    <w:rsid w:val="1FCA323B"/>
    <w:rsid w:val="1FD85AAF"/>
    <w:rsid w:val="1FE346CD"/>
    <w:rsid w:val="20064D13"/>
    <w:rsid w:val="20120B0E"/>
    <w:rsid w:val="201523AC"/>
    <w:rsid w:val="20204FCB"/>
    <w:rsid w:val="203B62B7"/>
    <w:rsid w:val="20645D0A"/>
    <w:rsid w:val="208F6EF6"/>
    <w:rsid w:val="20BB2F53"/>
    <w:rsid w:val="20C5044F"/>
    <w:rsid w:val="20D81D57"/>
    <w:rsid w:val="20D87D87"/>
    <w:rsid w:val="20DF4E94"/>
    <w:rsid w:val="21051DDD"/>
    <w:rsid w:val="212B1037"/>
    <w:rsid w:val="213D7E0C"/>
    <w:rsid w:val="217E7180"/>
    <w:rsid w:val="219537A4"/>
    <w:rsid w:val="219B2C38"/>
    <w:rsid w:val="21A00900"/>
    <w:rsid w:val="21A068E1"/>
    <w:rsid w:val="21B66377"/>
    <w:rsid w:val="21C92576"/>
    <w:rsid w:val="21E62660"/>
    <w:rsid w:val="21E63A88"/>
    <w:rsid w:val="21F13053"/>
    <w:rsid w:val="2210107D"/>
    <w:rsid w:val="22361BAC"/>
    <w:rsid w:val="224A5224"/>
    <w:rsid w:val="228F6446"/>
    <w:rsid w:val="22E456C8"/>
    <w:rsid w:val="233F624A"/>
    <w:rsid w:val="23403BE4"/>
    <w:rsid w:val="237156F0"/>
    <w:rsid w:val="238E2BA1"/>
    <w:rsid w:val="23D305B4"/>
    <w:rsid w:val="24011F0B"/>
    <w:rsid w:val="24294492"/>
    <w:rsid w:val="24301F55"/>
    <w:rsid w:val="24421F0B"/>
    <w:rsid w:val="24482125"/>
    <w:rsid w:val="24570A92"/>
    <w:rsid w:val="2466767A"/>
    <w:rsid w:val="24763D61"/>
    <w:rsid w:val="24C13E34"/>
    <w:rsid w:val="24D72341"/>
    <w:rsid w:val="24DE6990"/>
    <w:rsid w:val="24EA4D4B"/>
    <w:rsid w:val="25333239"/>
    <w:rsid w:val="253D5B13"/>
    <w:rsid w:val="25570506"/>
    <w:rsid w:val="258A0BE7"/>
    <w:rsid w:val="25B3069D"/>
    <w:rsid w:val="25C92F13"/>
    <w:rsid w:val="25E60A73"/>
    <w:rsid w:val="25F807A6"/>
    <w:rsid w:val="261455E0"/>
    <w:rsid w:val="262264E8"/>
    <w:rsid w:val="263E6D54"/>
    <w:rsid w:val="265F7261"/>
    <w:rsid w:val="269C55D5"/>
    <w:rsid w:val="26E91CC5"/>
    <w:rsid w:val="26FC7E22"/>
    <w:rsid w:val="271C688E"/>
    <w:rsid w:val="27243E20"/>
    <w:rsid w:val="273904D1"/>
    <w:rsid w:val="274E5BF8"/>
    <w:rsid w:val="27676396"/>
    <w:rsid w:val="279758C7"/>
    <w:rsid w:val="27C5319A"/>
    <w:rsid w:val="280200FB"/>
    <w:rsid w:val="28315C60"/>
    <w:rsid w:val="285C5FB3"/>
    <w:rsid w:val="28686379"/>
    <w:rsid w:val="2869362D"/>
    <w:rsid w:val="28751496"/>
    <w:rsid w:val="28917CF0"/>
    <w:rsid w:val="289966E6"/>
    <w:rsid w:val="289B1FE8"/>
    <w:rsid w:val="28A44D1A"/>
    <w:rsid w:val="28A8334C"/>
    <w:rsid w:val="28B66476"/>
    <w:rsid w:val="296B0B5F"/>
    <w:rsid w:val="297637AF"/>
    <w:rsid w:val="299650B4"/>
    <w:rsid w:val="29AC3D81"/>
    <w:rsid w:val="29B570DA"/>
    <w:rsid w:val="2A1D07DB"/>
    <w:rsid w:val="2A30163C"/>
    <w:rsid w:val="2A313F18"/>
    <w:rsid w:val="2A4E3762"/>
    <w:rsid w:val="2A571F3F"/>
    <w:rsid w:val="2A5F2EAD"/>
    <w:rsid w:val="2A834AE2"/>
    <w:rsid w:val="2AE9690F"/>
    <w:rsid w:val="2AEF4D00"/>
    <w:rsid w:val="2B1B11BE"/>
    <w:rsid w:val="2B2312ED"/>
    <w:rsid w:val="2B430715"/>
    <w:rsid w:val="2B7D6CD5"/>
    <w:rsid w:val="2BED7D45"/>
    <w:rsid w:val="2C180280"/>
    <w:rsid w:val="2C1A27B3"/>
    <w:rsid w:val="2C4C53A8"/>
    <w:rsid w:val="2C5D6AB7"/>
    <w:rsid w:val="2C5F6F14"/>
    <w:rsid w:val="2C611150"/>
    <w:rsid w:val="2C95574B"/>
    <w:rsid w:val="2CAD5E46"/>
    <w:rsid w:val="2CBD0053"/>
    <w:rsid w:val="2CBE446D"/>
    <w:rsid w:val="2D805D15"/>
    <w:rsid w:val="2DA3549B"/>
    <w:rsid w:val="2DA52FC1"/>
    <w:rsid w:val="2E33513A"/>
    <w:rsid w:val="2E712CA1"/>
    <w:rsid w:val="2E9F3EB4"/>
    <w:rsid w:val="2EC60C00"/>
    <w:rsid w:val="2ED0584B"/>
    <w:rsid w:val="2EE315DD"/>
    <w:rsid w:val="2F026C67"/>
    <w:rsid w:val="2F037C4A"/>
    <w:rsid w:val="2F16337B"/>
    <w:rsid w:val="2F5651C7"/>
    <w:rsid w:val="2FA62F39"/>
    <w:rsid w:val="2FAB2C46"/>
    <w:rsid w:val="2FB15C4D"/>
    <w:rsid w:val="2FB17034"/>
    <w:rsid w:val="2FBC2844"/>
    <w:rsid w:val="2FCF07C9"/>
    <w:rsid w:val="2FD8767E"/>
    <w:rsid w:val="2FDA2090"/>
    <w:rsid w:val="3004278B"/>
    <w:rsid w:val="300F5889"/>
    <w:rsid w:val="30134587"/>
    <w:rsid w:val="301A2A02"/>
    <w:rsid w:val="301D32E3"/>
    <w:rsid w:val="302C1778"/>
    <w:rsid w:val="303C7D12"/>
    <w:rsid w:val="306A6086"/>
    <w:rsid w:val="30762B8F"/>
    <w:rsid w:val="307F5D4C"/>
    <w:rsid w:val="3092103A"/>
    <w:rsid w:val="30922964"/>
    <w:rsid w:val="30980BBB"/>
    <w:rsid w:val="3098505F"/>
    <w:rsid w:val="30FD7677"/>
    <w:rsid w:val="313A3B42"/>
    <w:rsid w:val="31540F86"/>
    <w:rsid w:val="31750EFD"/>
    <w:rsid w:val="3196141C"/>
    <w:rsid w:val="31AE0E87"/>
    <w:rsid w:val="31B74992"/>
    <w:rsid w:val="31C85368"/>
    <w:rsid w:val="31C93F05"/>
    <w:rsid w:val="32470AEB"/>
    <w:rsid w:val="3251192E"/>
    <w:rsid w:val="32980AA5"/>
    <w:rsid w:val="32D223EF"/>
    <w:rsid w:val="32ED1692"/>
    <w:rsid w:val="32FA0876"/>
    <w:rsid w:val="33006EA2"/>
    <w:rsid w:val="332F4571"/>
    <w:rsid w:val="333042FF"/>
    <w:rsid w:val="333716A6"/>
    <w:rsid w:val="335C6818"/>
    <w:rsid w:val="33B12189"/>
    <w:rsid w:val="33B44556"/>
    <w:rsid w:val="341A36D8"/>
    <w:rsid w:val="342A06C4"/>
    <w:rsid w:val="34353CC5"/>
    <w:rsid w:val="347D25A2"/>
    <w:rsid w:val="34FA6358"/>
    <w:rsid w:val="35265DB3"/>
    <w:rsid w:val="35335BD9"/>
    <w:rsid w:val="353D3896"/>
    <w:rsid w:val="35523A2F"/>
    <w:rsid w:val="357622FA"/>
    <w:rsid w:val="35823F95"/>
    <w:rsid w:val="359C3732"/>
    <w:rsid w:val="35A5264D"/>
    <w:rsid w:val="35B40DD0"/>
    <w:rsid w:val="35DC1B26"/>
    <w:rsid w:val="35EC7513"/>
    <w:rsid w:val="35FE7442"/>
    <w:rsid w:val="361A338E"/>
    <w:rsid w:val="364D7999"/>
    <w:rsid w:val="36920C60"/>
    <w:rsid w:val="36B13952"/>
    <w:rsid w:val="36BB3856"/>
    <w:rsid w:val="36C525DA"/>
    <w:rsid w:val="36C6537D"/>
    <w:rsid w:val="36D105B9"/>
    <w:rsid w:val="36E77113"/>
    <w:rsid w:val="36EE6322"/>
    <w:rsid w:val="37065CF9"/>
    <w:rsid w:val="370B01CA"/>
    <w:rsid w:val="370F6AB2"/>
    <w:rsid w:val="37107A0F"/>
    <w:rsid w:val="37155E63"/>
    <w:rsid w:val="3740331F"/>
    <w:rsid w:val="376712E7"/>
    <w:rsid w:val="3790083E"/>
    <w:rsid w:val="37AB03E7"/>
    <w:rsid w:val="37AC1AEB"/>
    <w:rsid w:val="37B12D53"/>
    <w:rsid w:val="37B207B5"/>
    <w:rsid w:val="38326943"/>
    <w:rsid w:val="383E473E"/>
    <w:rsid w:val="38635F18"/>
    <w:rsid w:val="386434F3"/>
    <w:rsid w:val="38B14F10"/>
    <w:rsid w:val="38C339FD"/>
    <w:rsid w:val="39050DB8"/>
    <w:rsid w:val="390F1C37"/>
    <w:rsid w:val="3918170B"/>
    <w:rsid w:val="39211EA5"/>
    <w:rsid w:val="393867B0"/>
    <w:rsid w:val="39711557"/>
    <w:rsid w:val="39851E3C"/>
    <w:rsid w:val="39902D77"/>
    <w:rsid w:val="39C531BC"/>
    <w:rsid w:val="39EE7A9E"/>
    <w:rsid w:val="3A0472C2"/>
    <w:rsid w:val="3A4C2FC2"/>
    <w:rsid w:val="3A5B3385"/>
    <w:rsid w:val="3A5C0EAC"/>
    <w:rsid w:val="3A661D2A"/>
    <w:rsid w:val="3A7442C2"/>
    <w:rsid w:val="3AF81008"/>
    <w:rsid w:val="3B0B2C33"/>
    <w:rsid w:val="3B392F9B"/>
    <w:rsid w:val="3B455DE4"/>
    <w:rsid w:val="3B5878C5"/>
    <w:rsid w:val="3B715624"/>
    <w:rsid w:val="3BD14545"/>
    <w:rsid w:val="3BD75BD2"/>
    <w:rsid w:val="3BEF351D"/>
    <w:rsid w:val="3BF05D4F"/>
    <w:rsid w:val="3C221C81"/>
    <w:rsid w:val="3C2E17DB"/>
    <w:rsid w:val="3C595532"/>
    <w:rsid w:val="3CBB45AF"/>
    <w:rsid w:val="3CBF11A5"/>
    <w:rsid w:val="3CCD6091"/>
    <w:rsid w:val="3CEF3164"/>
    <w:rsid w:val="3D0779A9"/>
    <w:rsid w:val="3D125C4D"/>
    <w:rsid w:val="3D2F0AF9"/>
    <w:rsid w:val="3D5F3C04"/>
    <w:rsid w:val="3D6C3CF1"/>
    <w:rsid w:val="3D6F0913"/>
    <w:rsid w:val="3D736C38"/>
    <w:rsid w:val="3D8679FA"/>
    <w:rsid w:val="3D9450B9"/>
    <w:rsid w:val="3D96792E"/>
    <w:rsid w:val="3DC079A3"/>
    <w:rsid w:val="3DDB6484"/>
    <w:rsid w:val="3E3A0B4B"/>
    <w:rsid w:val="3E7C1EBC"/>
    <w:rsid w:val="3E7E3501"/>
    <w:rsid w:val="3E8F620A"/>
    <w:rsid w:val="3EB65E12"/>
    <w:rsid w:val="3EC36F4A"/>
    <w:rsid w:val="3EC84ACB"/>
    <w:rsid w:val="3ECD7CB9"/>
    <w:rsid w:val="3EE020AB"/>
    <w:rsid w:val="3F0E3EEE"/>
    <w:rsid w:val="3F175522"/>
    <w:rsid w:val="3F584337"/>
    <w:rsid w:val="3FAB24EE"/>
    <w:rsid w:val="40093E03"/>
    <w:rsid w:val="40442098"/>
    <w:rsid w:val="4051553F"/>
    <w:rsid w:val="406805AA"/>
    <w:rsid w:val="40C003E6"/>
    <w:rsid w:val="40EC384A"/>
    <w:rsid w:val="412E7D9E"/>
    <w:rsid w:val="41502960"/>
    <w:rsid w:val="41DB3B2D"/>
    <w:rsid w:val="42027B10"/>
    <w:rsid w:val="420E087A"/>
    <w:rsid w:val="421E0372"/>
    <w:rsid w:val="422624CB"/>
    <w:rsid w:val="4276113A"/>
    <w:rsid w:val="428061BB"/>
    <w:rsid w:val="428B0217"/>
    <w:rsid w:val="429F5DD9"/>
    <w:rsid w:val="42AD74E9"/>
    <w:rsid w:val="43056B91"/>
    <w:rsid w:val="432664FB"/>
    <w:rsid w:val="43416888"/>
    <w:rsid w:val="4349495E"/>
    <w:rsid w:val="43682B38"/>
    <w:rsid w:val="438D20D6"/>
    <w:rsid w:val="43AB242A"/>
    <w:rsid w:val="43B2734C"/>
    <w:rsid w:val="43DD60AD"/>
    <w:rsid w:val="43E1318F"/>
    <w:rsid w:val="4469669F"/>
    <w:rsid w:val="44986F84"/>
    <w:rsid w:val="449958BD"/>
    <w:rsid w:val="449D27EC"/>
    <w:rsid w:val="449F44B1"/>
    <w:rsid w:val="44D97794"/>
    <w:rsid w:val="452E5AF3"/>
    <w:rsid w:val="454128EE"/>
    <w:rsid w:val="455E4E7B"/>
    <w:rsid w:val="458516BC"/>
    <w:rsid w:val="459A40D6"/>
    <w:rsid w:val="45B61DB8"/>
    <w:rsid w:val="45E94A1E"/>
    <w:rsid w:val="45F91CA4"/>
    <w:rsid w:val="46361A61"/>
    <w:rsid w:val="463827CD"/>
    <w:rsid w:val="4645313C"/>
    <w:rsid w:val="46697CD0"/>
    <w:rsid w:val="46973BA6"/>
    <w:rsid w:val="46D91B7E"/>
    <w:rsid w:val="472E3BD0"/>
    <w:rsid w:val="47AD3207"/>
    <w:rsid w:val="47EB0117"/>
    <w:rsid w:val="4857282E"/>
    <w:rsid w:val="486C56E3"/>
    <w:rsid w:val="487D4E0F"/>
    <w:rsid w:val="489F33BF"/>
    <w:rsid w:val="489F6B33"/>
    <w:rsid w:val="48DC4B3D"/>
    <w:rsid w:val="48F510A4"/>
    <w:rsid w:val="491C27CE"/>
    <w:rsid w:val="49417BEA"/>
    <w:rsid w:val="49A563CB"/>
    <w:rsid w:val="49BF5F28"/>
    <w:rsid w:val="49D26013"/>
    <w:rsid w:val="49E05655"/>
    <w:rsid w:val="4A014B5D"/>
    <w:rsid w:val="4A0A0924"/>
    <w:rsid w:val="4A0B531D"/>
    <w:rsid w:val="4A32699A"/>
    <w:rsid w:val="4A3C7E3F"/>
    <w:rsid w:val="4A40751A"/>
    <w:rsid w:val="4AD056CA"/>
    <w:rsid w:val="4AD30D16"/>
    <w:rsid w:val="4B276E75"/>
    <w:rsid w:val="4B4B2897"/>
    <w:rsid w:val="4B550548"/>
    <w:rsid w:val="4B593E73"/>
    <w:rsid w:val="4B84689D"/>
    <w:rsid w:val="4BAF375E"/>
    <w:rsid w:val="4BD54FA5"/>
    <w:rsid w:val="4BE220FD"/>
    <w:rsid w:val="4C8C3D7D"/>
    <w:rsid w:val="4C8E3221"/>
    <w:rsid w:val="4C9170DB"/>
    <w:rsid w:val="4CA7245A"/>
    <w:rsid w:val="4CE23492"/>
    <w:rsid w:val="4CEE1E37"/>
    <w:rsid w:val="4CF4091C"/>
    <w:rsid w:val="4D0B5F5B"/>
    <w:rsid w:val="4D0F7FFF"/>
    <w:rsid w:val="4D194CE1"/>
    <w:rsid w:val="4D1B4BF6"/>
    <w:rsid w:val="4D1D0EBA"/>
    <w:rsid w:val="4D247ED9"/>
    <w:rsid w:val="4D272479"/>
    <w:rsid w:val="4D2B2647"/>
    <w:rsid w:val="4D2C67C3"/>
    <w:rsid w:val="4D357A66"/>
    <w:rsid w:val="4D4C4415"/>
    <w:rsid w:val="4D50664E"/>
    <w:rsid w:val="4D676FB8"/>
    <w:rsid w:val="4D9A0B96"/>
    <w:rsid w:val="4DB745F7"/>
    <w:rsid w:val="4DC50472"/>
    <w:rsid w:val="4DEA5024"/>
    <w:rsid w:val="4E027CE4"/>
    <w:rsid w:val="4E393586"/>
    <w:rsid w:val="4E4B32B9"/>
    <w:rsid w:val="4E54216E"/>
    <w:rsid w:val="4E6358E1"/>
    <w:rsid w:val="4EC24E6D"/>
    <w:rsid w:val="4ECF497F"/>
    <w:rsid w:val="4EEA210B"/>
    <w:rsid w:val="4F0E5FFA"/>
    <w:rsid w:val="4F4977F9"/>
    <w:rsid w:val="4F504F05"/>
    <w:rsid w:val="4F6113B8"/>
    <w:rsid w:val="4F636DC9"/>
    <w:rsid w:val="4F844880"/>
    <w:rsid w:val="4F942E88"/>
    <w:rsid w:val="4FEE65F2"/>
    <w:rsid w:val="500D6A78"/>
    <w:rsid w:val="501F4156"/>
    <w:rsid w:val="503E3F91"/>
    <w:rsid w:val="505433DD"/>
    <w:rsid w:val="505C355C"/>
    <w:rsid w:val="506544D8"/>
    <w:rsid w:val="507D0BD3"/>
    <w:rsid w:val="50816FC7"/>
    <w:rsid w:val="50877E06"/>
    <w:rsid w:val="5092753B"/>
    <w:rsid w:val="50A4517F"/>
    <w:rsid w:val="50A63D2D"/>
    <w:rsid w:val="50B12AA0"/>
    <w:rsid w:val="50BE5BC4"/>
    <w:rsid w:val="50E062FA"/>
    <w:rsid w:val="50E517A3"/>
    <w:rsid w:val="50F120DE"/>
    <w:rsid w:val="5124051D"/>
    <w:rsid w:val="515C6DD0"/>
    <w:rsid w:val="516E3547"/>
    <w:rsid w:val="519A0E23"/>
    <w:rsid w:val="51CD2963"/>
    <w:rsid w:val="51D7230F"/>
    <w:rsid w:val="51E05EB9"/>
    <w:rsid w:val="51FA5C19"/>
    <w:rsid w:val="52171CBE"/>
    <w:rsid w:val="523030E7"/>
    <w:rsid w:val="525C2C74"/>
    <w:rsid w:val="5276555B"/>
    <w:rsid w:val="52A91000"/>
    <w:rsid w:val="52B72CCB"/>
    <w:rsid w:val="52D8089C"/>
    <w:rsid w:val="5302768B"/>
    <w:rsid w:val="53184FA6"/>
    <w:rsid w:val="53A07C03"/>
    <w:rsid w:val="541303D5"/>
    <w:rsid w:val="5413297B"/>
    <w:rsid w:val="5452714F"/>
    <w:rsid w:val="545E3D46"/>
    <w:rsid w:val="54784C99"/>
    <w:rsid w:val="547A66A6"/>
    <w:rsid w:val="54812C62"/>
    <w:rsid w:val="54C27DB9"/>
    <w:rsid w:val="550A6869"/>
    <w:rsid w:val="550B4E4D"/>
    <w:rsid w:val="55292EBD"/>
    <w:rsid w:val="554F7B33"/>
    <w:rsid w:val="55545149"/>
    <w:rsid w:val="557355CF"/>
    <w:rsid w:val="558D20A7"/>
    <w:rsid w:val="55910DCC"/>
    <w:rsid w:val="55A57753"/>
    <w:rsid w:val="55BD684B"/>
    <w:rsid w:val="55C13320"/>
    <w:rsid w:val="55C474AD"/>
    <w:rsid w:val="5612144E"/>
    <w:rsid w:val="563A1A0B"/>
    <w:rsid w:val="564E0DD9"/>
    <w:rsid w:val="5684380C"/>
    <w:rsid w:val="569A3030"/>
    <w:rsid w:val="56AA2537"/>
    <w:rsid w:val="56BB462B"/>
    <w:rsid w:val="56C81611"/>
    <w:rsid w:val="56DC6A80"/>
    <w:rsid w:val="5700409D"/>
    <w:rsid w:val="57615DCF"/>
    <w:rsid w:val="579A0C0C"/>
    <w:rsid w:val="579A6725"/>
    <w:rsid w:val="57AC1CA1"/>
    <w:rsid w:val="57EE3633"/>
    <w:rsid w:val="58016442"/>
    <w:rsid w:val="58303EAF"/>
    <w:rsid w:val="58405511"/>
    <w:rsid w:val="5873188B"/>
    <w:rsid w:val="58AE3A59"/>
    <w:rsid w:val="58E20382"/>
    <w:rsid w:val="590A3568"/>
    <w:rsid w:val="591C61D6"/>
    <w:rsid w:val="593609A8"/>
    <w:rsid w:val="594F6AB2"/>
    <w:rsid w:val="59931F34"/>
    <w:rsid w:val="59A50413"/>
    <w:rsid w:val="59AF2067"/>
    <w:rsid w:val="59B23F3C"/>
    <w:rsid w:val="59F75DD5"/>
    <w:rsid w:val="5A70032F"/>
    <w:rsid w:val="5A92474A"/>
    <w:rsid w:val="5AAF59A9"/>
    <w:rsid w:val="5ABF02C0"/>
    <w:rsid w:val="5AC1484F"/>
    <w:rsid w:val="5AE900E2"/>
    <w:rsid w:val="5AEA2CB2"/>
    <w:rsid w:val="5B096A90"/>
    <w:rsid w:val="5B0E158F"/>
    <w:rsid w:val="5B3B2A85"/>
    <w:rsid w:val="5B3B55E2"/>
    <w:rsid w:val="5B4A24A8"/>
    <w:rsid w:val="5B64501B"/>
    <w:rsid w:val="5B7A54B0"/>
    <w:rsid w:val="5B7B7882"/>
    <w:rsid w:val="5B7C7576"/>
    <w:rsid w:val="5B8F04B1"/>
    <w:rsid w:val="5B9242D5"/>
    <w:rsid w:val="5BC05096"/>
    <w:rsid w:val="5BD34C3D"/>
    <w:rsid w:val="5BDB430B"/>
    <w:rsid w:val="5BE56AFB"/>
    <w:rsid w:val="5BED59B0"/>
    <w:rsid w:val="5BF82C21"/>
    <w:rsid w:val="5C0B53CC"/>
    <w:rsid w:val="5C1C603C"/>
    <w:rsid w:val="5C2E1C93"/>
    <w:rsid w:val="5C3D06E5"/>
    <w:rsid w:val="5C451348"/>
    <w:rsid w:val="5C4A1832"/>
    <w:rsid w:val="5C5B332F"/>
    <w:rsid w:val="5C602626"/>
    <w:rsid w:val="5C8A1451"/>
    <w:rsid w:val="5C8E01AF"/>
    <w:rsid w:val="5C901178"/>
    <w:rsid w:val="5CCB5FAE"/>
    <w:rsid w:val="5CFA7995"/>
    <w:rsid w:val="5D0A3D92"/>
    <w:rsid w:val="5D143223"/>
    <w:rsid w:val="5D347A61"/>
    <w:rsid w:val="5D354ECF"/>
    <w:rsid w:val="5D3F307D"/>
    <w:rsid w:val="5D4D14C4"/>
    <w:rsid w:val="5D5F6439"/>
    <w:rsid w:val="5D6D4FFA"/>
    <w:rsid w:val="5D8D2665"/>
    <w:rsid w:val="5DAA255D"/>
    <w:rsid w:val="5DBE3B2F"/>
    <w:rsid w:val="5DD706C5"/>
    <w:rsid w:val="5DD92690"/>
    <w:rsid w:val="5DD961EC"/>
    <w:rsid w:val="5DF52058"/>
    <w:rsid w:val="5E65729A"/>
    <w:rsid w:val="5E6D5B64"/>
    <w:rsid w:val="5E9A7624"/>
    <w:rsid w:val="5E9E38C2"/>
    <w:rsid w:val="5EA63879"/>
    <w:rsid w:val="5EF62DCD"/>
    <w:rsid w:val="5EF90385"/>
    <w:rsid w:val="5F040668"/>
    <w:rsid w:val="5F076AA1"/>
    <w:rsid w:val="5F105C3D"/>
    <w:rsid w:val="5F204094"/>
    <w:rsid w:val="5F2B2A77"/>
    <w:rsid w:val="5F391843"/>
    <w:rsid w:val="5F6100EC"/>
    <w:rsid w:val="5F7546F9"/>
    <w:rsid w:val="5F93497E"/>
    <w:rsid w:val="5FA8056B"/>
    <w:rsid w:val="5FE82FD2"/>
    <w:rsid w:val="5FF937CA"/>
    <w:rsid w:val="5FFE7049"/>
    <w:rsid w:val="600C5101"/>
    <w:rsid w:val="601371F1"/>
    <w:rsid w:val="60910D55"/>
    <w:rsid w:val="609134D3"/>
    <w:rsid w:val="609F5942"/>
    <w:rsid w:val="60A46EA0"/>
    <w:rsid w:val="60B11A58"/>
    <w:rsid w:val="60B41C47"/>
    <w:rsid w:val="60EE7E50"/>
    <w:rsid w:val="611F485D"/>
    <w:rsid w:val="61201460"/>
    <w:rsid w:val="61216109"/>
    <w:rsid w:val="616B4CC5"/>
    <w:rsid w:val="61BB6C21"/>
    <w:rsid w:val="61C3343B"/>
    <w:rsid w:val="626B29C1"/>
    <w:rsid w:val="62C60D11"/>
    <w:rsid w:val="62F07AC3"/>
    <w:rsid w:val="62FF000B"/>
    <w:rsid w:val="630E06E5"/>
    <w:rsid w:val="63120F05"/>
    <w:rsid w:val="63141A74"/>
    <w:rsid w:val="631B1054"/>
    <w:rsid w:val="63251D36"/>
    <w:rsid w:val="63304DDA"/>
    <w:rsid w:val="63360B92"/>
    <w:rsid w:val="633F577A"/>
    <w:rsid w:val="639F6688"/>
    <w:rsid w:val="63A64DC2"/>
    <w:rsid w:val="640624AF"/>
    <w:rsid w:val="6412222E"/>
    <w:rsid w:val="641F6922"/>
    <w:rsid w:val="642F3141"/>
    <w:rsid w:val="64777510"/>
    <w:rsid w:val="64AC4087"/>
    <w:rsid w:val="64D25376"/>
    <w:rsid w:val="64DD0A0A"/>
    <w:rsid w:val="64E34F5D"/>
    <w:rsid w:val="64E738E4"/>
    <w:rsid w:val="64EC0EFA"/>
    <w:rsid w:val="64EE7439"/>
    <w:rsid w:val="651915C4"/>
    <w:rsid w:val="652E32C1"/>
    <w:rsid w:val="6531164E"/>
    <w:rsid w:val="6584265F"/>
    <w:rsid w:val="65CB65BE"/>
    <w:rsid w:val="661250A3"/>
    <w:rsid w:val="66136DD4"/>
    <w:rsid w:val="662617B6"/>
    <w:rsid w:val="664A1343"/>
    <w:rsid w:val="669668BC"/>
    <w:rsid w:val="66A8689E"/>
    <w:rsid w:val="66FE4F15"/>
    <w:rsid w:val="671168F1"/>
    <w:rsid w:val="67167BBF"/>
    <w:rsid w:val="678F5C2E"/>
    <w:rsid w:val="67DA14DE"/>
    <w:rsid w:val="67E934CF"/>
    <w:rsid w:val="682409AB"/>
    <w:rsid w:val="682807DE"/>
    <w:rsid w:val="683176BF"/>
    <w:rsid w:val="688D4A62"/>
    <w:rsid w:val="68AD5CD2"/>
    <w:rsid w:val="68D25F4C"/>
    <w:rsid w:val="68ED5241"/>
    <w:rsid w:val="68FE744E"/>
    <w:rsid w:val="69375880"/>
    <w:rsid w:val="69C77410"/>
    <w:rsid w:val="69F349EF"/>
    <w:rsid w:val="6A086A80"/>
    <w:rsid w:val="6A1746AD"/>
    <w:rsid w:val="6A2F78CD"/>
    <w:rsid w:val="6A312329"/>
    <w:rsid w:val="6A5B12B2"/>
    <w:rsid w:val="6A6D03E7"/>
    <w:rsid w:val="6A6F753F"/>
    <w:rsid w:val="6A7B7FB2"/>
    <w:rsid w:val="6A7C6FD4"/>
    <w:rsid w:val="6A860D01"/>
    <w:rsid w:val="6ACB7804"/>
    <w:rsid w:val="6ADF4039"/>
    <w:rsid w:val="6AF32C6A"/>
    <w:rsid w:val="6AF61A62"/>
    <w:rsid w:val="6B230E95"/>
    <w:rsid w:val="6B347157"/>
    <w:rsid w:val="6B722F34"/>
    <w:rsid w:val="6B9540A4"/>
    <w:rsid w:val="6BA2266B"/>
    <w:rsid w:val="6BD00E44"/>
    <w:rsid w:val="6BF033CB"/>
    <w:rsid w:val="6C295FE1"/>
    <w:rsid w:val="6C47110C"/>
    <w:rsid w:val="6C515126"/>
    <w:rsid w:val="6CA73C2D"/>
    <w:rsid w:val="6CBE1280"/>
    <w:rsid w:val="6CC2364E"/>
    <w:rsid w:val="6CD729B3"/>
    <w:rsid w:val="6CE93F71"/>
    <w:rsid w:val="6CF21B99"/>
    <w:rsid w:val="6CF264C5"/>
    <w:rsid w:val="6CF52916"/>
    <w:rsid w:val="6D276D15"/>
    <w:rsid w:val="6D3D0396"/>
    <w:rsid w:val="6D627966"/>
    <w:rsid w:val="6D75178C"/>
    <w:rsid w:val="6E21404B"/>
    <w:rsid w:val="6E937646"/>
    <w:rsid w:val="6EA27FF5"/>
    <w:rsid w:val="6EEC181B"/>
    <w:rsid w:val="6EED0FD0"/>
    <w:rsid w:val="6EFD2117"/>
    <w:rsid w:val="6EFE66C6"/>
    <w:rsid w:val="6F191AB6"/>
    <w:rsid w:val="6F4C528B"/>
    <w:rsid w:val="6F576417"/>
    <w:rsid w:val="6F5F552B"/>
    <w:rsid w:val="6F604ED0"/>
    <w:rsid w:val="6FD10591"/>
    <w:rsid w:val="6FF3498C"/>
    <w:rsid w:val="6FF91FD2"/>
    <w:rsid w:val="700D4D3B"/>
    <w:rsid w:val="701B2E02"/>
    <w:rsid w:val="703C336B"/>
    <w:rsid w:val="70885290"/>
    <w:rsid w:val="708C0780"/>
    <w:rsid w:val="70A26911"/>
    <w:rsid w:val="70B75BDD"/>
    <w:rsid w:val="70C03F46"/>
    <w:rsid w:val="70D07922"/>
    <w:rsid w:val="71081274"/>
    <w:rsid w:val="71463740"/>
    <w:rsid w:val="714F6A99"/>
    <w:rsid w:val="7164724C"/>
    <w:rsid w:val="71DA64A0"/>
    <w:rsid w:val="720D24B0"/>
    <w:rsid w:val="7243196D"/>
    <w:rsid w:val="724E3747"/>
    <w:rsid w:val="72AD0707"/>
    <w:rsid w:val="735A073B"/>
    <w:rsid w:val="7360669C"/>
    <w:rsid w:val="73B331B4"/>
    <w:rsid w:val="73EE0BE7"/>
    <w:rsid w:val="74082F2F"/>
    <w:rsid w:val="743341E9"/>
    <w:rsid w:val="746309C2"/>
    <w:rsid w:val="74A14ECE"/>
    <w:rsid w:val="74C20A9A"/>
    <w:rsid w:val="74DE5811"/>
    <w:rsid w:val="74E03EAC"/>
    <w:rsid w:val="74E9072D"/>
    <w:rsid w:val="74FE66EB"/>
    <w:rsid w:val="755828FC"/>
    <w:rsid w:val="759E3B4B"/>
    <w:rsid w:val="75FD547E"/>
    <w:rsid w:val="761A3241"/>
    <w:rsid w:val="76366AFC"/>
    <w:rsid w:val="763C2380"/>
    <w:rsid w:val="764700BC"/>
    <w:rsid w:val="765202F6"/>
    <w:rsid w:val="76866C66"/>
    <w:rsid w:val="76EA3942"/>
    <w:rsid w:val="77512E3F"/>
    <w:rsid w:val="77AE5DD5"/>
    <w:rsid w:val="77B344F5"/>
    <w:rsid w:val="77E91594"/>
    <w:rsid w:val="78160492"/>
    <w:rsid w:val="78485EB9"/>
    <w:rsid w:val="78750AB7"/>
    <w:rsid w:val="78945193"/>
    <w:rsid w:val="78A34C52"/>
    <w:rsid w:val="78C82D8E"/>
    <w:rsid w:val="78E57CE3"/>
    <w:rsid w:val="790965A3"/>
    <w:rsid w:val="79440EAD"/>
    <w:rsid w:val="79570BE0"/>
    <w:rsid w:val="7977300A"/>
    <w:rsid w:val="79AA20B6"/>
    <w:rsid w:val="79AC5BC9"/>
    <w:rsid w:val="79B0209F"/>
    <w:rsid w:val="7A09276E"/>
    <w:rsid w:val="7A15284A"/>
    <w:rsid w:val="7A3D14BA"/>
    <w:rsid w:val="7A5657C3"/>
    <w:rsid w:val="7A570A56"/>
    <w:rsid w:val="7A860528"/>
    <w:rsid w:val="7AC37047"/>
    <w:rsid w:val="7B5A6766"/>
    <w:rsid w:val="7B61634B"/>
    <w:rsid w:val="7B936C34"/>
    <w:rsid w:val="7BBC11CF"/>
    <w:rsid w:val="7BBF2A6D"/>
    <w:rsid w:val="7BD25121"/>
    <w:rsid w:val="7C1111D6"/>
    <w:rsid w:val="7C30214A"/>
    <w:rsid w:val="7C482A62"/>
    <w:rsid w:val="7C5807CC"/>
    <w:rsid w:val="7C611944"/>
    <w:rsid w:val="7C95384C"/>
    <w:rsid w:val="7CAF1EFD"/>
    <w:rsid w:val="7CD51E1C"/>
    <w:rsid w:val="7CE51724"/>
    <w:rsid w:val="7CF84488"/>
    <w:rsid w:val="7D1E1B4F"/>
    <w:rsid w:val="7D307857"/>
    <w:rsid w:val="7D3B49E1"/>
    <w:rsid w:val="7D3E5C13"/>
    <w:rsid w:val="7D4A280A"/>
    <w:rsid w:val="7D92659D"/>
    <w:rsid w:val="7DB06B11"/>
    <w:rsid w:val="7DBA34EC"/>
    <w:rsid w:val="7DC0487A"/>
    <w:rsid w:val="7DE8455E"/>
    <w:rsid w:val="7E047739"/>
    <w:rsid w:val="7E163125"/>
    <w:rsid w:val="7E3F6820"/>
    <w:rsid w:val="7E491E00"/>
    <w:rsid w:val="7E652CE8"/>
    <w:rsid w:val="7E955D07"/>
    <w:rsid w:val="7EC55C1F"/>
    <w:rsid w:val="7ED9266F"/>
    <w:rsid w:val="7EEF18BB"/>
    <w:rsid w:val="7F137B72"/>
    <w:rsid w:val="7F376AC4"/>
    <w:rsid w:val="7F811411"/>
    <w:rsid w:val="7F9D30C5"/>
    <w:rsid w:val="7FA628AD"/>
    <w:rsid w:val="7FAC1D62"/>
    <w:rsid w:val="7FC51338"/>
    <w:rsid w:val="7FFB603E"/>
    <w:rsid w:val="7FFF41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qFormat/>
    <w:uiPriority w:val="0"/>
    <w:pPr>
      <w:keepNext/>
      <w:pageBreakBefore/>
      <w:spacing w:before="50" w:beforeLines="50" w:after="50" w:afterLines="50"/>
      <w:jc w:val="center"/>
      <w:outlineLvl w:val="0"/>
    </w:pPr>
    <w:rPr>
      <w:b/>
      <w:kern w:val="44"/>
      <w:sz w:val="44"/>
    </w:rPr>
  </w:style>
  <w:style w:type="paragraph" w:styleId="3">
    <w:name w:val="heading 2"/>
    <w:basedOn w:val="1"/>
    <w:next w:val="1"/>
    <w:link w:val="20"/>
    <w:qFormat/>
    <w:uiPriority w:val="9"/>
    <w:pPr>
      <w:keepNext/>
      <w:keepLines/>
      <w:spacing w:before="260" w:after="260" w:line="416" w:lineRule="auto"/>
      <w:outlineLvl w:val="1"/>
    </w:pPr>
    <w:rPr>
      <w:rFonts w:ascii="Cambria" w:hAnsi="Cambria" w:eastAsia="宋体"/>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31"/>
    <w:qFormat/>
    <w:uiPriority w:val="0"/>
  </w:style>
  <w:style w:type="paragraph" w:styleId="6">
    <w:name w:val="Body Text"/>
    <w:basedOn w:val="1"/>
    <w:semiHidden/>
    <w:qFormat/>
    <w:uiPriority w:val="0"/>
    <w:rPr>
      <w:rFonts w:ascii="宋体" w:hAnsi="宋体" w:eastAsia="宋体" w:cs="宋体"/>
      <w:sz w:val="21"/>
      <w:szCs w:val="21"/>
      <w:lang w:eastAsia="en-US"/>
    </w:rPr>
  </w:style>
  <w:style w:type="paragraph" w:styleId="7">
    <w:name w:val="Balloon Text"/>
    <w:basedOn w:val="1"/>
    <w:link w:val="21"/>
    <w:qFormat/>
    <w:uiPriority w:val="0"/>
    <w:pPr>
      <w:spacing w:after="0"/>
    </w:pPr>
    <w:rPr>
      <w:sz w:val="18"/>
      <w:szCs w:val="18"/>
    </w:rPr>
  </w:style>
  <w:style w:type="paragraph" w:styleId="8">
    <w:name w:val="footer"/>
    <w:basedOn w:val="1"/>
    <w:link w:val="22"/>
    <w:unhideWhenUsed/>
    <w:qFormat/>
    <w:uiPriority w:val="99"/>
    <w:pPr>
      <w:tabs>
        <w:tab w:val="center" w:pos="4153"/>
        <w:tab w:val="right" w:pos="8306"/>
      </w:tabs>
    </w:pPr>
    <w:rPr>
      <w:sz w:val="18"/>
      <w:szCs w:val="18"/>
    </w:rPr>
  </w:style>
  <w:style w:type="paragraph" w:styleId="9">
    <w:name w:val="header"/>
    <w:basedOn w:val="1"/>
    <w:unhideWhenUsed/>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qFormat/>
    <w:uiPriority w:val="0"/>
    <w:pPr>
      <w:spacing w:before="100" w:beforeAutospacing="1" w:after="100" w:afterAutospacing="1"/>
    </w:pPr>
    <w:rPr>
      <w:sz w:val="24"/>
    </w:rPr>
  </w:style>
  <w:style w:type="paragraph" w:styleId="13">
    <w:name w:val="Title"/>
    <w:basedOn w:val="1"/>
    <w:next w:val="1"/>
    <w:qFormat/>
    <w:uiPriority w:val="10"/>
    <w:pPr>
      <w:spacing w:after="0" w:line="360" w:lineRule="auto"/>
      <w:jc w:val="center"/>
      <w:outlineLvl w:val="0"/>
    </w:pPr>
    <w:rPr>
      <w:rFonts w:ascii="Times New Roman" w:hAnsi="Times New Roman" w:eastAsia="仿宋"/>
      <w:b/>
      <w:kern w:val="44"/>
      <w:sz w:val="44"/>
      <w:szCs w:val="28"/>
    </w:rPr>
  </w:style>
  <w:style w:type="character" w:styleId="15">
    <w:name w:val="Strong"/>
    <w:qFormat/>
    <w:uiPriority w:val="22"/>
    <w:rPr>
      <w:b/>
      <w:bCs/>
    </w:rPr>
  </w:style>
  <w:style w:type="character" w:styleId="16">
    <w:name w:val="Hyperlink"/>
    <w:qFormat/>
    <w:uiPriority w:val="99"/>
    <w:rPr>
      <w:color w:val="0000FF"/>
      <w:u w:val="single"/>
    </w:rPr>
  </w:style>
  <w:style w:type="character" w:styleId="17">
    <w:name w:val="annotation reference"/>
    <w:basedOn w:val="14"/>
    <w:unhideWhenUsed/>
    <w:qFormat/>
    <w:uiPriority w:val="99"/>
    <w:rPr>
      <w:sz w:val="21"/>
      <w:szCs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标题 2 字符"/>
    <w:link w:val="3"/>
    <w:qFormat/>
    <w:uiPriority w:val="9"/>
    <w:rPr>
      <w:rFonts w:ascii="Cambria" w:hAnsi="Cambria"/>
      <w:b/>
      <w:bCs/>
      <w:sz w:val="32"/>
      <w:szCs w:val="32"/>
    </w:rPr>
  </w:style>
  <w:style w:type="character" w:customStyle="1" w:styleId="21">
    <w:name w:val="批注框文本 字符"/>
    <w:link w:val="7"/>
    <w:qFormat/>
    <w:uiPriority w:val="0"/>
    <w:rPr>
      <w:rFonts w:ascii="Tahoma" w:hAnsi="Tahoma" w:eastAsia="微软雅黑"/>
      <w:sz w:val="18"/>
      <w:szCs w:val="18"/>
    </w:rPr>
  </w:style>
  <w:style w:type="character" w:customStyle="1" w:styleId="22">
    <w:name w:val="页脚 字符"/>
    <w:link w:val="8"/>
    <w:qFormat/>
    <w:uiPriority w:val="99"/>
    <w:rPr>
      <w:rFonts w:ascii="Tahoma" w:hAnsi="Tahoma" w:eastAsia="微软雅黑"/>
      <w:sz w:val="18"/>
      <w:szCs w:val="18"/>
    </w:rPr>
  </w:style>
  <w:style w:type="paragraph" w:customStyle="1" w:styleId="23">
    <w:name w:val="BodyText1I2"/>
    <w:basedOn w:val="24"/>
    <w:qFormat/>
    <w:uiPriority w:val="0"/>
    <w:pPr>
      <w:ind w:firstLine="420"/>
    </w:pPr>
    <w:rPr>
      <w:rFonts w:ascii="Times New Roman" w:hAnsi="Times New Roman"/>
      <w:szCs w:val="24"/>
    </w:rPr>
  </w:style>
  <w:style w:type="paragraph" w:customStyle="1" w:styleId="24">
    <w:name w:val="BodyTextIndent"/>
    <w:basedOn w:val="1"/>
    <w:qFormat/>
    <w:uiPriority w:val="0"/>
    <w:pPr>
      <w:ind w:firstLine="640"/>
    </w:pPr>
    <w:rPr>
      <w:rFonts w:ascii="宋体"/>
      <w:sz w:val="32"/>
    </w:rPr>
  </w:style>
  <w:style w:type="paragraph" w:customStyle="1" w:styleId="25">
    <w:name w:val="表格"/>
    <w:basedOn w:val="1"/>
    <w:qFormat/>
    <w:uiPriority w:val="0"/>
    <w:pPr>
      <w:jc w:val="center"/>
    </w:pPr>
    <w:rPr>
      <w:sz w:val="21"/>
      <w:szCs w:val="21"/>
    </w:rPr>
  </w:style>
  <w:style w:type="paragraph" w:customStyle="1" w:styleId="26">
    <w:name w:val="w正文"/>
    <w:basedOn w:val="1"/>
    <w:qFormat/>
    <w:uiPriority w:val="0"/>
    <w:pPr>
      <w:widowControl w:val="0"/>
      <w:adjustRightInd/>
      <w:snapToGrid/>
      <w:spacing w:after="0" w:line="360" w:lineRule="auto"/>
      <w:ind w:firstLine="560" w:firstLineChars="200"/>
      <w:jc w:val="both"/>
    </w:pPr>
    <w:rPr>
      <w:rFonts w:ascii="仿宋" w:hAnsi="仿宋" w:eastAsia="仿宋" w:cs="仿宋"/>
      <w:color w:val="000000"/>
      <w:sz w:val="28"/>
      <w:szCs w:val="28"/>
      <w:lang w:val="zh-TW"/>
    </w:rPr>
  </w:style>
  <w:style w:type="paragraph" w:customStyle="1" w:styleId="27">
    <w:name w:val="Table Text"/>
    <w:basedOn w:val="1"/>
    <w:semiHidden/>
    <w:qFormat/>
    <w:uiPriority w:val="0"/>
    <w:rPr>
      <w:rFonts w:ascii="宋体" w:hAnsi="宋体" w:eastAsia="宋体" w:cs="宋体"/>
      <w:sz w:val="18"/>
      <w:szCs w:val="18"/>
      <w:lang w:eastAsia="en-US"/>
    </w:rPr>
  </w:style>
  <w:style w:type="table" w:customStyle="1" w:styleId="28">
    <w:name w:val="Table Normal"/>
    <w:unhideWhenUsed/>
    <w:qFormat/>
    <w:uiPriority w:val="0"/>
    <w:tblPr>
      <w:tblLayout w:type="fixed"/>
      <w:tblCellMar>
        <w:top w:w="0" w:type="dxa"/>
        <w:left w:w="0" w:type="dxa"/>
        <w:bottom w:w="0" w:type="dxa"/>
        <w:right w:w="0" w:type="dxa"/>
      </w:tblCellMar>
    </w:tblPr>
  </w:style>
  <w:style w:type="paragraph" w:customStyle="1" w:styleId="29">
    <w:name w:val="Char"/>
    <w:basedOn w:val="1"/>
    <w:qFormat/>
    <w:uiPriority w:val="0"/>
    <w:pPr>
      <w:widowControl w:val="0"/>
      <w:adjustRightInd/>
      <w:snapToGrid/>
      <w:spacing w:after="0" w:line="360" w:lineRule="auto"/>
      <w:ind w:firstLine="200" w:firstLineChars="200"/>
      <w:jc w:val="both"/>
    </w:pPr>
    <w:rPr>
      <w:rFonts w:ascii="宋体" w:hAnsi="宋体" w:eastAsia="宋体" w:cs="宋体"/>
      <w:kern w:val="2"/>
      <w:sz w:val="24"/>
      <w:szCs w:val="24"/>
    </w:rPr>
  </w:style>
  <w:style w:type="paragraph" w:customStyle="1" w:styleId="30">
    <w:name w:val="修订1"/>
    <w:unhideWhenUsed/>
    <w:qFormat/>
    <w:uiPriority w:val="99"/>
    <w:rPr>
      <w:rFonts w:ascii="Tahoma" w:hAnsi="Tahoma" w:eastAsia="微软雅黑" w:cs="Times New Roman"/>
      <w:sz w:val="22"/>
      <w:szCs w:val="22"/>
      <w:lang w:val="en-US" w:eastAsia="zh-CN" w:bidi="ar-SA"/>
    </w:rPr>
  </w:style>
  <w:style w:type="character" w:customStyle="1" w:styleId="31">
    <w:name w:val="批注文字 字符"/>
    <w:basedOn w:val="14"/>
    <w:link w:val="5"/>
    <w:qFormat/>
    <w:uiPriority w:val="0"/>
    <w:rPr>
      <w:rFonts w:ascii="Tahoma" w:hAnsi="Tahoma" w:eastAsia="微软雅黑"/>
      <w:sz w:val="22"/>
      <w:szCs w:val="22"/>
    </w:rPr>
  </w:style>
  <w:style w:type="paragraph" w:customStyle="1" w:styleId="32">
    <w:name w:val="w4级（一）"/>
    <w:qFormat/>
    <w:uiPriority w:val="0"/>
    <w:pPr>
      <w:widowControl w:val="0"/>
      <w:spacing w:line="560" w:lineRule="exact"/>
      <w:ind w:firstLine="602" w:firstLineChars="200"/>
      <w:jc w:val="both"/>
      <w:outlineLvl w:val="3"/>
    </w:pPr>
    <w:rPr>
      <w:rFonts w:ascii="华文中宋" w:hAnsi="华文中宋" w:eastAsia="楷体_GB2312" w:cs="SimSong Bold"/>
      <w:b/>
      <w:sz w:val="30"/>
      <w:szCs w:val="30"/>
      <w:u w:color="000000"/>
      <w:lang w:val="zh-TW" w:eastAsia="zh-CN" w:bidi="ar-SA"/>
    </w:rPr>
  </w:style>
  <w:style w:type="paragraph" w:customStyle="1" w:styleId="33">
    <w:name w:val="Revision"/>
    <w:hidden/>
    <w:unhideWhenUsed/>
    <w:qFormat/>
    <w:uiPriority w:val="99"/>
    <w:rPr>
      <w:rFonts w:ascii="Tahoma" w:hAnsi="Tahoma" w:eastAsia="微软雅黑" w:cs="Times New Roman"/>
      <w:sz w:val="22"/>
      <w:szCs w:val="22"/>
      <w:lang w:val="en-US" w:eastAsia="zh-CN" w:bidi="ar-SA"/>
    </w:rPr>
  </w:style>
  <w:style w:type="paragraph" w:customStyle="1" w:styleId="34">
    <w:name w:val="w0_1封面_1材料名称"/>
    <w:basedOn w:val="1"/>
    <w:qFormat/>
    <w:uiPriority w:val="0"/>
    <w:pPr>
      <w:widowControl w:val="0"/>
      <w:adjustRightInd/>
      <w:spacing w:before="78" w:beforeLines="25" w:after="0" w:line="360" w:lineRule="auto"/>
      <w:jc w:val="center"/>
      <w:outlineLvl w:val="0"/>
    </w:pPr>
    <w:rPr>
      <w:rFonts w:ascii="Times New Roman" w:hAnsi="Times New Roman" w:eastAsia="华文中宋"/>
      <w:b/>
      <w:bCs/>
      <w:spacing w:val="20"/>
      <w:kern w:val="2"/>
      <w:sz w:val="56"/>
      <w:szCs w:val="52"/>
      <w:u w:color="000000"/>
    </w:rPr>
  </w:style>
  <w:style w:type="paragraph" w:customStyle="1" w:styleId="35">
    <w:name w:val="w0_1封面_2署名与时间"/>
    <w:basedOn w:val="1"/>
    <w:qFormat/>
    <w:uiPriority w:val="0"/>
    <w:pPr>
      <w:widowControl w:val="0"/>
      <w:adjustRightInd/>
      <w:spacing w:after="0" w:line="360" w:lineRule="auto"/>
      <w:jc w:val="center"/>
    </w:pPr>
    <w:rPr>
      <w:rFonts w:ascii="Times New Roman" w:hAnsi="Times New Roman" w:eastAsia="楷体"/>
      <w:b/>
      <w:bCs/>
      <w:kern w:val="2"/>
      <w:sz w:val="36"/>
      <w:szCs w:val="36"/>
      <w:u w:color="000000"/>
      <w:lang w:val="zh-TW" w:eastAsia="zh-TW"/>
    </w:rPr>
  </w:style>
  <w:style w:type="paragraph" w:customStyle="1" w:styleId="36">
    <w:name w:val="w2zhang"/>
    <w:basedOn w:val="1"/>
    <w:qFormat/>
    <w:uiPriority w:val="0"/>
    <w:pPr>
      <w:keepNext/>
      <w:pageBreakBefore/>
      <w:widowControl w:val="0"/>
      <w:adjustRightInd/>
      <w:spacing w:before="468" w:beforeLines="150" w:after="312" w:afterLines="100" w:line="500" w:lineRule="atLeast"/>
      <w:jc w:val="center"/>
      <w:outlineLvl w:val="0"/>
    </w:pPr>
    <w:rPr>
      <w:rFonts w:ascii="华文中宋" w:hAnsi="华文中宋" w:eastAsia="华文中宋"/>
      <w:b/>
      <w:kern w:val="44"/>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44</Pages>
  <Words>3218</Words>
  <Characters>18344</Characters>
  <Lines>152</Lines>
  <Paragraphs>43</Paragraphs>
  <TotalTime>42</TotalTime>
  <ScaleCrop>false</ScaleCrop>
  <LinksUpToDate>false</LinksUpToDate>
  <CharactersWithSpaces>21519</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2024-09-23T06:04:00Z</dcterms:created>
  <dc:creator>DELL</dc:creator>
  <cp:lastModifiedBy>Administrator</cp:lastModifiedBy>
  <cp:lastPrinted>2024-03-29T07:26:00Z</cp:lastPrinted>
  <dcterms:modified xsi:type="dcterms:W3CDTF">2024-09-30T08:00:26Z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357ACF88010043178E6AF7E21219A2F7_13</vt:lpwstr>
  </property>
</Properties>
</file>