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p>
    <w:p>
      <w:pPr>
        <w:rPr>
          <w:sz w:val="36"/>
          <w:szCs w:val="36"/>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门头沟区镇级集中式饮用水水源保护区</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补充划分方案</w:t>
      </w:r>
    </w:p>
    <w:p>
      <w:pPr>
        <w:jc w:val="center"/>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eastAsia="zh-CN"/>
        </w:rPr>
        <w:t>征求意见</w:t>
      </w:r>
      <w:bookmarkStart w:id="2" w:name="_GoBack"/>
      <w:bookmarkEnd w:id="2"/>
      <w:r>
        <w:rPr>
          <w:rFonts w:hint="eastAsia" w:ascii="楷体" w:hAnsi="楷体" w:eastAsia="楷体" w:cs="楷体"/>
          <w:sz w:val="32"/>
          <w:szCs w:val="32"/>
        </w:rPr>
        <w:t>稿）</w:t>
      </w: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黑体" w:eastAsia="黑体"/>
          <w:sz w:val="36"/>
          <w:szCs w:val="36"/>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jc w:val="center"/>
        <w:rPr>
          <w:rFonts w:ascii="仿宋_GB2312" w:hAnsi="仿宋_GB2312" w:eastAsia="仿宋_GB2312" w:cs="仿宋_GB2312"/>
          <w:sz w:val="32"/>
          <w:szCs w:val="32"/>
        </w:rPr>
      </w:pPr>
    </w:p>
    <w:p>
      <w:pPr>
        <w:spacing w:line="560" w:lineRule="exact"/>
        <w:jc w:val="center"/>
        <w:rPr>
          <w:rFonts w:ascii="楷体" w:hAnsi="楷体" w:eastAsia="楷体" w:cs="楷体"/>
          <w:sz w:val="32"/>
          <w:szCs w:val="32"/>
        </w:rPr>
        <w:sectPr>
          <w:headerReference r:id="rId3" w:type="default"/>
          <w:pgSz w:w="11906" w:h="16838"/>
          <w:pgMar w:top="1440" w:right="1800" w:bottom="1440" w:left="1800" w:header="851" w:footer="992" w:gutter="0"/>
          <w:pgNumType w:fmt="numberInDash" w:start="1"/>
          <w:cols w:space="720" w:num="1"/>
          <w:docGrid w:type="lines" w:linePitch="312" w:charSpace="0"/>
        </w:sectPr>
      </w:pPr>
      <w:r>
        <w:rPr>
          <w:rFonts w:hint="eastAsia" w:ascii="楷体" w:hAnsi="楷体" w:eastAsia="楷体" w:cs="楷体"/>
          <w:sz w:val="32"/>
          <w:szCs w:val="32"/>
        </w:rPr>
        <w:t>202</w:t>
      </w:r>
      <w:r>
        <w:rPr>
          <w:rFonts w:ascii="楷体" w:hAnsi="楷体" w:eastAsia="楷体" w:cs="楷体"/>
          <w:sz w:val="32"/>
          <w:szCs w:val="32"/>
        </w:rPr>
        <w:t>4</w:t>
      </w:r>
      <w:r>
        <w:rPr>
          <w:rFonts w:hint="eastAsia" w:ascii="楷体" w:hAnsi="楷体" w:eastAsia="楷体" w:cs="楷体"/>
          <w:sz w:val="32"/>
          <w:szCs w:val="32"/>
        </w:rPr>
        <w:t>年</w:t>
      </w:r>
      <w:r>
        <w:rPr>
          <w:rFonts w:ascii="楷体" w:hAnsi="楷体" w:eastAsia="楷体" w:cs="楷体"/>
          <w:sz w:val="32"/>
          <w:szCs w:val="32"/>
        </w:rPr>
        <w:t>8</w:t>
      </w:r>
      <w:r>
        <w:rPr>
          <w:rFonts w:hint="eastAsia" w:ascii="楷体" w:hAnsi="楷体" w:eastAsia="楷体" w:cs="楷体"/>
          <w:sz w:val="32"/>
          <w:szCs w:val="32"/>
        </w:rPr>
        <w:t>月</w:t>
      </w:r>
    </w:p>
    <w:p>
      <w:pPr>
        <w:keepNext w:val="0"/>
        <w:keepLines w:val="0"/>
        <w:pageBreakBefore w:val="0"/>
        <w:widowControl w:val="0"/>
        <w:kinsoku/>
        <w:wordWrap/>
        <w:overflowPunct/>
        <w:topLinePunct w:val="0"/>
        <w:bidi w:val="0"/>
        <w:snapToGrid/>
        <w:spacing w:line="56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门头沟区镇级集中式饮用水水源保护区</w:t>
      </w:r>
    </w:p>
    <w:p>
      <w:pPr>
        <w:keepNext w:val="0"/>
        <w:keepLines w:val="0"/>
        <w:pageBreakBefore w:val="0"/>
        <w:widowControl w:val="0"/>
        <w:kinsoku/>
        <w:wordWrap/>
        <w:overflowPunct/>
        <w:topLinePunct w:val="0"/>
        <w:bidi w:val="0"/>
        <w:snapToGrid/>
        <w:spacing w:line="560" w:lineRule="exact"/>
        <w:jc w:val="center"/>
        <w:textAlignment w:val="auto"/>
        <w:rPr>
          <w:rFonts w:ascii="方正小标宋简体" w:eastAsia="方正小标宋简体"/>
          <w:sz w:val="44"/>
          <w:szCs w:val="44"/>
        </w:rPr>
      </w:pPr>
      <w:r>
        <w:rPr>
          <w:rFonts w:hint="eastAsia" w:ascii="方正小标宋简体" w:hAnsi="方正小标宋简体" w:eastAsia="方正小标宋简体" w:cs="方正小标宋简体"/>
          <w:sz w:val="44"/>
          <w:szCs w:val="44"/>
        </w:rPr>
        <w:t>补充划分方案</w:t>
      </w:r>
    </w:p>
    <w:p>
      <w:pPr>
        <w:keepNext w:val="0"/>
        <w:keepLines w:val="0"/>
        <w:pageBreakBefore w:val="0"/>
        <w:widowControl w:val="0"/>
        <w:kinsoku/>
        <w:wordWrap/>
        <w:overflowPunct/>
        <w:topLinePunct w:val="0"/>
        <w:bidi w:val="0"/>
        <w:snapToGrid/>
        <w:spacing w:line="560" w:lineRule="exact"/>
        <w:jc w:val="center"/>
        <w:textAlignment w:val="auto"/>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eastAsia="zh-CN"/>
        </w:rPr>
        <w:t>征求意见</w:t>
      </w:r>
      <w:r>
        <w:rPr>
          <w:rFonts w:hint="eastAsia" w:ascii="楷体" w:hAnsi="楷体" w:eastAsia="楷体" w:cs="楷体"/>
          <w:sz w:val="32"/>
          <w:szCs w:val="32"/>
        </w:rPr>
        <w:t>稿）</w:t>
      </w:r>
    </w:p>
    <w:p>
      <w:pPr>
        <w:keepNext w:val="0"/>
        <w:keepLines w:val="0"/>
        <w:pageBreakBefore w:val="0"/>
        <w:widowControl w:val="0"/>
        <w:kinsoku/>
        <w:wordWrap/>
        <w:overflowPunct/>
        <w:topLinePunct w:val="0"/>
        <w:bidi w:val="0"/>
        <w:snapToGrid/>
        <w:spacing w:line="560" w:lineRule="exact"/>
        <w:ind w:firstLine="640" w:firstLineChars="200"/>
        <w:textAlignment w:val="auto"/>
        <w:outlineLvl w:val="0"/>
        <w:rPr>
          <w:rFonts w:ascii="黑体" w:hAnsi="黑体" w:eastAsia="黑体"/>
          <w:sz w:val="32"/>
          <w:szCs w:val="32"/>
        </w:rPr>
      </w:pPr>
      <w:r>
        <w:rPr>
          <w:rFonts w:hint="eastAsia" w:ascii="黑体" w:hAnsi="黑体" w:eastAsia="黑体"/>
          <w:sz w:val="32"/>
          <w:szCs w:val="32"/>
        </w:rPr>
        <w:t>一、工作背景</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eastAsia="仿宋_GB2312"/>
          <w:sz w:val="32"/>
          <w:szCs w:val="32"/>
        </w:rPr>
      </w:pPr>
      <w:r>
        <w:rPr>
          <w:rFonts w:hint="eastAsia" w:ascii="仿宋_GB2312" w:hAnsi="仿宋_GB2312" w:eastAsia="仿宋_GB2312" w:cs="仿宋_GB2312"/>
          <w:sz w:val="32"/>
          <w:szCs w:val="32"/>
        </w:rPr>
        <w:t>为扎实推进饮用水水源地规范化建设，切实保障水源地水质安全，2</w:t>
      </w:r>
      <w:r>
        <w:rPr>
          <w:rFonts w:ascii="仿宋_GB2312" w:hAnsi="仿宋_GB2312" w:eastAsia="仿宋_GB2312" w:cs="仿宋_GB2312"/>
          <w:sz w:val="32"/>
          <w:szCs w:val="32"/>
        </w:rPr>
        <w:t>024</w:t>
      </w:r>
      <w:r>
        <w:rPr>
          <w:rFonts w:hint="eastAsia" w:ascii="仿宋_GB2312" w:hAnsi="仿宋_GB2312" w:eastAsia="仿宋_GB2312" w:cs="仿宋_GB2312"/>
          <w:sz w:val="32"/>
          <w:szCs w:val="32"/>
        </w:rPr>
        <w:t>年7月市生态环境局、市水务局印发</w:t>
      </w:r>
      <w:r>
        <w:rPr>
          <w:rFonts w:hint="eastAsia" w:ascii="仿宋_GB2312" w:eastAsia="仿宋_GB2312"/>
          <w:sz w:val="32"/>
          <w:szCs w:val="32"/>
        </w:rPr>
        <w:t>《关于进一步规范本市饮用水水源保护管理工作的通知》（京环办〔2024〕74号），</w:t>
      </w:r>
      <w:r>
        <w:rPr>
          <w:rFonts w:hint="eastAsia" w:ascii="仿宋_GB2312" w:hAnsi="仿宋_GB2312" w:eastAsia="仿宋_GB2312" w:cs="仿宋_GB2312"/>
          <w:sz w:val="32"/>
          <w:szCs w:val="32"/>
        </w:rPr>
        <w:t>组织各区进一步规范饮用水水源保护管理工作，要求</w:t>
      </w:r>
      <w:r>
        <w:rPr>
          <w:rFonts w:hint="eastAsia" w:ascii="仿宋_GB2312" w:hAnsi="仿宋_GB2312" w:eastAsia="仿宋_GB2312" w:cs="仿宋_GB2312"/>
          <w:kern w:val="0"/>
          <w:sz w:val="32"/>
          <w:szCs w:val="32"/>
          <w:shd w:val="clear" w:color="auto" w:fill="FFFFFF"/>
          <w:lang w:bidi="ar"/>
        </w:rPr>
        <w:t>2024年底前完成区级、乡镇级水源地保护区划定</w:t>
      </w:r>
      <w:r>
        <w:rPr>
          <w:rFonts w:hint="eastAsia" w:ascii="仿宋_GB2312" w:eastAsia="仿宋_GB2312"/>
          <w:sz w:val="32"/>
          <w:szCs w:val="32"/>
        </w:rPr>
        <w:t>。</w:t>
      </w:r>
    </w:p>
    <w:p>
      <w:pPr>
        <w:keepNext w:val="0"/>
        <w:keepLines w:val="0"/>
        <w:pageBreakBefore w:val="0"/>
        <w:widowControl w:val="0"/>
        <w:kinsoku/>
        <w:wordWrap/>
        <w:overflowPunct/>
        <w:topLinePunct w:val="0"/>
        <w:bidi w:val="0"/>
        <w:snapToGrid/>
        <w:spacing w:line="560" w:lineRule="exact"/>
        <w:ind w:firstLine="640" w:firstLineChars="200"/>
        <w:textAlignment w:val="auto"/>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024</w:t>
      </w:r>
      <w:r>
        <w:rPr>
          <w:rFonts w:hint="eastAsia" w:ascii="仿宋_GB2312" w:eastAsia="仿宋_GB2312"/>
          <w:sz w:val="32"/>
          <w:szCs w:val="32"/>
        </w:rPr>
        <w:t>年2月，我区公布了《门头沟区饮用水水源地名录》，包括5个区级、镇级水源地</w:t>
      </w:r>
      <w:r>
        <w:rPr>
          <w:rFonts w:hint="eastAsia" w:ascii="仿宋_GB2312" w:eastAsia="仿宋_GB2312"/>
          <w:sz w:val="32"/>
          <w:szCs w:val="32"/>
          <w:lang w:eastAsia="zh-CN"/>
        </w:rPr>
        <w:t>，分别为城子水厂水源地、斋堂水厂水源地、王平水厂水源地、大台水厂水源地、杨坨水厂水源地</w:t>
      </w:r>
      <w:r>
        <w:rPr>
          <w:rFonts w:hint="eastAsia" w:ascii="仿宋_GB2312" w:eastAsia="仿宋_GB2312"/>
          <w:sz w:val="32"/>
          <w:szCs w:val="32"/>
        </w:rPr>
        <w:t>，其中</w:t>
      </w:r>
      <w:r>
        <w:rPr>
          <w:rFonts w:hint="eastAsia" w:ascii="仿宋_GB2312" w:eastAsia="仿宋_GB2312"/>
          <w:sz w:val="32"/>
          <w:szCs w:val="32"/>
          <w:lang w:eastAsia="zh-CN"/>
        </w:rPr>
        <w:t>：</w:t>
      </w:r>
      <w:r>
        <w:rPr>
          <w:rFonts w:hint="eastAsia" w:ascii="仿宋_GB2312" w:eastAsia="仿宋_GB2312"/>
          <w:sz w:val="32"/>
          <w:szCs w:val="32"/>
        </w:rPr>
        <w:t>大台水厂</w:t>
      </w:r>
      <w:r>
        <w:rPr>
          <w:rFonts w:hint="eastAsia" w:ascii="仿宋_GB2312" w:eastAsia="仿宋_GB2312"/>
          <w:sz w:val="32"/>
          <w:szCs w:val="32"/>
          <w:lang w:eastAsia="zh-CN"/>
        </w:rPr>
        <w:t>水源地</w:t>
      </w:r>
      <w:r>
        <w:rPr>
          <w:rFonts w:hint="eastAsia" w:ascii="仿宋_GB2312" w:eastAsia="仿宋_GB2312"/>
          <w:sz w:val="32"/>
          <w:szCs w:val="32"/>
        </w:rPr>
        <w:t>和杨坨水厂</w:t>
      </w:r>
      <w:r>
        <w:rPr>
          <w:rFonts w:hint="eastAsia" w:ascii="仿宋_GB2312" w:eastAsia="仿宋_GB2312"/>
          <w:sz w:val="32"/>
          <w:szCs w:val="32"/>
          <w:lang w:eastAsia="zh-CN"/>
        </w:rPr>
        <w:t>水源地</w:t>
      </w:r>
      <w:r>
        <w:rPr>
          <w:rFonts w:hint="eastAsia" w:ascii="仿宋_GB2312" w:eastAsia="仿宋_GB2312"/>
          <w:sz w:val="32"/>
          <w:szCs w:val="32"/>
        </w:rPr>
        <w:t>未划定水源地饮用水水源保护区。</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ascii="仿宋_GB2312" w:eastAsia="仿宋_GB2312"/>
          <w:sz w:val="32"/>
          <w:szCs w:val="32"/>
        </w:rPr>
      </w:pPr>
      <w:r>
        <w:rPr>
          <w:rFonts w:hint="eastAsia" w:ascii="仿宋_GB2312" w:eastAsia="仿宋_GB2312"/>
          <w:sz w:val="32"/>
          <w:szCs w:val="32"/>
        </w:rPr>
        <w:t>根据《中华人民共和国水污染防治法》、《北京市水污染防治条例》、《推进美丽北京建设 持续深入打好污染防治攻坚战2024年行动计划》（京政办发〔2024〕4号）和《关于进一步规范本市饮用水水源保护管理工作的通知》（京环办〔2024〕74号）的相关要求，结合供水实际情况，我区开展了大台水厂水源地和杨坨水厂水源地饮用水水源保护区补充划分工作，提出了镇级集中式饮用水水源保护区补充划分方案。</w:t>
      </w:r>
    </w:p>
    <w:p>
      <w:pPr>
        <w:keepNext w:val="0"/>
        <w:keepLines w:val="0"/>
        <w:pageBreakBefore w:val="0"/>
        <w:widowControl w:val="0"/>
        <w:kinsoku/>
        <w:wordWrap/>
        <w:overflowPunct/>
        <w:topLinePunct w:val="0"/>
        <w:bidi w:val="0"/>
        <w:snapToGrid/>
        <w:spacing w:line="560" w:lineRule="exact"/>
        <w:ind w:firstLine="640" w:firstLineChars="200"/>
        <w:textAlignment w:val="auto"/>
        <w:outlineLvl w:val="0"/>
        <w:rPr>
          <w:rFonts w:ascii="黑体" w:hAnsi="黑体" w:eastAsia="黑体"/>
          <w:color w:val="000000"/>
          <w:sz w:val="32"/>
          <w:szCs w:val="32"/>
        </w:rPr>
      </w:pPr>
      <w:r>
        <w:rPr>
          <w:rFonts w:hint="eastAsia" w:ascii="黑体" w:hAnsi="黑体" w:eastAsia="黑体"/>
          <w:color w:val="000000"/>
          <w:sz w:val="32"/>
          <w:szCs w:val="32"/>
        </w:rPr>
        <w:t>二、依据的法律、法规及要求</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b/>
          <w:bCs/>
          <w:sz w:val="32"/>
          <w:szCs w:val="32"/>
        </w:rPr>
      </w:pPr>
      <w:r>
        <w:rPr>
          <w:rFonts w:hint="eastAsia" w:ascii="仿宋_GB2312" w:eastAsia="仿宋_GB2312"/>
          <w:b/>
          <w:bCs/>
          <w:sz w:val="32"/>
          <w:szCs w:val="32"/>
        </w:rPr>
        <w:t>1.《中华人民共和国水污染防治法》第六十三条规定：</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国家建立饮用水水源保护区制度。饮用水水源保护区分为一级保护区和二级保护区；必要时，可以在饮用水水源保护区外围划定一定的区域作为准保护区。</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饮用水水源保护区的规定，由有关市、县人民政府提出划定方案，报省、自治区、直辖市人民政府批准；跨市、县饮用水水源保护区的划定，由有关市、县人民政府协商提出划定方案，报省、自治区、直辖市人民政府批准；协商不成的，由省、自治区、直辖市人民政府环境保护主管部门会同</w:t>
      </w:r>
      <w:r>
        <w:rPr>
          <w:rFonts w:hint="eastAsia" w:ascii="仿宋_GB2312" w:eastAsia="仿宋_GB2312"/>
          <w:spacing w:val="-4"/>
          <w:sz w:val="32"/>
          <w:szCs w:val="32"/>
        </w:rPr>
        <w:t>同级水行政、国土资源、卫生、建设等部门提出划定方案，</w:t>
      </w:r>
      <w:r>
        <w:rPr>
          <w:rFonts w:hint="eastAsia" w:ascii="仿宋_GB2312" w:eastAsia="仿宋_GB2312"/>
          <w:sz w:val="32"/>
          <w:szCs w:val="32"/>
        </w:rPr>
        <w:t>征求同级有关部门的意见后，报省、自治区、直辖市人民政府批准。</w:t>
      </w:r>
    </w:p>
    <w:p>
      <w:pPr>
        <w:keepNext w:val="0"/>
        <w:keepLines w:val="0"/>
        <w:pageBreakBefore w:val="0"/>
        <w:widowControl w:val="0"/>
        <w:kinsoku/>
        <w:wordWrap/>
        <w:overflowPunct/>
        <w:topLinePunct w:val="0"/>
        <w:bidi w:val="0"/>
        <w:snapToGrid/>
        <w:spacing w:line="560" w:lineRule="exact"/>
        <w:ind w:firstLine="656"/>
        <w:textAlignment w:val="auto"/>
        <w:rPr>
          <w:rFonts w:ascii="仿宋_GB2312" w:eastAsia="仿宋_GB2312"/>
          <w:sz w:val="32"/>
          <w:szCs w:val="32"/>
        </w:rPr>
      </w:pPr>
      <w:r>
        <w:rPr>
          <w:rFonts w:hint="eastAsia" w:ascii="仿宋_GB2312" w:eastAsia="仿宋_GB2312"/>
          <w:spacing w:val="4"/>
          <w:sz w:val="32"/>
          <w:szCs w:val="32"/>
        </w:rPr>
        <w:t>跨省、自治区、直辖市的饮用水水源保护区，由有关省、</w:t>
      </w:r>
      <w:r>
        <w:rPr>
          <w:rFonts w:hint="eastAsia" w:ascii="仿宋_GB2312" w:eastAsia="仿宋_GB2312"/>
          <w:sz w:val="32"/>
          <w:szCs w:val="32"/>
        </w:rPr>
        <w:t>自治区、直辖市人民政府协商有关流域管理机构划定；协商不成的，由国务院环境保护主管部门会同同级水行政、国土资源、卫生、建设等部门提出划定方案，征求国务院有关部门的意见后，报国务院批准。</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国务院和省、自治区、直辖市人民政府可以根据保护饮用水水源的实际需要，调整饮用水水源保护区的范围，确保饮用水安全。有关地方人民政府应当在饮用水水源保护区的边界设立明确的地理界标和明显的警示标志。</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b/>
          <w:bCs/>
          <w:sz w:val="32"/>
          <w:szCs w:val="32"/>
        </w:rPr>
      </w:pPr>
      <w:r>
        <w:rPr>
          <w:rFonts w:hint="eastAsia" w:ascii="仿宋_GB2312" w:eastAsia="仿宋_GB2312"/>
          <w:b/>
          <w:bCs/>
          <w:sz w:val="32"/>
          <w:szCs w:val="32"/>
        </w:rPr>
        <w:t>2.《北京市水污染防治条例》第五十六条规定：</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本市实行饮用水水源保护区制度。饮用水水源保护区分为一级保护区和二级保护区；在饮用水水源保护区外围可以划定一定区域作为准保护区。</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跨区供水的饮用水水源保护区和准保护区的划定，由市生态环境部门会同市水务、规划和自然资源、卫生健康、住房和城乡建设、园林绿化等相关部门提出方案，报市人民政府批准。其他饮用水水源保护区和准保护区的划定，由区人民政府提出方案，报市人民政府批准。</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市人民政府可以根据饮用水水源保护的需要，调整饮用水水源保护区和准保护区的范围，确保饮用水安全。</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b/>
          <w:bCs/>
          <w:sz w:val="32"/>
          <w:szCs w:val="32"/>
        </w:rPr>
      </w:pPr>
      <w:r>
        <w:rPr>
          <w:rFonts w:hint="eastAsia" w:ascii="仿宋_GB2312" w:eastAsia="仿宋_GB2312"/>
          <w:b/>
          <w:bCs/>
          <w:sz w:val="32"/>
          <w:szCs w:val="32"/>
        </w:rPr>
        <w:t>3</w:t>
      </w:r>
      <w:r>
        <w:rPr>
          <w:rFonts w:ascii="仿宋_GB2312" w:eastAsia="仿宋_GB2312"/>
          <w:b/>
          <w:bCs/>
          <w:sz w:val="32"/>
          <w:szCs w:val="32"/>
        </w:rPr>
        <w:t>.</w:t>
      </w:r>
      <w:r>
        <w:rPr>
          <w:rFonts w:hint="eastAsia" w:ascii="仿宋_GB2312" w:eastAsia="仿宋_GB2312"/>
          <w:b/>
          <w:bCs/>
          <w:sz w:val="32"/>
          <w:szCs w:val="32"/>
        </w:rPr>
        <w:t>《推进美丽北京建设 持续深入打好污染防治攻坚战2024年行动计划》（京政办发〔2024〕4号）要求：</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结合饮用水水源地名录及区域规划，统筹实施辖区集中式水源地饮用水水源保护区划定调整和分散式水源地饮用水水源保护范围划定，推进完善全覆盖的饮用水水源地保护管理体系。2024年底前完成乡镇级水源地饮用水水源保护区补充划定工作。</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b/>
          <w:bCs/>
          <w:sz w:val="32"/>
          <w:szCs w:val="32"/>
        </w:rPr>
      </w:pPr>
      <w:r>
        <w:rPr>
          <w:rFonts w:ascii="仿宋_GB2312" w:eastAsia="仿宋_GB2312"/>
          <w:b/>
          <w:bCs/>
          <w:sz w:val="32"/>
          <w:szCs w:val="32"/>
        </w:rPr>
        <w:t>4</w:t>
      </w:r>
      <w:r>
        <w:rPr>
          <w:rFonts w:hint="eastAsia" w:ascii="仿宋_GB2312" w:eastAsia="仿宋_GB2312"/>
          <w:b/>
          <w:bCs/>
          <w:sz w:val="32"/>
          <w:szCs w:val="32"/>
        </w:rPr>
        <w:t>.《关于进一步规范本市饮用水水源保护管理工作的通知》（京环办〔2024〕74号）要求：</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各区生态环境、水务部门参照《饮用水水源保护区划分技术规范》（HJ338-2018）、《关于推进乡镇及以下集中式饮用水水源地生态环境保护工作的指导意见》（环水体函〔2019〕92号）以及《分散式饮用水水源地环境保护指南（试行）》（环办〔2010〕132号）等文件要求，共同对名录内水源地开展保护区或保护范围的划定。2024年底前完成区级、乡镇级水源地保护区划定，2025年底前完成名录内所有集中式水源地保护区和分散式水源地保护范围划定。</w:t>
      </w:r>
    </w:p>
    <w:p>
      <w:pPr>
        <w:keepNext w:val="0"/>
        <w:keepLines w:val="0"/>
        <w:pageBreakBefore w:val="0"/>
        <w:widowControl w:val="0"/>
        <w:kinsoku/>
        <w:wordWrap/>
        <w:overflowPunct/>
        <w:topLinePunct w:val="0"/>
        <w:bidi w:val="0"/>
        <w:snapToGrid/>
        <w:spacing w:line="560" w:lineRule="exact"/>
        <w:ind w:firstLine="640" w:firstLineChars="200"/>
        <w:textAlignment w:val="auto"/>
        <w:outlineLvl w:val="0"/>
        <w:rPr>
          <w:rFonts w:ascii="黑体" w:hAnsi="黑体" w:eastAsia="黑体"/>
          <w:sz w:val="32"/>
          <w:szCs w:val="32"/>
        </w:rPr>
      </w:pPr>
      <w:r>
        <w:rPr>
          <w:rFonts w:hint="eastAsia" w:ascii="黑体" w:hAnsi="黑体" w:eastAsia="黑体"/>
          <w:sz w:val="32"/>
          <w:szCs w:val="32"/>
        </w:rPr>
        <w:t>三、饮用水水源保护区划分情况</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eastAsia="仿宋_GB2312"/>
          <w:sz w:val="32"/>
          <w:szCs w:val="32"/>
        </w:rPr>
      </w:pPr>
      <w:r>
        <w:rPr>
          <w:rFonts w:hint="eastAsia" w:ascii="仿宋_GB2312" w:eastAsia="仿宋_GB2312"/>
          <w:sz w:val="32"/>
          <w:szCs w:val="32"/>
        </w:rPr>
        <w:t>根据相关法律、法规和文件要求，我区已于</w:t>
      </w:r>
      <w:r>
        <w:rPr>
          <w:rFonts w:ascii="仿宋_GB2312" w:eastAsia="仿宋_GB2312"/>
          <w:sz w:val="32"/>
          <w:szCs w:val="32"/>
        </w:rPr>
        <w:t>201</w:t>
      </w:r>
      <w:r>
        <w:rPr>
          <w:rFonts w:hint="eastAsia" w:ascii="仿宋_GB2312" w:eastAsia="仿宋_GB2312"/>
          <w:sz w:val="32"/>
          <w:szCs w:val="32"/>
        </w:rPr>
        <w:t>5</w:t>
      </w:r>
      <w:r>
        <w:rPr>
          <w:rFonts w:ascii="仿宋_GB2312" w:eastAsia="仿宋_GB2312"/>
          <w:sz w:val="32"/>
          <w:szCs w:val="32"/>
        </w:rPr>
        <w:t>年</w:t>
      </w:r>
      <w:r>
        <w:rPr>
          <w:rFonts w:hint="eastAsia" w:ascii="仿宋_GB2312" w:eastAsia="仿宋_GB2312"/>
          <w:sz w:val="32"/>
          <w:szCs w:val="32"/>
        </w:rPr>
        <w:t>和202</w:t>
      </w:r>
      <w:r>
        <w:rPr>
          <w:rFonts w:ascii="仿宋_GB2312" w:eastAsia="仿宋_GB2312"/>
          <w:sz w:val="32"/>
          <w:szCs w:val="32"/>
        </w:rPr>
        <w:t>0</w:t>
      </w:r>
      <w:r>
        <w:rPr>
          <w:rFonts w:hint="eastAsia" w:ascii="仿宋_GB2312" w:eastAsia="仿宋_GB2312"/>
          <w:sz w:val="32"/>
          <w:szCs w:val="32"/>
        </w:rPr>
        <w:t>年</w:t>
      </w:r>
      <w:r>
        <w:rPr>
          <w:rFonts w:ascii="仿宋_GB2312" w:eastAsia="仿宋_GB2312"/>
          <w:sz w:val="32"/>
          <w:szCs w:val="32"/>
        </w:rPr>
        <w:t>划定了</w:t>
      </w:r>
      <w:r>
        <w:rPr>
          <w:rFonts w:hint="eastAsia" w:ascii="仿宋_GB2312" w:eastAsia="仿宋_GB2312"/>
          <w:sz w:val="32"/>
          <w:szCs w:val="32"/>
        </w:rPr>
        <w:t>1</w:t>
      </w:r>
      <w:r>
        <w:rPr>
          <w:rFonts w:ascii="仿宋_GB2312" w:eastAsia="仿宋_GB2312"/>
          <w:sz w:val="32"/>
          <w:szCs w:val="32"/>
        </w:rPr>
        <w:t>9</w:t>
      </w:r>
      <w:r>
        <w:rPr>
          <w:rFonts w:hint="eastAsia" w:ascii="仿宋_GB2312" w:eastAsia="仿宋_GB2312"/>
          <w:sz w:val="32"/>
          <w:szCs w:val="32"/>
        </w:rPr>
        <w:t>个</w:t>
      </w:r>
      <w:r>
        <w:rPr>
          <w:rFonts w:ascii="仿宋_GB2312" w:eastAsia="仿宋_GB2312"/>
          <w:sz w:val="32"/>
          <w:szCs w:val="32"/>
        </w:rPr>
        <w:t>集中式</w:t>
      </w:r>
      <w:r>
        <w:rPr>
          <w:rFonts w:hint="eastAsia" w:ascii="仿宋_GB2312" w:eastAsia="仿宋_GB2312"/>
          <w:sz w:val="32"/>
          <w:szCs w:val="32"/>
        </w:rPr>
        <w:t>水源地的</w:t>
      </w:r>
      <w:r>
        <w:rPr>
          <w:rFonts w:ascii="仿宋_GB2312" w:eastAsia="仿宋_GB2312"/>
          <w:sz w:val="32"/>
          <w:szCs w:val="32"/>
        </w:rPr>
        <w:t>饮用水水源保护区范围</w:t>
      </w:r>
      <w:r>
        <w:rPr>
          <w:rFonts w:hint="eastAsia" w:ascii="仿宋_GB2312" w:eastAsia="仿宋_GB2312"/>
          <w:sz w:val="32"/>
          <w:szCs w:val="32"/>
        </w:rPr>
        <w:t>。202</w:t>
      </w:r>
      <w:r>
        <w:rPr>
          <w:rFonts w:ascii="仿宋_GB2312" w:eastAsia="仿宋_GB2312"/>
          <w:sz w:val="32"/>
          <w:szCs w:val="32"/>
        </w:rPr>
        <w:t>4</w:t>
      </w:r>
      <w:r>
        <w:rPr>
          <w:rFonts w:hint="eastAsia" w:ascii="仿宋_GB2312" w:eastAsia="仿宋_GB2312"/>
          <w:sz w:val="32"/>
          <w:szCs w:val="32"/>
        </w:rPr>
        <w:t>年</w:t>
      </w:r>
      <w:r>
        <w:rPr>
          <w:rFonts w:ascii="仿宋_GB2312" w:eastAsia="仿宋_GB2312"/>
          <w:sz w:val="32"/>
          <w:szCs w:val="32"/>
        </w:rPr>
        <w:t>5</w:t>
      </w:r>
      <w:r>
        <w:rPr>
          <w:rFonts w:hint="eastAsia" w:ascii="仿宋_GB2312" w:eastAsia="仿宋_GB2312"/>
          <w:sz w:val="32"/>
          <w:szCs w:val="32"/>
        </w:rPr>
        <w:t>月，我区开展了大台水厂水源地和杨坨水厂水源地饮用水水源保护区补充划分工作，202</w:t>
      </w:r>
      <w:r>
        <w:rPr>
          <w:rFonts w:ascii="仿宋_GB2312" w:eastAsia="仿宋_GB2312"/>
          <w:sz w:val="32"/>
          <w:szCs w:val="32"/>
        </w:rPr>
        <w:t>4</w:t>
      </w:r>
      <w:r>
        <w:rPr>
          <w:rFonts w:hint="eastAsia" w:ascii="仿宋_GB2312" w:eastAsia="仿宋_GB2312"/>
          <w:sz w:val="32"/>
          <w:szCs w:val="32"/>
        </w:rPr>
        <w:t>年</w:t>
      </w:r>
      <w:r>
        <w:rPr>
          <w:rFonts w:ascii="仿宋_GB2312" w:eastAsia="仿宋_GB2312"/>
          <w:sz w:val="32"/>
          <w:szCs w:val="32"/>
        </w:rPr>
        <w:t>8</w:t>
      </w:r>
      <w:r>
        <w:rPr>
          <w:rFonts w:hint="eastAsia" w:ascii="仿宋_GB2312" w:eastAsia="仿宋_GB2312"/>
          <w:sz w:val="32"/>
          <w:szCs w:val="32"/>
        </w:rPr>
        <w:t>月初步划分了大台水厂水源地和杨坨水厂水源地饮用水水源保护区范围。</w:t>
      </w:r>
    </w:p>
    <w:p>
      <w:pPr>
        <w:keepNext w:val="0"/>
        <w:keepLines w:val="0"/>
        <w:pageBreakBefore w:val="0"/>
        <w:widowControl w:val="0"/>
        <w:kinsoku/>
        <w:wordWrap/>
        <w:overflowPunct/>
        <w:topLinePunct w:val="0"/>
        <w:bidi w:val="0"/>
        <w:snapToGrid/>
        <w:spacing w:line="560" w:lineRule="exact"/>
        <w:ind w:firstLine="64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（一）水源地情况</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b/>
          <w:bCs/>
          <w:sz w:val="32"/>
          <w:szCs w:val="32"/>
        </w:rPr>
      </w:pPr>
      <w:r>
        <w:rPr>
          <w:rFonts w:hint="eastAsia" w:ascii="仿宋_GB2312" w:hAnsi="Times New Roman" w:eastAsia="仿宋_GB2312"/>
          <w:b/>
          <w:bCs/>
          <w:sz w:val="32"/>
          <w:szCs w:val="32"/>
        </w:rPr>
        <w:t>1</w:t>
      </w:r>
      <w:r>
        <w:rPr>
          <w:rFonts w:ascii="仿宋_GB2312" w:hAnsi="Times New Roman" w:eastAsia="仿宋_GB2312"/>
          <w:b/>
          <w:bCs/>
          <w:sz w:val="32"/>
          <w:szCs w:val="32"/>
        </w:rPr>
        <w:t>.</w:t>
      </w:r>
      <w:r>
        <w:rPr>
          <w:rFonts w:hint="eastAsia" w:ascii="仿宋_GB2312" w:hAnsi="Times New Roman" w:eastAsia="仿宋_GB2312"/>
          <w:b/>
          <w:bCs/>
          <w:sz w:val="32"/>
          <w:szCs w:val="32"/>
        </w:rPr>
        <w:t>大台水厂水源地</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水源地地理位置：王平镇</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供水范围：桃园社区、大台社区、双红社区、黄土台社区、玉皇庙社区、木城涧社区、千军台社区等。</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大台水厂建成于1980年，现有水源井8眼，位于</w:t>
      </w:r>
      <w:r>
        <w:rPr>
          <w:rFonts w:ascii="仿宋_GB2312" w:hAnsi="Times New Roman" w:eastAsia="仿宋_GB2312"/>
          <w:sz w:val="32"/>
          <w:szCs w:val="32"/>
        </w:rPr>
        <w:t>永定河山峡段河道</w:t>
      </w:r>
      <w:r>
        <w:rPr>
          <w:rFonts w:hint="eastAsia" w:ascii="仿宋_GB2312" w:hAnsi="Times New Roman" w:eastAsia="仿宋_GB2312"/>
          <w:sz w:val="32"/>
          <w:szCs w:val="32"/>
        </w:rPr>
        <w:t>的河漫滩和边滩，</w:t>
      </w:r>
      <w:r>
        <w:rPr>
          <w:rFonts w:ascii="仿宋_GB2312" w:hAnsi="Times New Roman" w:eastAsia="仿宋_GB2312"/>
          <w:sz w:val="32"/>
          <w:szCs w:val="32"/>
        </w:rPr>
        <w:t>水源井井深均为</w:t>
      </w:r>
      <w:r>
        <w:rPr>
          <w:rFonts w:hint="eastAsia" w:ascii="仿宋_GB2312" w:hAnsi="Times New Roman" w:eastAsia="仿宋_GB2312"/>
          <w:sz w:val="32"/>
          <w:szCs w:val="32"/>
        </w:rPr>
        <w:t>40m。水厂设计供水能力250万</w:t>
      </w:r>
      <w:r>
        <w:rPr>
          <w:rFonts w:ascii="仿宋_GB2312" w:hAnsi="Times New Roman" w:eastAsia="仿宋_GB2312"/>
          <w:sz w:val="32"/>
          <w:szCs w:val="32"/>
        </w:rPr>
        <w:t>m</w:t>
      </w:r>
      <w:r>
        <w:rPr>
          <w:rFonts w:ascii="仿宋_GB2312" w:hAnsi="Times New Roman" w:eastAsia="仿宋_GB2312"/>
          <w:sz w:val="32"/>
          <w:szCs w:val="32"/>
          <w:vertAlign w:val="superscript"/>
        </w:rPr>
        <w:t>3</w:t>
      </w:r>
      <w:r>
        <w:rPr>
          <w:rFonts w:ascii="仿宋_GB2312" w:hAnsi="Times New Roman" w:eastAsia="仿宋_GB2312"/>
          <w:sz w:val="32"/>
          <w:szCs w:val="32"/>
        </w:rPr>
        <w:t>/</w:t>
      </w:r>
      <w:r>
        <w:rPr>
          <w:rFonts w:hint="eastAsia" w:ascii="仿宋_GB2312" w:hAnsi="Times New Roman" w:eastAsia="仿宋_GB2312"/>
          <w:sz w:val="32"/>
          <w:szCs w:val="32"/>
        </w:rPr>
        <w:t>a</w:t>
      </w:r>
      <w:r>
        <w:rPr>
          <w:rFonts w:ascii="仿宋_GB2312" w:hAnsi="Times New Roman" w:eastAsia="仿宋_GB2312"/>
          <w:sz w:val="32"/>
          <w:szCs w:val="32"/>
        </w:rPr>
        <w:t>，</w:t>
      </w:r>
      <w:r>
        <w:rPr>
          <w:rFonts w:hint="eastAsia" w:ascii="仿宋_GB2312" w:hAnsi="Times New Roman" w:eastAsia="仿宋_GB2312"/>
          <w:sz w:val="32"/>
          <w:szCs w:val="32"/>
        </w:rPr>
        <w:t>2023年实际供水量</w:t>
      </w:r>
      <w:r>
        <w:rPr>
          <w:rFonts w:ascii="仿宋_GB2312" w:hAnsi="Times New Roman" w:eastAsia="仿宋_GB2312"/>
          <w:sz w:val="32"/>
          <w:szCs w:val="32"/>
        </w:rPr>
        <w:t>169</w:t>
      </w:r>
      <w:r>
        <w:rPr>
          <w:rFonts w:hint="eastAsia" w:ascii="仿宋_GB2312" w:hAnsi="Times New Roman" w:eastAsia="仿宋_GB2312"/>
          <w:sz w:val="32"/>
          <w:szCs w:val="32"/>
        </w:rPr>
        <w:t>.</w:t>
      </w:r>
      <w:r>
        <w:rPr>
          <w:rFonts w:ascii="仿宋_GB2312" w:hAnsi="Times New Roman" w:eastAsia="仿宋_GB2312"/>
          <w:sz w:val="32"/>
          <w:szCs w:val="32"/>
        </w:rPr>
        <w:t>7381</w:t>
      </w:r>
      <w:r>
        <w:rPr>
          <w:rFonts w:hint="eastAsia" w:ascii="仿宋_GB2312" w:hAnsi="Times New Roman" w:eastAsia="仿宋_GB2312"/>
          <w:sz w:val="32"/>
          <w:szCs w:val="32"/>
        </w:rPr>
        <w:t>万</w:t>
      </w:r>
      <w:r>
        <w:rPr>
          <w:rFonts w:ascii="仿宋_GB2312" w:hAnsi="Times New Roman" w:eastAsia="仿宋_GB2312"/>
          <w:sz w:val="32"/>
          <w:szCs w:val="32"/>
        </w:rPr>
        <w:t>m</w:t>
      </w:r>
      <w:r>
        <w:rPr>
          <w:rFonts w:ascii="仿宋_GB2312" w:hAnsi="Times New Roman" w:eastAsia="仿宋_GB2312"/>
          <w:sz w:val="32"/>
          <w:szCs w:val="32"/>
          <w:vertAlign w:val="superscript"/>
        </w:rPr>
        <w:t>3</w:t>
      </w:r>
      <w:r>
        <w:rPr>
          <w:rFonts w:hint="eastAsia" w:ascii="仿宋_GB2312" w:hAnsi="Times New Roman" w:eastAsia="仿宋_GB2312"/>
          <w:sz w:val="32"/>
          <w:szCs w:val="32"/>
        </w:rPr>
        <w:t>，供水人口3365户，服务人口约10000人。大台</w:t>
      </w:r>
      <w:r>
        <w:rPr>
          <w:rFonts w:ascii="仿宋_GB2312" w:hAnsi="Times New Roman" w:eastAsia="仿宋_GB2312"/>
          <w:sz w:val="32"/>
          <w:szCs w:val="32"/>
        </w:rPr>
        <w:t>水厂</w:t>
      </w:r>
      <w:r>
        <w:rPr>
          <w:rFonts w:hint="eastAsia" w:ascii="仿宋_GB2312" w:hAnsi="Times New Roman" w:eastAsia="仿宋_GB2312"/>
          <w:sz w:val="32"/>
          <w:szCs w:val="32"/>
        </w:rPr>
        <w:t>主要开采永定河山峡段河道第四系</w:t>
      </w:r>
      <w:r>
        <w:rPr>
          <w:rFonts w:ascii="仿宋_GB2312" w:hAnsi="Times New Roman" w:eastAsia="仿宋_GB2312"/>
          <w:sz w:val="32"/>
          <w:szCs w:val="32"/>
        </w:rPr>
        <w:t>孔隙水</w:t>
      </w:r>
      <w:r>
        <w:rPr>
          <w:rFonts w:hint="eastAsia" w:ascii="仿宋_GB2312" w:hAnsi="Times New Roman" w:eastAsia="仿宋_GB2312"/>
          <w:sz w:val="32"/>
          <w:szCs w:val="32"/>
        </w:rPr>
        <w:t>，</w:t>
      </w:r>
      <w:r>
        <w:rPr>
          <w:rFonts w:ascii="仿宋_GB2312" w:hAnsi="Times New Roman" w:eastAsia="仿宋_GB2312"/>
          <w:sz w:val="32"/>
          <w:szCs w:val="32"/>
        </w:rPr>
        <w:t>净化和消毒方式为沉淀-二氧化氯消毒</w:t>
      </w:r>
      <w:r>
        <w:rPr>
          <w:rFonts w:hint="eastAsia" w:ascii="仿宋_GB2312" w:hAnsi="Times New Roman" w:eastAsia="仿宋_GB2312"/>
          <w:sz w:val="32"/>
          <w:szCs w:val="32"/>
        </w:rPr>
        <w:t>，有井房、井院等隔离防护设施</w:t>
      </w:r>
      <w:r>
        <w:rPr>
          <w:rFonts w:ascii="仿宋_GB2312" w:hAnsi="Times New Roman" w:eastAsia="仿宋_GB2312"/>
          <w:sz w:val="32"/>
          <w:szCs w:val="32"/>
        </w:rPr>
        <w:t>。</w:t>
      </w:r>
      <w:r>
        <w:rPr>
          <w:rFonts w:hint="eastAsia" w:ascii="仿宋_GB2312" w:hAnsi="Times New Roman" w:eastAsia="仿宋_GB2312"/>
          <w:sz w:val="32"/>
          <w:szCs w:val="32"/>
        </w:rPr>
        <w:t>根据检测结果，源水和末梢水水质达标。</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ascii="仿宋_GB2312" w:hAnsi="Times New Roman" w:eastAsia="仿宋_GB2312"/>
          <w:sz w:val="32"/>
          <w:szCs w:val="32"/>
        </w:rPr>
        <w:t>大台水厂</w:t>
      </w:r>
      <w:r>
        <w:rPr>
          <w:rFonts w:hint="eastAsia" w:ascii="仿宋_GB2312" w:hAnsi="Times New Roman" w:eastAsia="仿宋_GB2312"/>
          <w:sz w:val="32"/>
          <w:szCs w:val="32"/>
        </w:rPr>
        <w:t>水源地位于永定河山峡段饮用水水源保护区范围内；水源地</w:t>
      </w:r>
      <w:r>
        <w:rPr>
          <w:rFonts w:ascii="仿宋_GB2312" w:hAnsi="Times New Roman" w:eastAsia="仿宋_GB2312"/>
          <w:sz w:val="32"/>
          <w:szCs w:val="32"/>
        </w:rPr>
        <w:t>周边</w:t>
      </w:r>
      <w:r>
        <w:rPr>
          <w:rFonts w:hint="eastAsia" w:ascii="仿宋_GB2312" w:hAnsi="Times New Roman" w:eastAsia="仿宋_GB2312"/>
          <w:sz w:val="32"/>
          <w:szCs w:val="32"/>
        </w:rPr>
        <w:t>主要为林地，地表均被植被覆盖，无工业企业等各种类型污染源；</w:t>
      </w:r>
      <w:r>
        <w:rPr>
          <w:rFonts w:ascii="仿宋_GB2312" w:hAnsi="Times New Roman" w:eastAsia="仿宋_GB2312"/>
          <w:sz w:val="32"/>
          <w:szCs w:val="32"/>
        </w:rPr>
        <w:t>补给</w:t>
      </w:r>
      <w:r>
        <w:rPr>
          <w:rFonts w:hint="eastAsia" w:ascii="仿宋_GB2312" w:hAnsi="Times New Roman" w:eastAsia="仿宋_GB2312"/>
          <w:sz w:val="32"/>
          <w:szCs w:val="32"/>
        </w:rPr>
        <w:t>来源的永定河山峡段地表水</w:t>
      </w:r>
      <w:r>
        <w:rPr>
          <w:rFonts w:ascii="仿宋_GB2312" w:hAnsi="Times New Roman" w:eastAsia="仿宋_GB2312"/>
          <w:sz w:val="32"/>
          <w:szCs w:val="32"/>
        </w:rPr>
        <w:t>水质良好</w:t>
      </w:r>
      <w:r>
        <w:rPr>
          <w:rFonts w:hint="eastAsia" w:ascii="仿宋_GB2312" w:hAnsi="Times New Roman" w:eastAsia="仿宋_GB2312"/>
          <w:sz w:val="32"/>
          <w:szCs w:val="32"/>
        </w:rPr>
        <w:t>。</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b/>
          <w:bCs/>
          <w:sz w:val="32"/>
          <w:szCs w:val="32"/>
        </w:rPr>
      </w:pPr>
      <w:r>
        <w:rPr>
          <w:rFonts w:hint="eastAsia" w:ascii="仿宋_GB2312" w:hAnsi="Times New Roman" w:eastAsia="仿宋_GB2312"/>
          <w:b/>
          <w:bCs/>
          <w:sz w:val="32"/>
          <w:szCs w:val="32"/>
        </w:rPr>
        <w:t>2</w:t>
      </w:r>
      <w:r>
        <w:rPr>
          <w:rFonts w:ascii="仿宋_GB2312" w:hAnsi="Times New Roman" w:eastAsia="仿宋_GB2312"/>
          <w:b/>
          <w:bCs/>
          <w:sz w:val="32"/>
          <w:szCs w:val="32"/>
        </w:rPr>
        <w:t>.</w:t>
      </w:r>
      <w:r>
        <w:rPr>
          <w:rFonts w:hint="eastAsia" w:ascii="仿宋_GB2312" w:hAnsi="Times New Roman" w:eastAsia="仿宋_GB2312"/>
          <w:b/>
          <w:bCs/>
          <w:sz w:val="32"/>
          <w:szCs w:val="32"/>
        </w:rPr>
        <w:t>杨坨水厂水源地</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水源地地理位置：军庄镇</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供水范围：杨坨小区、惠通新苑、利丰小区等。</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宋体" w:eastAsia="仿宋_GB2312"/>
          <w:sz w:val="32"/>
          <w:szCs w:val="32"/>
          <w:lang w:val="zh-CN"/>
        </w:rPr>
        <w:t>杨坨水厂建于2000年，现有水源井4眼，位于门头沟军庄镇镇惠通新苑小区，水源井井深150-480m。水厂设计供水能力48万m</w:t>
      </w:r>
      <w:r>
        <w:rPr>
          <w:rFonts w:hint="eastAsia" w:ascii="仿宋_GB2312" w:hAnsi="宋体" w:eastAsia="仿宋_GB2312"/>
          <w:sz w:val="32"/>
          <w:szCs w:val="32"/>
          <w:vertAlign w:val="superscript"/>
          <w:lang w:val="zh-CN"/>
        </w:rPr>
        <w:t>3</w:t>
      </w:r>
      <w:r>
        <w:rPr>
          <w:rFonts w:hint="eastAsia" w:ascii="仿宋_GB2312" w:hAnsi="宋体" w:eastAsia="仿宋_GB2312"/>
          <w:sz w:val="32"/>
          <w:szCs w:val="32"/>
          <w:lang w:val="zh-CN"/>
        </w:rPr>
        <w:t>/a，2023年实际供水量48万m</w:t>
      </w:r>
      <w:r>
        <w:rPr>
          <w:rFonts w:hint="eastAsia" w:ascii="仿宋_GB2312" w:hAnsi="宋体" w:eastAsia="仿宋_GB2312"/>
          <w:sz w:val="32"/>
          <w:szCs w:val="32"/>
          <w:vertAlign w:val="superscript"/>
          <w:lang w:val="zh-CN"/>
        </w:rPr>
        <w:t>3</w:t>
      </w:r>
      <w:r>
        <w:rPr>
          <w:rFonts w:hint="eastAsia" w:ascii="仿宋_GB2312" w:hAnsi="宋体" w:eastAsia="仿宋_GB2312"/>
          <w:sz w:val="32"/>
          <w:szCs w:val="32"/>
          <w:lang w:val="zh-CN"/>
        </w:rPr>
        <w:t>，供水户数3160户，服务人口约9500人。杨坨水厂主要开采奥陶系岩溶裂隙水，净化和消毒方式为沉淀</w:t>
      </w:r>
      <w:r>
        <w:rPr>
          <w:rFonts w:ascii="仿宋_GB2312" w:hAnsi="Times New Roman" w:eastAsia="仿宋_GB2312"/>
          <w:sz w:val="32"/>
          <w:szCs w:val="32"/>
        </w:rPr>
        <w:t>-</w:t>
      </w:r>
      <w:r>
        <w:rPr>
          <w:rFonts w:hint="eastAsia" w:ascii="仿宋_GB2312" w:hAnsi="宋体" w:eastAsia="仿宋_GB2312"/>
          <w:sz w:val="32"/>
          <w:szCs w:val="32"/>
          <w:lang w:val="zh-CN"/>
        </w:rPr>
        <w:t>过滤罐</w:t>
      </w:r>
      <w:r>
        <w:rPr>
          <w:rFonts w:ascii="仿宋_GB2312" w:hAnsi="Times New Roman" w:eastAsia="仿宋_GB2312"/>
          <w:sz w:val="32"/>
          <w:szCs w:val="32"/>
        </w:rPr>
        <w:t>-</w:t>
      </w:r>
      <w:r>
        <w:rPr>
          <w:rFonts w:hint="eastAsia" w:ascii="仿宋_GB2312" w:hAnsi="宋体" w:eastAsia="仿宋_GB2312"/>
          <w:sz w:val="32"/>
          <w:szCs w:val="32"/>
          <w:lang w:val="zh-CN"/>
        </w:rPr>
        <w:t>超滤</w:t>
      </w:r>
      <w:r>
        <w:rPr>
          <w:rFonts w:ascii="仿宋_GB2312" w:hAnsi="Times New Roman" w:eastAsia="仿宋_GB2312"/>
          <w:sz w:val="32"/>
          <w:szCs w:val="32"/>
        </w:rPr>
        <w:t>-</w:t>
      </w:r>
      <w:r>
        <w:rPr>
          <w:rFonts w:hint="eastAsia" w:ascii="仿宋_GB2312" w:hAnsi="宋体" w:eastAsia="仿宋_GB2312"/>
          <w:sz w:val="32"/>
          <w:szCs w:val="32"/>
          <w:lang w:val="zh-CN"/>
        </w:rPr>
        <w:t>二氧化氯消毒，有井房等隔离防护措施</w:t>
      </w:r>
      <w:r>
        <w:rPr>
          <w:rFonts w:hint="eastAsia" w:ascii="仿宋_GB2312" w:hAnsi="Times New Roman" w:eastAsia="仿宋_GB2312"/>
          <w:sz w:val="32"/>
          <w:szCs w:val="32"/>
        </w:rPr>
        <w:t>。根据检测结果，源水和末梢水水质达标。</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宋体" w:eastAsia="仿宋_GB2312"/>
          <w:sz w:val="32"/>
          <w:szCs w:val="32"/>
          <w:lang w:val="zh-CN"/>
        </w:rPr>
      </w:pPr>
      <w:r>
        <w:rPr>
          <w:rFonts w:hint="eastAsia" w:ascii="仿宋_GB2312" w:hAnsi="宋体" w:eastAsia="仿宋_GB2312"/>
          <w:sz w:val="32"/>
          <w:szCs w:val="32"/>
          <w:lang w:val="zh-CN"/>
        </w:rPr>
        <w:t>杨坨水厂水源地风险源集中在地下水流向的下游，主要为居民住宅等生活面源，其生活污水进入军庄镇污水处理厂集中处理，处理后中水主要用于绿化、浇洒道路、灌溉等，不外排；生活垃圾集中收集外运处置。</w:t>
      </w:r>
    </w:p>
    <w:p>
      <w:pPr>
        <w:keepNext w:val="0"/>
        <w:keepLines w:val="0"/>
        <w:pageBreakBefore w:val="0"/>
        <w:widowControl w:val="0"/>
        <w:kinsoku/>
        <w:wordWrap/>
        <w:overflowPunct/>
        <w:topLinePunct w:val="0"/>
        <w:bidi w:val="0"/>
        <w:snapToGrid/>
        <w:spacing w:line="560" w:lineRule="exact"/>
        <w:ind w:firstLine="64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（二）划分技术方法</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ascii="仿宋_GB2312" w:hAnsi="Times New Roman" w:eastAsia="仿宋_GB2312"/>
          <w:sz w:val="32"/>
          <w:szCs w:val="32"/>
        </w:rPr>
        <w:t>根据区域水文地质条件，考虑到井口保护措施、处理设施</w:t>
      </w:r>
      <w:r>
        <w:rPr>
          <w:rFonts w:hint="eastAsia" w:ascii="仿宋_GB2312" w:hAnsi="Times New Roman" w:eastAsia="仿宋_GB2312"/>
          <w:sz w:val="32"/>
          <w:szCs w:val="32"/>
        </w:rPr>
        <w:t>、现有饮用水水源保护区、环境风险</w:t>
      </w:r>
      <w:r>
        <w:rPr>
          <w:rFonts w:ascii="仿宋_GB2312" w:hAnsi="Times New Roman" w:eastAsia="仿宋_GB2312"/>
          <w:sz w:val="32"/>
          <w:szCs w:val="32"/>
        </w:rPr>
        <w:t>等实际情况，结合《关于推进乡镇及以下集中式饮用水水源地生态环境保护工作的指导意见》（环水体函〔2019〕92号）</w:t>
      </w:r>
      <w:r>
        <w:rPr>
          <w:rFonts w:hint="eastAsia" w:ascii="仿宋_GB2312" w:hAnsi="Times New Roman" w:eastAsia="仿宋_GB2312"/>
          <w:sz w:val="32"/>
          <w:szCs w:val="32"/>
        </w:rPr>
        <w:t>中</w:t>
      </w:r>
      <w:r>
        <w:rPr>
          <w:rFonts w:ascii="仿宋_GB2312" w:hAnsi="Times New Roman" w:eastAsia="仿宋_GB2312"/>
          <w:sz w:val="32"/>
          <w:szCs w:val="32"/>
        </w:rPr>
        <w:t>的相关要求</w:t>
      </w:r>
      <w:r>
        <w:rPr>
          <w:rFonts w:hint="eastAsia" w:ascii="仿宋_GB2312" w:hAnsi="Times New Roman" w:eastAsia="仿宋_GB2312"/>
          <w:sz w:val="32"/>
          <w:szCs w:val="32"/>
        </w:rPr>
        <w:t>，划分了大台水厂水源地和杨坨水厂水源地的饮用水水源保护区范围</w:t>
      </w:r>
      <w:r>
        <w:rPr>
          <w:rFonts w:ascii="仿宋_GB2312" w:hAnsi="Times New Roman" w:eastAsia="仿宋_GB2312"/>
          <w:sz w:val="32"/>
          <w:szCs w:val="32"/>
        </w:rPr>
        <w:t>。</w:t>
      </w:r>
    </w:p>
    <w:p>
      <w:pPr>
        <w:keepNext w:val="0"/>
        <w:keepLines w:val="0"/>
        <w:pageBreakBefore w:val="0"/>
        <w:widowControl w:val="0"/>
        <w:kinsoku/>
        <w:wordWrap/>
        <w:overflowPunct/>
        <w:topLinePunct w:val="0"/>
        <w:bidi w:val="0"/>
        <w:snapToGrid/>
        <w:spacing w:line="560" w:lineRule="exact"/>
        <w:ind w:firstLine="64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（三）划分结果</w:t>
      </w:r>
    </w:p>
    <w:p>
      <w:pPr>
        <w:keepNext w:val="0"/>
        <w:keepLines w:val="0"/>
        <w:pageBreakBefore w:val="0"/>
        <w:widowControl w:val="0"/>
        <w:kinsoku/>
        <w:wordWrap/>
        <w:overflowPunct/>
        <w:topLinePunct w:val="0"/>
        <w:bidi w:val="0"/>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大台水厂水源地和杨坨水厂水源地</w:t>
      </w:r>
      <w:r>
        <w:rPr>
          <w:rFonts w:ascii="仿宋_GB2312" w:hAnsi="Times New Roman" w:eastAsia="仿宋_GB2312"/>
          <w:sz w:val="32"/>
          <w:szCs w:val="32"/>
        </w:rPr>
        <w:t>一级保护区</w:t>
      </w:r>
      <w:r>
        <w:rPr>
          <w:rFonts w:hint="eastAsia" w:ascii="仿宋_GB2312" w:hAnsi="Times New Roman" w:eastAsia="仿宋_GB2312"/>
          <w:sz w:val="32"/>
          <w:szCs w:val="32"/>
        </w:rPr>
        <w:t>是</w:t>
      </w:r>
      <w:r>
        <w:rPr>
          <w:rFonts w:ascii="仿宋_GB2312" w:hAnsi="Times New Roman" w:eastAsia="仿宋_GB2312"/>
          <w:sz w:val="32"/>
          <w:szCs w:val="32"/>
        </w:rPr>
        <w:t>以水源井为核心的</w:t>
      </w:r>
      <w:r>
        <w:rPr>
          <w:rFonts w:hint="eastAsia" w:ascii="仿宋_GB2312" w:hAnsi="Times New Roman" w:eastAsia="仿宋_GB2312"/>
          <w:sz w:val="32"/>
          <w:szCs w:val="32"/>
        </w:rPr>
        <w:t>30米范围；不设二级保护区；不设准保护区。饮用水水源保护区范围见表3</w:t>
      </w:r>
      <w:r>
        <w:rPr>
          <w:rFonts w:ascii="仿宋_GB2312" w:hAnsi="Times New Roman" w:eastAsia="仿宋_GB2312"/>
          <w:sz w:val="32"/>
          <w:szCs w:val="32"/>
        </w:rPr>
        <w:t>-1</w:t>
      </w:r>
      <w:r>
        <w:rPr>
          <w:rFonts w:hint="eastAsia" w:ascii="仿宋_GB2312" w:hAnsi="Times New Roman" w:eastAsia="仿宋_GB2312"/>
          <w:sz w:val="32"/>
          <w:szCs w:val="32"/>
        </w:rPr>
        <w:t>和图3</w:t>
      </w:r>
      <w:r>
        <w:rPr>
          <w:rFonts w:ascii="仿宋_GB2312" w:hAnsi="Times New Roman" w:eastAsia="仿宋_GB2312"/>
          <w:sz w:val="32"/>
          <w:szCs w:val="32"/>
        </w:rPr>
        <w:t>-1</w:t>
      </w:r>
      <w:r>
        <w:rPr>
          <w:rFonts w:hint="eastAsia" w:ascii="仿宋_GB2312" w:hAnsi="Times New Roman" w:eastAsia="仿宋_GB2312"/>
          <w:sz w:val="32"/>
          <w:szCs w:val="32"/>
        </w:rPr>
        <w:t>。</w:t>
      </w:r>
    </w:p>
    <w:p>
      <w:pPr>
        <w:spacing w:line="360" w:lineRule="auto"/>
        <w:ind w:firstLine="0" w:firstLineChars="0"/>
        <w:jc w:val="center"/>
        <w:rPr>
          <w:rFonts w:ascii="黑体" w:hAnsi="黑体" w:eastAsia="黑体" w:cs="楷体"/>
          <w:sz w:val="28"/>
          <w:szCs w:val="28"/>
        </w:rPr>
      </w:pPr>
      <w:r>
        <w:rPr>
          <w:rFonts w:hint="eastAsia" w:ascii="黑体" w:hAnsi="黑体" w:eastAsia="黑体" w:cs="楷体"/>
          <w:sz w:val="28"/>
          <w:szCs w:val="28"/>
        </w:rPr>
        <w:t>表</w:t>
      </w:r>
      <w:r>
        <w:rPr>
          <w:rFonts w:ascii="黑体" w:hAnsi="黑体" w:eastAsia="黑体" w:cs="楷体"/>
          <w:sz w:val="28"/>
          <w:szCs w:val="28"/>
        </w:rPr>
        <w:t>3</w:t>
      </w:r>
      <w:r>
        <w:rPr>
          <w:rFonts w:hint="eastAsia" w:ascii="黑体" w:hAnsi="黑体" w:eastAsia="黑体" w:cs="楷体"/>
          <w:sz w:val="28"/>
          <w:szCs w:val="28"/>
        </w:rPr>
        <w:t>-1  门头沟区镇级集中式饮用水水源保护区补充划分范围表</w:t>
      </w:r>
    </w:p>
    <w:tbl>
      <w:tblPr>
        <w:tblStyle w:val="2"/>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699"/>
        <w:gridCol w:w="1331"/>
        <w:gridCol w:w="1327"/>
        <w:gridCol w:w="1622"/>
        <w:gridCol w:w="2212"/>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672" w:type="dxa"/>
            <w:vAlign w:val="center"/>
          </w:tcPr>
          <w:p>
            <w:pPr>
              <w:jc w:val="center"/>
              <w:rPr>
                <w:rFonts w:ascii="黑体" w:hAnsi="黑体" w:eastAsia="黑体"/>
                <w:color w:val="000000"/>
                <w:sz w:val="24"/>
              </w:rPr>
            </w:pPr>
            <w:r>
              <w:rPr>
                <w:rFonts w:ascii="黑体" w:hAnsi="黑体" w:eastAsia="黑体"/>
                <w:color w:val="000000"/>
                <w:sz w:val="24"/>
              </w:rPr>
              <w:t>序号</w:t>
            </w:r>
          </w:p>
        </w:tc>
        <w:tc>
          <w:tcPr>
            <w:tcW w:w="1279" w:type="dxa"/>
            <w:vAlign w:val="center"/>
          </w:tcPr>
          <w:p>
            <w:pPr>
              <w:jc w:val="center"/>
              <w:rPr>
                <w:rFonts w:ascii="黑体" w:hAnsi="黑体" w:eastAsia="黑体"/>
                <w:color w:val="000000"/>
                <w:sz w:val="24"/>
              </w:rPr>
            </w:pPr>
            <w:r>
              <w:rPr>
                <w:rFonts w:ascii="黑体" w:hAnsi="黑体" w:eastAsia="黑体"/>
                <w:color w:val="000000"/>
                <w:sz w:val="24"/>
              </w:rPr>
              <w:t>水源地名称</w:t>
            </w:r>
          </w:p>
        </w:tc>
        <w:tc>
          <w:tcPr>
            <w:tcW w:w="1276" w:type="dxa"/>
            <w:vAlign w:val="center"/>
          </w:tcPr>
          <w:p>
            <w:pPr>
              <w:jc w:val="center"/>
              <w:rPr>
                <w:rFonts w:ascii="黑体" w:hAnsi="黑体" w:eastAsia="黑体"/>
                <w:color w:val="000000"/>
                <w:sz w:val="24"/>
              </w:rPr>
            </w:pPr>
            <w:r>
              <w:rPr>
                <w:rFonts w:ascii="黑体" w:hAnsi="黑体" w:eastAsia="黑体"/>
                <w:color w:val="000000"/>
                <w:sz w:val="24"/>
              </w:rPr>
              <w:t>地理位置</w:t>
            </w:r>
          </w:p>
        </w:tc>
        <w:tc>
          <w:tcPr>
            <w:tcW w:w="1559" w:type="dxa"/>
            <w:shd w:val="clear" w:color="auto" w:fill="auto"/>
            <w:noWrap/>
            <w:vAlign w:val="center"/>
          </w:tcPr>
          <w:p>
            <w:pPr>
              <w:jc w:val="center"/>
              <w:rPr>
                <w:rFonts w:ascii="黑体" w:hAnsi="黑体" w:eastAsia="黑体"/>
                <w:color w:val="000000"/>
                <w:sz w:val="24"/>
              </w:rPr>
            </w:pPr>
            <w:r>
              <w:rPr>
                <w:rFonts w:hint="eastAsia" w:ascii="黑体" w:hAnsi="黑体" w:eastAsia="黑体"/>
                <w:color w:val="000000"/>
                <w:sz w:val="24"/>
              </w:rPr>
              <w:t>一级</w:t>
            </w:r>
            <w:r>
              <w:rPr>
                <w:rFonts w:ascii="黑体" w:hAnsi="黑体" w:eastAsia="黑体"/>
                <w:color w:val="000000"/>
                <w:sz w:val="24"/>
              </w:rPr>
              <w:t>保护区范围</w:t>
            </w:r>
          </w:p>
        </w:tc>
        <w:tc>
          <w:tcPr>
            <w:tcW w:w="2126" w:type="dxa"/>
            <w:vAlign w:val="center"/>
          </w:tcPr>
          <w:p>
            <w:pPr>
              <w:jc w:val="center"/>
              <w:rPr>
                <w:rFonts w:ascii="黑体" w:hAnsi="黑体" w:eastAsia="黑体"/>
                <w:color w:val="000000"/>
                <w:sz w:val="24"/>
              </w:rPr>
            </w:pPr>
            <w:r>
              <w:rPr>
                <w:rFonts w:ascii="黑体" w:hAnsi="黑体" w:eastAsia="黑体"/>
                <w:color w:val="000000"/>
                <w:sz w:val="24"/>
              </w:rPr>
              <w:t>二级保护区范围</w:t>
            </w:r>
            <w:r>
              <w:rPr>
                <w:rFonts w:hint="eastAsia" w:ascii="黑体" w:hAnsi="黑体" w:eastAsia="黑体"/>
                <w:color w:val="000000"/>
                <w:sz w:val="24"/>
              </w:rPr>
              <w:t>（不含一级保护区范围）</w:t>
            </w:r>
          </w:p>
        </w:tc>
        <w:tc>
          <w:tcPr>
            <w:tcW w:w="1845" w:type="dxa"/>
            <w:vAlign w:val="center"/>
          </w:tcPr>
          <w:p>
            <w:pPr>
              <w:jc w:val="center"/>
              <w:rPr>
                <w:rFonts w:ascii="黑体" w:hAnsi="黑体" w:eastAsia="黑体"/>
                <w:color w:val="000000"/>
                <w:sz w:val="24"/>
              </w:rPr>
            </w:pPr>
            <w:r>
              <w:rPr>
                <w:rFonts w:ascii="黑体" w:hAnsi="黑体" w:eastAsia="黑体"/>
                <w:color w:val="000000"/>
                <w:sz w:val="24"/>
              </w:rPr>
              <w:t>准保护区范围</w:t>
            </w:r>
            <w:r>
              <w:rPr>
                <w:rFonts w:hint="eastAsia" w:ascii="黑体" w:hAnsi="黑体" w:eastAsia="黑体"/>
                <w:color w:val="000000"/>
                <w:sz w:val="24"/>
              </w:rPr>
              <w:t>（不含保护区范围）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672" w:type="dxa"/>
            <w:vAlign w:val="center"/>
          </w:tcPr>
          <w:p>
            <w:pPr>
              <w:jc w:val="center"/>
              <w:rPr>
                <w:rFonts w:ascii="仿宋_GB2312" w:eastAsia="仿宋_GB2312"/>
                <w:sz w:val="24"/>
              </w:rPr>
            </w:pPr>
            <w:r>
              <w:rPr>
                <w:rFonts w:hint="eastAsia" w:ascii="仿宋_GB2312" w:eastAsia="仿宋_GB2312"/>
                <w:sz w:val="24"/>
              </w:rPr>
              <w:t>1</w:t>
            </w:r>
          </w:p>
        </w:tc>
        <w:tc>
          <w:tcPr>
            <w:tcW w:w="1279" w:type="dxa"/>
            <w:vAlign w:val="center"/>
          </w:tcPr>
          <w:p>
            <w:pPr>
              <w:jc w:val="center"/>
              <w:rPr>
                <w:rFonts w:ascii="仿宋_GB2312" w:eastAsia="仿宋_GB2312"/>
                <w:sz w:val="24"/>
              </w:rPr>
            </w:pPr>
            <w:r>
              <w:rPr>
                <w:rFonts w:hint="eastAsia" w:ascii="仿宋_GB2312" w:eastAsia="仿宋_GB2312"/>
                <w:sz w:val="24"/>
              </w:rPr>
              <w:t>大台水厂水源地</w:t>
            </w:r>
          </w:p>
        </w:tc>
        <w:tc>
          <w:tcPr>
            <w:tcW w:w="1276" w:type="dxa"/>
            <w:vAlign w:val="center"/>
          </w:tcPr>
          <w:p>
            <w:pPr>
              <w:jc w:val="center"/>
              <w:rPr>
                <w:rFonts w:ascii="仿宋_GB2312" w:eastAsia="仿宋_GB2312"/>
                <w:sz w:val="24"/>
              </w:rPr>
            </w:pPr>
            <w:r>
              <w:rPr>
                <w:rFonts w:hint="eastAsia" w:ascii="仿宋_GB2312" w:eastAsia="仿宋_GB2312"/>
                <w:sz w:val="24"/>
              </w:rPr>
              <w:t>王平镇</w:t>
            </w:r>
          </w:p>
        </w:tc>
        <w:tc>
          <w:tcPr>
            <w:tcW w:w="1559" w:type="dxa"/>
            <w:shd w:val="clear" w:color="auto" w:fill="auto"/>
            <w:vAlign w:val="center"/>
          </w:tcPr>
          <w:p>
            <w:pPr>
              <w:ind w:firstLine="0" w:firstLineChars="0"/>
              <w:jc w:val="center"/>
              <w:rPr>
                <w:rFonts w:ascii="仿宋_GB2312" w:hAnsi="Times New Roman" w:eastAsia="仿宋_GB2312"/>
                <w:kern w:val="0"/>
                <w:sz w:val="24"/>
                <w:szCs w:val="24"/>
                <w:lang w:bidi="en-US"/>
              </w:rPr>
            </w:pPr>
            <w:r>
              <w:rPr>
                <w:rFonts w:hint="eastAsia" w:ascii="仿宋_GB2312" w:hAnsi="Times New Roman" w:eastAsia="仿宋_GB2312"/>
                <w:kern w:val="0"/>
                <w:sz w:val="24"/>
                <w:szCs w:val="24"/>
                <w:lang w:bidi="en-US"/>
              </w:rPr>
              <w:t>以水源井为核心的30米范围。</w:t>
            </w:r>
          </w:p>
        </w:tc>
        <w:tc>
          <w:tcPr>
            <w:tcW w:w="2126" w:type="dxa"/>
            <w:vAlign w:val="center"/>
          </w:tcPr>
          <w:p>
            <w:pPr>
              <w:ind w:firstLine="0" w:firstLineChars="0"/>
              <w:jc w:val="center"/>
              <w:rPr>
                <w:rFonts w:ascii="仿宋_GB2312" w:hAnsi="Times New Roman" w:eastAsia="仿宋_GB2312"/>
                <w:kern w:val="0"/>
                <w:sz w:val="24"/>
                <w:szCs w:val="24"/>
                <w:lang w:bidi="en-US"/>
              </w:rPr>
            </w:pPr>
            <w:r>
              <w:rPr>
                <w:rFonts w:hint="eastAsia" w:ascii="仿宋_GB2312" w:hAnsi="Times New Roman" w:eastAsia="仿宋_GB2312"/>
                <w:kern w:val="0"/>
                <w:sz w:val="24"/>
                <w:szCs w:val="24"/>
                <w:lang w:bidi="en-US"/>
              </w:rPr>
              <w:t>——</w:t>
            </w:r>
          </w:p>
        </w:tc>
        <w:tc>
          <w:tcPr>
            <w:tcW w:w="1845" w:type="dxa"/>
            <w:vAlign w:val="center"/>
          </w:tcPr>
          <w:p>
            <w:pPr>
              <w:ind w:firstLine="0" w:firstLineChars="0"/>
              <w:jc w:val="center"/>
              <w:rPr>
                <w:rFonts w:ascii="仿宋_GB2312" w:hAnsi="Times New Roman" w:eastAsia="仿宋_GB2312"/>
                <w:sz w:val="24"/>
                <w:szCs w:val="24"/>
                <w:lang w:val="da-DK"/>
              </w:rPr>
            </w:pPr>
            <w:r>
              <w:rPr>
                <w:rFonts w:hint="eastAsia" w:ascii="仿宋_GB2312" w:hAnsi="Times New Roman" w:eastAsia="仿宋_GB2312"/>
                <w:kern w:val="0"/>
                <w:sz w:val="24"/>
                <w:szCs w:val="24"/>
                <w:lang w:bidi="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0" w:hRule="atLeast"/>
        </w:trPr>
        <w:tc>
          <w:tcPr>
            <w:tcW w:w="672" w:type="dxa"/>
            <w:vAlign w:val="center"/>
          </w:tcPr>
          <w:p>
            <w:pPr>
              <w:jc w:val="center"/>
              <w:rPr>
                <w:rFonts w:ascii="仿宋_GB2312" w:eastAsia="仿宋_GB2312"/>
                <w:sz w:val="24"/>
              </w:rPr>
            </w:pPr>
            <w:r>
              <w:rPr>
                <w:rFonts w:hint="eastAsia" w:ascii="仿宋_GB2312" w:eastAsia="仿宋_GB2312"/>
                <w:sz w:val="24"/>
              </w:rPr>
              <w:t>2</w:t>
            </w:r>
          </w:p>
        </w:tc>
        <w:tc>
          <w:tcPr>
            <w:tcW w:w="1279" w:type="dxa"/>
            <w:vAlign w:val="center"/>
          </w:tcPr>
          <w:p>
            <w:pPr>
              <w:jc w:val="center"/>
              <w:rPr>
                <w:rFonts w:ascii="仿宋_GB2312" w:eastAsia="仿宋_GB2312"/>
                <w:sz w:val="24"/>
              </w:rPr>
            </w:pPr>
            <w:r>
              <w:rPr>
                <w:rFonts w:hint="eastAsia" w:ascii="仿宋_GB2312" w:eastAsia="仿宋_GB2312"/>
                <w:sz w:val="24"/>
              </w:rPr>
              <w:t>杨坨水厂水源地</w:t>
            </w:r>
          </w:p>
        </w:tc>
        <w:tc>
          <w:tcPr>
            <w:tcW w:w="1276" w:type="dxa"/>
            <w:vAlign w:val="center"/>
          </w:tcPr>
          <w:p>
            <w:pPr>
              <w:jc w:val="center"/>
              <w:rPr>
                <w:rFonts w:ascii="仿宋_GB2312" w:eastAsia="仿宋_GB2312"/>
                <w:sz w:val="24"/>
              </w:rPr>
            </w:pPr>
            <w:r>
              <w:rPr>
                <w:rFonts w:hint="eastAsia" w:ascii="仿宋_GB2312" w:eastAsia="仿宋_GB2312"/>
                <w:sz w:val="24"/>
              </w:rPr>
              <w:t>军庄镇</w:t>
            </w:r>
          </w:p>
        </w:tc>
        <w:tc>
          <w:tcPr>
            <w:tcW w:w="1559" w:type="dxa"/>
            <w:shd w:val="clear" w:color="auto" w:fill="auto"/>
            <w:vAlign w:val="center"/>
          </w:tcPr>
          <w:p>
            <w:pPr>
              <w:ind w:firstLine="0" w:firstLineChars="0"/>
              <w:jc w:val="center"/>
              <w:rPr>
                <w:rFonts w:ascii="仿宋_GB2312" w:hAnsi="Times New Roman" w:eastAsia="仿宋_GB2312"/>
                <w:kern w:val="0"/>
                <w:sz w:val="24"/>
                <w:szCs w:val="24"/>
                <w:lang w:bidi="en-US"/>
              </w:rPr>
            </w:pPr>
            <w:r>
              <w:rPr>
                <w:rFonts w:hint="eastAsia" w:ascii="仿宋_GB2312" w:hAnsi="Times New Roman" w:eastAsia="仿宋_GB2312"/>
                <w:kern w:val="0"/>
                <w:sz w:val="24"/>
                <w:szCs w:val="24"/>
                <w:lang w:bidi="en-US"/>
              </w:rPr>
              <w:t>以水源井为核心的30米范围。</w:t>
            </w:r>
          </w:p>
        </w:tc>
        <w:tc>
          <w:tcPr>
            <w:tcW w:w="2126" w:type="dxa"/>
            <w:vAlign w:val="center"/>
          </w:tcPr>
          <w:p>
            <w:pPr>
              <w:ind w:firstLine="0" w:firstLineChars="0"/>
              <w:jc w:val="center"/>
              <w:rPr>
                <w:rFonts w:ascii="仿宋_GB2312" w:hAnsi="Times New Roman" w:eastAsia="仿宋_GB2312"/>
                <w:kern w:val="0"/>
                <w:sz w:val="24"/>
                <w:szCs w:val="24"/>
                <w:lang w:bidi="en-US"/>
              </w:rPr>
            </w:pPr>
            <w:r>
              <w:rPr>
                <w:rFonts w:hint="eastAsia" w:ascii="仿宋_GB2312" w:hAnsi="Times New Roman" w:eastAsia="仿宋_GB2312"/>
                <w:kern w:val="0"/>
                <w:sz w:val="24"/>
                <w:szCs w:val="24"/>
                <w:lang w:bidi="en-US"/>
              </w:rPr>
              <w:t>——</w:t>
            </w:r>
          </w:p>
        </w:tc>
        <w:tc>
          <w:tcPr>
            <w:tcW w:w="1845" w:type="dxa"/>
            <w:vAlign w:val="center"/>
          </w:tcPr>
          <w:p>
            <w:pPr>
              <w:ind w:firstLine="0" w:firstLineChars="0"/>
              <w:jc w:val="center"/>
              <w:rPr>
                <w:rFonts w:ascii="仿宋_GB2312" w:hAnsi="Times New Roman" w:eastAsia="仿宋_GB2312"/>
                <w:sz w:val="24"/>
                <w:szCs w:val="24"/>
                <w:lang w:val="da-DK"/>
              </w:rPr>
            </w:pPr>
            <w:r>
              <w:rPr>
                <w:rFonts w:hint="eastAsia" w:ascii="仿宋_GB2312" w:hAnsi="Times New Roman" w:eastAsia="仿宋_GB2312"/>
                <w:kern w:val="0"/>
                <w:sz w:val="24"/>
                <w:szCs w:val="24"/>
                <w:lang w:bidi="en-US"/>
              </w:rPr>
              <w:t>——</w:t>
            </w:r>
          </w:p>
        </w:tc>
      </w:tr>
    </w:tbl>
    <w:p>
      <w:pPr>
        <w:spacing w:line="360" w:lineRule="auto"/>
        <w:ind w:firstLine="0" w:firstLineChars="0"/>
        <w:rPr>
          <w:rFonts w:ascii="仿宋_GB2312" w:hAnsi="黑体" w:eastAsia="仿宋_GB2312"/>
          <w:sz w:val="32"/>
          <w:szCs w:val="32"/>
        </w:rPr>
      </w:pPr>
      <w:r>
        <w:rPr>
          <w:rFonts w:ascii="Times New Roman" w:hAnsi="Times New Roman"/>
        </w:rPr>
        <w:drawing>
          <wp:inline distT="0" distB="0" distL="0" distR="0">
            <wp:extent cx="5274310" cy="3728085"/>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cstate="print">
                      <a:extLst>
                        <a:ext uri="{28A0092B-C50C-407E-A947-70E740481C1C}">
                          <a14:useLocalDpi xmlns:a14="http://schemas.microsoft.com/office/drawing/2010/main" val="false"/>
                        </a:ext>
                      </a:extLst>
                    </a:blip>
                    <a:stretch>
                      <a:fillRect/>
                    </a:stretch>
                  </pic:blipFill>
                  <pic:spPr>
                    <a:xfrm>
                      <a:off x="0" y="0"/>
                      <a:ext cx="5274310" cy="3728512"/>
                    </a:xfrm>
                    <a:prstGeom prst="rect">
                      <a:avLst/>
                    </a:prstGeom>
                  </pic:spPr>
                </pic:pic>
              </a:graphicData>
            </a:graphic>
          </wp:inline>
        </w:drawing>
      </w:r>
    </w:p>
    <w:p>
      <w:pPr>
        <w:spacing w:line="360" w:lineRule="auto"/>
        <w:ind w:firstLine="0" w:firstLineChars="0"/>
        <w:jc w:val="center"/>
        <w:rPr>
          <w:rFonts w:ascii="黑体" w:hAnsi="黑体" w:eastAsia="黑体" w:cs="楷体"/>
          <w:sz w:val="28"/>
          <w:szCs w:val="28"/>
        </w:rPr>
      </w:pPr>
      <w:r>
        <w:rPr>
          <w:rFonts w:hint="eastAsia" w:ascii="黑体" w:hAnsi="黑体" w:eastAsia="黑体" w:cs="楷体"/>
          <w:sz w:val="28"/>
          <w:szCs w:val="28"/>
        </w:rPr>
        <w:t>图</w:t>
      </w:r>
      <w:r>
        <w:rPr>
          <w:rFonts w:ascii="黑体" w:hAnsi="黑体" w:eastAsia="黑体" w:cs="楷体"/>
          <w:sz w:val="28"/>
          <w:szCs w:val="28"/>
        </w:rPr>
        <w:t>3</w:t>
      </w:r>
      <w:r>
        <w:rPr>
          <w:rFonts w:hint="eastAsia" w:ascii="黑体" w:hAnsi="黑体" w:eastAsia="黑体" w:cs="楷体"/>
          <w:sz w:val="28"/>
          <w:szCs w:val="28"/>
        </w:rPr>
        <w:t>-1   门头沟区镇级集中式饮用水水源保护区补充划分范围图</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outlineLvl w:val="0"/>
        <w:rPr>
          <w:rFonts w:ascii="黑体" w:hAnsi="黑体" w:eastAsia="黑体"/>
          <w:sz w:val="32"/>
          <w:szCs w:val="32"/>
        </w:rPr>
      </w:pPr>
      <w:r>
        <w:rPr>
          <w:rFonts w:hint="eastAsia" w:ascii="黑体" w:hAnsi="黑体" w:eastAsia="黑体"/>
          <w:sz w:val="32"/>
          <w:szCs w:val="32"/>
        </w:rPr>
        <w:t>四</w:t>
      </w:r>
      <w:r>
        <w:rPr>
          <w:rFonts w:ascii="黑体" w:hAnsi="黑体" w:eastAsia="黑体"/>
          <w:sz w:val="32"/>
          <w:szCs w:val="32"/>
        </w:rPr>
        <w:t>、</w:t>
      </w:r>
      <w:bookmarkStart w:id="0" w:name="_Toc48546278"/>
      <w:r>
        <w:rPr>
          <w:rFonts w:ascii="黑体" w:hAnsi="黑体" w:eastAsia="黑体"/>
          <w:sz w:val="32"/>
          <w:szCs w:val="32"/>
        </w:rPr>
        <w:t>饮用水水源保护区</w:t>
      </w:r>
      <w:r>
        <w:rPr>
          <w:rFonts w:hint="eastAsia" w:ascii="黑体" w:hAnsi="黑体" w:eastAsia="黑体"/>
          <w:sz w:val="32"/>
          <w:szCs w:val="32"/>
        </w:rPr>
        <w:t>环境问题及清理整治</w:t>
      </w:r>
      <w:bookmarkEnd w:id="0"/>
      <w:r>
        <w:rPr>
          <w:rFonts w:hint="eastAsia" w:ascii="黑体" w:hAnsi="黑体" w:eastAsia="黑体"/>
          <w:sz w:val="32"/>
          <w:szCs w:val="32"/>
        </w:rPr>
        <w:t>建议</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（一）饮用水水源保护区内环境问题</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仿宋_GB2312" w:hAnsi="黑体" w:eastAsia="仿宋_GB2312"/>
          <w:sz w:val="32"/>
          <w:szCs w:val="32"/>
        </w:rPr>
      </w:pPr>
      <w:bookmarkStart w:id="1" w:name="_Hlk56159359"/>
      <w:r>
        <w:rPr>
          <w:rFonts w:hint="eastAsia" w:ascii="仿宋_GB2312" w:hAnsi="黑体" w:eastAsia="仿宋_GB2312"/>
          <w:sz w:val="32"/>
          <w:szCs w:val="32"/>
        </w:rPr>
        <w:t>经初步排查，大台水厂饮用水水源保护区内现状为林地和水厂用房，无风险源；杨坨水厂饮用水水源保护区内风险源主要为居民住宅，见图</w:t>
      </w:r>
      <w:r>
        <w:rPr>
          <w:rFonts w:ascii="仿宋_GB2312" w:hAnsi="黑体" w:eastAsia="仿宋_GB2312"/>
          <w:sz w:val="32"/>
          <w:szCs w:val="32"/>
        </w:rPr>
        <w:t>4</w:t>
      </w:r>
      <w:r>
        <w:rPr>
          <w:rFonts w:hint="eastAsia" w:ascii="仿宋_GB2312" w:hAnsi="黑体" w:eastAsia="仿宋_GB2312"/>
          <w:sz w:val="32"/>
          <w:szCs w:val="32"/>
        </w:rPr>
        <w:t>-1、</w:t>
      </w:r>
      <w:r>
        <w:rPr>
          <w:rFonts w:ascii="仿宋_GB2312" w:hAnsi="黑体" w:eastAsia="仿宋_GB2312"/>
          <w:sz w:val="32"/>
          <w:szCs w:val="32"/>
        </w:rPr>
        <w:t>4</w:t>
      </w:r>
      <w:r>
        <w:rPr>
          <w:rFonts w:hint="eastAsia" w:ascii="仿宋_GB2312" w:hAnsi="黑体" w:eastAsia="仿宋_GB2312"/>
          <w:sz w:val="32"/>
          <w:szCs w:val="32"/>
        </w:rPr>
        <w:t>-</w:t>
      </w:r>
      <w:r>
        <w:rPr>
          <w:rFonts w:ascii="仿宋_GB2312" w:hAnsi="黑体" w:eastAsia="仿宋_GB2312"/>
          <w:sz w:val="32"/>
          <w:szCs w:val="32"/>
        </w:rPr>
        <w:t>2</w:t>
      </w:r>
      <w:r>
        <w:rPr>
          <w:rFonts w:hint="eastAsia" w:ascii="仿宋_GB2312" w:hAnsi="黑体"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1"/>
        <w:textAlignment w:val="auto"/>
        <w:rPr>
          <w:rFonts w:hint="eastAsia" w:ascii="仿宋_GB2312" w:hAnsi="黑体" w:eastAsia="仿宋_GB2312"/>
          <w:sz w:val="32"/>
          <w:szCs w:val="32"/>
        </w:rPr>
      </w:pPr>
    </w:p>
    <w:p>
      <w:pPr>
        <w:spacing w:line="360" w:lineRule="auto"/>
        <w:ind w:firstLine="0" w:firstLineChars="0"/>
        <w:rPr>
          <w:rFonts w:ascii="仿宋_GB2312" w:hAnsi="黑体" w:eastAsia="仿宋_GB2312"/>
          <w:sz w:val="32"/>
          <w:szCs w:val="32"/>
        </w:rPr>
      </w:pPr>
      <w:r>
        <w:rPr>
          <w:rFonts w:ascii="仿宋_GB2312" w:hAnsi="黑体" w:eastAsia="仿宋_GB2312"/>
          <w:sz w:val="32"/>
          <w:szCs w:val="32"/>
        </w:rPr>
        <w:drawing>
          <wp:inline distT="0" distB="0" distL="0" distR="0">
            <wp:extent cx="5666740" cy="4006215"/>
            <wp:effectExtent l="0" t="0" r="10160" b="1333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666740" cy="4006215"/>
                    </a:xfrm>
                    <a:prstGeom prst="rect">
                      <a:avLst/>
                    </a:prstGeom>
                  </pic:spPr>
                </pic:pic>
              </a:graphicData>
            </a:graphic>
          </wp:inline>
        </w:drawing>
      </w:r>
    </w:p>
    <w:p>
      <w:pPr>
        <w:spacing w:line="360" w:lineRule="auto"/>
        <w:ind w:firstLine="0" w:firstLineChars="0"/>
        <w:jc w:val="center"/>
        <w:rPr>
          <w:rFonts w:hint="eastAsia" w:ascii="黑体" w:hAnsi="黑体" w:eastAsia="黑体"/>
          <w:sz w:val="28"/>
          <w:szCs w:val="28"/>
        </w:rPr>
      </w:pPr>
      <w:r>
        <w:rPr>
          <w:rFonts w:hint="eastAsia" w:ascii="黑体" w:hAnsi="黑体" w:eastAsia="黑体"/>
          <w:sz w:val="28"/>
          <w:szCs w:val="28"/>
        </w:rPr>
        <w:t>图</w:t>
      </w:r>
      <w:r>
        <w:rPr>
          <w:rFonts w:ascii="黑体" w:hAnsi="黑体" w:eastAsia="黑体"/>
          <w:sz w:val="28"/>
          <w:szCs w:val="28"/>
        </w:rPr>
        <w:t>4</w:t>
      </w:r>
      <w:r>
        <w:rPr>
          <w:rFonts w:hint="eastAsia" w:ascii="黑体" w:hAnsi="黑体" w:eastAsia="黑体"/>
          <w:sz w:val="28"/>
          <w:szCs w:val="28"/>
        </w:rPr>
        <w:t>-1  大台水厂水源地饮用水水源保护区范围内环境现状</w:t>
      </w:r>
    </w:p>
    <w:p>
      <w:pPr>
        <w:spacing w:line="360" w:lineRule="auto"/>
        <w:ind w:firstLine="0" w:firstLineChars="0"/>
        <w:jc w:val="both"/>
        <w:rPr>
          <w:rFonts w:ascii="黑体" w:hAnsi="黑体" w:eastAsia="黑体"/>
          <w:sz w:val="28"/>
          <w:szCs w:val="28"/>
        </w:rPr>
      </w:pPr>
      <w:r>
        <w:rPr>
          <w:rFonts w:ascii="Times New Roman"/>
        </w:rPr>
        <w:drawing>
          <wp:inline distT="0" distB="0" distL="0" distR="0">
            <wp:extent cx="5690235" cy="4022090"/>
            <wp:effectExtent l="0" t="0" r="5715" b="16510"/>
            <wp:docPr id="58" name="图片 57" descr="杨坨水厂水源保护区及风险源.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7" descr="杨坨水厂水源保护区及风险源.jpg"/>
                    <pic:cNvPicPr>
                      <a:picLocks noChangeAspect="true"/>
                    </pic:cNvPicPr>
                  </pic:nvPicPr>
                  <pic:blipFill>
                    <a:blip r:embed="rId8"/>
                    <a:stretch>
                      <a:fillRect/>
                    </a:stretch>
                  </pic:blipFill>
                  <pic:spPr>
                    <a:xfrm>
                      <a:off x="0" y="0"/>
                      <a:ext cx="5690235" cy="4022090"/>
                    </a:xfrm>
                    <a:prstGeom prst="rect">
                      <a:avLst/>
                    </a:prstGeom>
                  </pic:spPr>
                </pic:pic>
              </a:graphicData>
            </a:graphic>
          </wp:inline>
        </w:drawing>
      </w:r>
    </w:p>
    <w:p>
      <w:pPr>
        <w:spacing w:line="360" w:lineRule="auto"/>
        <w:ind w:firstLine="0" w:firstLineChars="0"/>
        <w:jc w:val="center"/>
        <w:rPr>
          <w:rFonts w:ascii="黑体" w:hAnsi="黑体" w:eastAsia="黑体"/>
          <w:sz w:val="28"/>
          <w:szCs w:val="28"/>
        </w:rPr>
      </w:pPr>
      <w:r>
        <w:rPr>
          <w:rFonts w:hint="eastAsia" w:ascii="黑体" w:hAnsi="黑体" w:eastAsia="黑体"/>
          <w:sz w:val="28"/>
          <w:szCs w:val="28"/>
        </w:rPr>
        <w:t>图</w:t>
      </w:r>
      <w:r>
        <w:rPr>
          <w:rFonts w:ascii="黑体" w:hAnsi="黑体" w:eastAsia="黑体"/>
          <w:sz w:val="28"/>
          <w:szCs w:val="28"/>
        </w:rPr>
        <w:t>4</w:t>
      </w:r>
      <w:r>
        <w:rPr>
          <w:rFonts w:hint="eastAsia" w:ascii="黑体" w:hAnsi="黑体" w:eastAsia="黑体"/>
          <w:sz w:val="28"/>
          <w:szCs w:val="28"/>
        </w:rPr>
        <w:t>-</w:t>
      </w:r>
      <w:r>
        <w:rPr>
          <w:rFonts w:ascii="黑体" w:hAnsi="黑体" w:eastAsia="黑体"/>
          <w:sz w:val="28"/>
          <w:szCs w:val="28"/>
        </w:rPr>
        <w:t>2</w:t>
      </w:r>
      <w:r>
        <w:rPr>
          <w:rFonts w:hint="eastAsia" w:ascii="黑体" w:hAnsi="黑体" w:eastAsia="黑体"/>
          <w:sz w:val="28"/>
          <w:szCs w:val="28"/>
        </w:rPr>
        <w:t xml:space="preserve">  杨坨水厂水源地饮用水水源保护区范围内风险源</w:t>
      </w:r>
    </w:p>
    <w:bookmarkEnd w:id="1"/>
    <w:p>
      <w:pPr>
        <w:keepNext w:val="0"/>
        <w:keepLines w:val="0"/>
        <w:pageBreakBefore w:val="0"/>
        <w:widowControl w:val="0"/>
        <w:kinsoku/>
        <w:wordWrap/>
        <w:overflowPunct/>
        <w:topLinePunct w:val="0"/>
        <w:bidi w:val="0"/>
        <w:snapToGrid/>
        <w:spacing w:line="560" w:lineRule="exact"/>
        <w:ind w:firstLine="64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（二）清理整治建议</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_GB2312" w:hAnsi="黑体" w:eastAsia="仿宋_GB2312"/>
          <w:sz w:val="32"/>
          <w:szCs w:val="32"/>
        </w:rPr>
      </w:pPr>
      <w:r>
        <w:rPr>
          <w:rFonts w:hint="eastAsia" w:ascii="仿宋_GB2312" w:hAnsi="黑体" w:eastAsia="仿宋_GB2312"/>
          <w:sz w:val="32"/>
          <w:szCs w:val="32"/>
        </w:rPr>
        <w:t>按照《中华人民共和国水污染防治法》和《北京市水污染防治条例》中相关条款，结合《关于答复全国集中式饮用水水源地环境保护专项行动有关问题的函》（环办环监函〔2018〕767号文）等文件要求，对饮用水水源保护区内的环境问题提出整治建议，见表</w:t>
      </w:r>
      <w:r>
        <w:rPr>
          <w:rFonts w:ascii="仿宋_GB2312" w:hAnsi="黑体" w:eastAsia="仿宋_GB2312"/>
          <w:sz w:val="32"/>
          <w:szCs w:val="32"/>
        </w:rPr>
        <w:t>4</w:t>
      </w:r>
      <w:r>
        <w:rPr>
          <w:rFonts w:hint="eastAsia" w:ascii="仿宋_GB2312" w:hAnsi="黑体" w:eastAsia="仿宋_GB2312"/>
          <w:sz w:val="32"/>
          <w:szCs w:val="32"/>
        </w:rPr>
        <w:t>-1。</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_GB2312" w:hAnsi="黑体" w:eastAsia="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_GB2312" w:hAnsi="黑体" w:eastAsia="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_GB2312" w:hAnsi="黑体" w:eastAsia="仿宋_GB2312"/>
          <w:sz w:val="32"/>
          <w:szCs w:val="32"/>
        </w:rPr>
      </w:pP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jc w:val="left"/>
        <w:textAlignment w:val="auto"/>
        <w:rPr>
          <w:rFonts w:hint="eastAsia" w:ascii="仿宋_GB2312" w:hAnsi="黑体" w:eastAsia="仿宋_GB2312"/>
          <w:sz w:val="32"/>
          <w:szCs w:val="32"/>
        </w:rPr>
      </w:pPr>
    </w:p>
    <w:p>
      <w:pPr>
        <w:spacing w:line="360" w:lineRule="auto"/>
        <w:jc w:val="center"/>
        <w:rPr>
          <w:rFonts w:ascii="黑体" w:eastAsia="黑体"/>
          <w:sz w:val="28"/>
          <w:szCs w:val="28"/>
        </w:rPr>
      </w:pPr>
      <w:r>
        <w:rPr>
          <w:rFonts w:hint="eastAsia" w:ascii="黑体" w:eastAsia="黑体"/>
          <w:sz w:val="28"/>
          <w:szCs w:val="28"/>
        </w:rPr>
        <w:t>表</w:t>
      </w:r>
      <w:r>
        <w:rPr>
          <w:rFonts w:ascii="黑体" w:eastAsia="黑体"/>
          <w:sz w:val="28"/>
          <w:szCs w:val="28"/>
        </w:rPr>
        <w:t>4</w:t>
      </w:r>
      <w:r>
        <w:rPr>
          <w:rFonts w:hint="eastAsia" w:ascii="黑体" w:eastAsia="黑体"/>
          <w:sz w:val="28"/>
          <w:szCs w:val="28"/>
        </w:rPr>
        <w:t>-1  饮用水水源保护区内环境问题清理整治建议</w:t>
      </w:r>
    </w:p>
    <w:tbl>
      <w:tblPr>
        <w:tblStyle w:val="2"/>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0" w:type="dxa"/>
          <w:bottom w:w="0" w:type="dxa"/>
          <w:right w:w="0" w:type="dxa"/>
        </w:tblCellMar>
      </w:tblPr>
      <w:tblGrid>
        <w:gridCol w:w="866"/>
        <w:gridCol w:w="906"/>
        <w:gridCol w:w="1206"/>
        <w:gridCol w:w="1306"/>
        <w:gridCol w:w="1599"/>
        <w:gridCol w:w="31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4" w:hRule="atLeast"/>
        </w:trPr>
        <w:tc>
          <w:tcPr>
            <w:tcW w:w="478" w:type="pct"/>
            <w:shd w:val="clear" w:color="auto" w:fill="auto"/>
            <w:tcMar>
              <w:top w:w="15" w:type="dxa"/>
              <w:left w:w="106" w:type="dxa"/>
              <w:bottom w:w="0" w:type="dxa"/>
              <w:right w:w="106" w:type="dxa"/>
            </w:tcMar>
            <w:vAlign w:val="center"/>
          </w:tcPr>
          <w:p>
            <w:pPr>
              <w:jc w:val="center"/>
              <w:rPr>
                <w:rFonts w:ascii="黑体" w:eastAsia="黑体"/>
                <w:sz w:val="24"/>
              </w:rPr>
            </w:pPr>
            <w:r>
              <w:rPr>
                <w:rFonts w:hint="eastAsia" w:ascii="黑体" w:eastAsia="黑体"/>
                <w:bCs/>
                <w:sz w:val="24"/>
              </w:rPr>
              <w:t>序号</w:t>
            </w:r>
          </w:p>
        </w:tc>
        <w:tc>
          <w:tcPr>
            <w:tcW w:w="500" w:type="pct"/>
            <w:shd w:val="clear" w:color="auto" w:fill="auto"/>
            <w:tcMar>
              <w:top w:w="15" w:type="dxa"/>
              <w:left w:w="106" w:type="dxa"/>
              <w:bottom w:w="0" w:type="dxa"/>
              <w:right w:w="106" w:type="dxa"/>
            </w:tcMar>
            <w:vAlign w:val="center"/>
          </w:tcPr>
          <w:p>
            <w:pPr>
              <w:jc w:val="center"/>
              <w:rPr>
                <w:rFonts w:ascii="黑体" w:eastAsia="黑体"/>
                <w:sz w:val="24"/>
              </w:rPr>
            </w:pPr>
            <w:r>
              <w:rPr>
                <w:rFonts w:hint="eastAsia" w:ascii="黑体" w:eastAsia="黑体"/>
                <w:bCs/>
                <w:sz w:val="24"/>
              </w:rPr>
              <w:t>风险源</w:t>
            </w:r>
          </w:p>
        </w:tc>
        <w:tc>
          <w:tcPr>
            <w:tcW w:w="666" w:type="pct"/>
            <w:shd w:val="clear" w:color="auto" w:fill="auto"/>
            <w:tcMar>
              <w:top w:w="15" w:type="dxa"/>
              <w:left w:w="106" w:type="dxa"/>
              <w:bottom w:w="0" w:type="dxa"/>
              <w:right w:w="106" w:type="dxa"/>
            </w:tcMar>
            <w:vAlign w:val="center"/>
          </w:tcPr>
          <w:p>
            <w:pPr>
              <w:jc w:val="center"/>
              <w:rPr>
                <w:rFonts w:ascii="黑体" w:eastAsia="黑体"/>
                <w:sz w:val="24"/>
              </w:rPr>
            </w:pPr>
            <w:r>
              <w:rPr>
                <w:rFonts w:hint="eastAsia" w:ascii="黑体" w:eastAsia="黑体"/>
                <w:bCs/>
                <w:sz w:val="24"/>
              </w:rPr>
              <w:t>涉及的水源地</w:t>
            </w:r>
          </w:p>
        </w:tc>
        <w:tc>
          <w:tcPr>
            <w:tcW w:w="721" w:type="pct"/>
            <w:shd w:val="clear" w:color="auto" w:fill="auto"/>
            <w:tcMar>
              <w:top w:w="15" w:type="dxa"/>
              <w:left w:w="106" w:type="dxa"/>
              <w:bottom w:w="0" w:type="dxa"/>
              <w:right w:w="106" w:type="dxa"/>
            </w:tcMar>
            <w:vAlign w:val="center"/>
          </w:tcPr>
          <w:p>
            <w:pPr>
              <w:jc w:val="center"/>
              <w:rPr>
                <w:rFonts w:ascii="黑体" w:eastAsia="黑体"/>
                <w:sz w:val="24"/>
              </w:rPr>
            </w:pPr>
            <w:r>
              <w:rPr>
                <w:rFonts w:hint="eastAsia" w:ascii="黑体" w:eastAsia="黑体"/>
                <w:bCs/>
                <w:sz w:val="24"/>
              </w:rPr>
              <w:t>涉及的水源井</w:t>
            </w:r>
          </w:p>
        </w:tc>
        <w:tc>
          <w:tcPr>
            <w:tcW w:w="883" w:type="pct"/>
            <w:shd w:val="clear" w:color="auto" w:fill="auto"/>
            <w:tcMar>
              <w:top w:w="15" w:type="dxa"/>
              <w:left w:w="106" w:type="dxa"/>
              <w:bottom w:w="0" w:type="dxa"/>
              <w:right w:w="106" w:type="dxa"/>
            </w:tcMar>
            <w:vAlign w:val="center"/>
          </w:tcPr>
          <w:p>
            <w:pPr>
              <w:jc w:val="center"/>
              <w:rPr>
                <w:rFonts w:ascii="黑体" w:eastAsia="黑体"/>
                <w:sz w:val="24"/>
              </w:rPr>
            </w:pPr>
            <w:r>
              <w:rPr>
                <w:rFonts w:hint="eastAsia" w:ascii="黑体" w:eastAsia="黑体"/>
                <w:bCs/>
                <w:sz w:val="24"/>
              </w:rPr>
              <w:t>保护区级别</w:t>
            </w:r>
          </w:p>
        </w:tc>
        <w:tc>
          <w:tcPr>
            <w:tcW w:w="1752" w:type="pct"/>
            <w:shd w:val="clear" w:color="auto" w:fill="auto"/>
            <w:tcMar>
              <w:top w:w="15" w:type="dxa"/>
              <w:left w:w="106" w:type="dxa"/>
              <w:bottom w:w="0" w:type="dxa"/>
              <w:right w:w="106" w:type="dxa"/>
            </w:tcMar>
            <w:vAlign w:val="center"/>
          </w:tcPr>
          <w:p>
            <w:pPr>
              <w:jc w:val="center"/>
              <w:rPr>
                <w:rFonts w:ascii="黑体" w:eastAsia="黑体"/>
                <w:sz w:val="24"/>
              </w:rPr>
            </w:pPr>
            <w:r>
              <w:rPr>
                <w:rFonts w:hint="eastAsia" w:ascii="黑体" w:eastAsia="黑体"/>
                <w:bCs/>
                <w:sz w:val="24"/>
              </w:rPr>
              <w:t>清理整治建议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08" w:hRule="atLeast"/>
        </w:trPr>
        <w:tc>
          <w:tcPr>
            <w:tcW w:w="478" w:type="pct"/>
            <w:shd w:val="clear" w:color="auto" w:fill="auto"/>
            <w:tcMar>
              <w:top w:w="15" w:type="dxa"/>
              <w:left w:w="106" w:type="dxa"/>
              <w:bottom w:w="0" w:type="dxa"/>
              <w:right w:w="106" w:type="dxa"/>
            </w:tcMar>
            <w:vAlign w:val="center"/>
          </w:tcPr>
          <w:p>
            <w:pPr>
              <w:jc w:val="center"/>
              <w:rPr>
                <w:rFonts w:ascii="仿宋_GB2312" w:eastAsia="仿宋_GB2312"/>
                <w:sz w:val="24"/>
              </w:rPr>
            </w:pPr>
            <w:r>
              <w:rPr>
                <w:rFonts w:hint="eastAsia" w:ascii="仿宋_GB2312" w:eastAsia="仿宋_GB2312"/>
                <w:sz w:val="24"/>
              </w:rPr>
              <w:t>1</w:t>
            </w:r>
          </w:p>
        </w:tc>
        <w:tc>
          <w:tcPr>
            <w:tcW w:w="500" w:type="pct"/>
            <w:shd w:val="clear" w:color="auto" w:fill="auto"/>
            <w:tcMar>
              <w:top w:w="15" w:type="dxa"/>
              <w:left w:w="106" w:type="dxa"/>
              <w:bottom w:w="0" w:type="dxa"/>
              <w:right w:w="106" w:type="dxa"/>
            </w:tcMar>
            <w:vAlign w:val="center"/>
          </w:tcPr>
          <w:p>
            <w:pPr>
              <w:jc w:val="center"/>
              <w:rPr>
                <w:rFonts w:ascii="仿宋_GB2312" w:eastAsia="仿宋_GB2312"/>
                <w:sz w:val="24"/>
              </w:rPr>
            </w:pPr>
            <w:r>
              <w:rPr>
                <w:rFonts w:hint="eastAsia" w:ascii="仿宋_GB2312" w:eastAsia="仿宋_GB2312"/>
                <w:sz w:val="24"/>
              </w:rPr>
              <w:t>居民住宅</w:t>
            </w:r>
          </w:p>
        </w:tc>
        <w:tc>
          <w:tcPr>
            <w:tcW w:w="666" w:type="pct"/>
            <w:shd w:val="clear" w:color="auto" w:fill="auto"/>
            <w:tcMar>
              <w:top w:w="15" w:type="dxa"/>
              <w:left w:w="106" w:type="dxa"/>
              <w:bottom w:w="0" w:type="dxa"/>
              <w:right w:w="106" w:type="dxa"/>
            </w:tcMar>
            <w:vAlign w:val="center"/>
          </w:tcPr>
          <w:p>
            <w:pPr>
              <w:jc w:val="center"/>
              <w:rPr>
                <w:rFonts w:ascii="仿宋_GB2312" w:eastAsia="仿宋_GB2312"/>
                <w:sz w:val="24"/>
              </w:rPr>
            </w:pPr>
            <w:r>
              <w:rPr>
                <w:rFonts w:hint="eastAsia" w:ascii="仿宋_GB2312" w:eastAsia="仿宋_GB2312"/>
                <w:sz w:val="24"/>
              </w:rPr>
              <w:t>杨坨水厂</w:t>
            </w:r>
          </w:p>
        </w:tc>
        <w:tc>
          <w:tcPr>
            <w:tcW w:w="721" w:type="pct"/>
            <w:shd w:val="clear" w:color="auto" w:fill="auto"/>
            <w:tcMar>
              <w:top w:w="15" w:type="dxa"/>
              <w:left w:w="106" w:type="dxa"/>
              <w:bottom w:w="0" w:type="dxa"/>
              <w:right w:w="106" w:type="dxa"/>
            </w:tcMar>
            <w:vAlign w:val="center"/>
          </w:tcPr>
          <w:p>
            <w:pPr>
              <w:jc w:val="center"/>
              <w:rPr>
                <w:rFonts w:ascii="仿宋_GB2312" w:eastAsia="仿宋_GB2312"/>
                <w:sz w:val="24"/>
              </w:rPr>
            </w:pPr>
            <w:r>
              <w:rPr>
                <w:rFonts w:hint="eastAsia" w:ascii="仿宋_GB2312" w:eastAsia="仿宋_GB2312"/>
                <w:sz w:val="24"/>
              </w:rPr>
              <w:t>1号、2号</w:t>
            </w:r>
          </w:p>
        </w:tc>
        <w:tc>
          <w:tcPr>
            <w:tcW w:w="883" w:type="pct"/>
            <w:shd w:val="clear" w:color="auto" w:fill="auto"/>
            <w:tcMar>
              <w:top w:w="15" w:type="dxa"/>
              <w:left w:w="106" w:type="dxa"/>
              <w:bottom w:w="0" w:type="dxa"/>
              <w:right w:w="106" w:type="dxa"/>
            </w:tcMar>
            <w:vAlign w:val="center"/>
          </w:tcPr>
          <w:p>
            <w:pPr>
              <w:jc w:val="center"/>
              <w:rPr>
                <w:rFonts w:ascii="仿宋_GB2312" w:eastAsia="仿宋_GB2312"/>
                <w:sz w:val="24"/>
              </w:rPr>
            </w:pPr>
            <w:r>
              <w:rPr>
                <w:rFonts w:hint="eastAsia" w:ascii="仿宋_GB2312" w:eastAsia="仿宋_GB2312"/>
                <w:sz w:val="24"/>
              </w:rPr>
              <w:t>一级保护区</w:t>
            </w:r>
          </w:p>
        </w:tc>
        <w:tc>
          <w:tcPr>
            <w:tcW w:w="1752" w:type="pct"/>
            <w:shd w:val="clear" w:color="auto" w:fill="auto"/>
            <w:tcMar>
              <w:top w:w="15" w:type="dxa"/>
              <w:left w:w="106" w:type="dxa"/>
              <w:bottom w:w="0" w:type="dxa"/>
              <w:right w:w="106" w:type="dxa"/>
            </w:tcMar>
            <w:vAlign w:val="center"/>
          </w:tcPr>
          <w:p>
            <w:pPr>
              <w:jc w:val="center"/>
              <w:rPr>
                <w:rFonts w:ascii="仿宋_GB2312" w:eastAsia="仿宋_GB2312"/>
                <w:sz w:val="24"/>
              </w:rPr>
            </w:pPr>
            <w:r>
              <w:rPr>
                <w:rFonts w:hint="eastAsia" w:ascii="仿宋_GB2312" w:eastAsia="仿宋_GB2312"/>
                <w:sz w:val="24"/>
              </w:rPr>
              <w:t>生活污水已集中收集至保护区外处理后排放；生活垃圾集中已收集并运至保护区外安全处置，后续应按相关要求继续加强监管。</w:t>
            </w:r>
          </w:p>
        </w:tc>
      </w:tr>
    </w:tbl>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outlineLvl w:val="0"/>
        <w:rPr>
          <w:rFonts w:ascii="黑体" w:hAnsi="黑体" w:eastAsia="黑体"/>
          <w:sz w:val="32"/>
          <w:szCs w:val="32"/>
        </w:rPr>
      </w:pPr>
      <w:r>
        <w:rPr>
          <w:rFonts w:hint="eastAsia" w:ascii="黑体" w:hAnsi="黑体" w:eastAsia="黑体"/>
          <w:sz w:val="32"/>
          <w:szCs w:val="32"/>
        </w:rPr>
        <w:t>五、</w:t>
      </w:r>
      <w:r>
        <w:rPr>
          <w:rFonts w:ascii="黑体" w:hAnsi="黑体" w:eastAsia="黑体"/>
          <w:sz w:val="32"/>
          <w:szCs w:val="32"/>
        </w:rPr>
        <w:t>结论及相关补充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（一）饮用水水源保护区划分总体情况</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本次工作对大台水厂和杨坨水厂两个镇级水源地饮用水水源保护区进行了补充划分，一级保护区总面积0.</w:t>
      </w:r>
      <w:r>
        <w:rPr>
          <w:rFonts w:ascii="仿宋_GB2312" w:hAnsi="Times New Roman" w:eastAsia="仿宋_GB2312"/>
          <w:sz w:val="32"/>
          <w:szCs w:val="32"/>
        </w:rPr>
        <w:t>024</w:t>
      </w:r>
      <w:r>
        <w:rPr>
          <w:rFonts w:hint="eastAsia" w:ascii="仿宋_GB2312" w:hAnsi="Times New Roman" w:eastAsia="仿宋_GB2312"/>
          <w:sz w:val="32"/>
          <w:szCs w:val="32"/>
        </w:rPr>
        <w:t>平方公里，不设二级保护区和准保护区。</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（二）饮用水水源保护区内环境问题</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饮用水水源保护区内风险源主要为居民住宅，</w:t>
      </w:r>
      <w:r>
        <w:rPr>
          <w:rFonts w:ascii="仿宋_GB2312" w:hAnsi="Times New Roman" w:eastAsia="仿宋_GB2312"/>
          <w:sz w:val="32"/>
          <w:szCs w:val="32"/>
        </w:rPr>
        <w:t>生活污水</w:t>
      </w:r>
      <w:r>
        <w:rPr>
          <w:rFonts w:hint="eastAsia" w:ascii="仿宋_GB2312" w:hAnsi="Times New Roman" w:eastAsia="仿宋_GB2312"/>
          <w:sz w:val="32"/>
          <w:szCs w:val="32"/>
        </w:rPr>
        <w:t>已</w:t>
      </w:r>
      <w:r>
        <w:rPr>
          <w:rFonts w:ascii="仿宋_GB2312" w:hAnsi="Times New Roman" w:eastAsia="仿宋_GB2312"/>
          <w:sz w:val="32"/>
          <w:szCs w:val="32"/>
        </w:rPr>
        <w:t>集中收集至保护区外处理后</w:t>
      </w:r>
      <w:r>
        <w:rPr>
          <w:rFonts w:hint="eastAsia" w:ascii="仿宋_GB2312" w:hAnsi="Times New Roman" w:eastAsia="仿宋_GB2312"/>
          <w:sz w:val="32"/>
          <w:szCs w:val="32"/>
        </w:rPr>
        <w:t>回用</w:t>
      </w:r>
      <w:r>
        <w:rPr>
          <w:rFonts w:ascii="仿宋_GB2312" w:hAnsi="Times New Roman" w:eastAsia="仿宋_GB2312"/>
          <w:sz w:val="32"/>
          <w:szCs w:val="32"/>
        </w:rPr>
        <w:t>；生活垃圾已集中收集并运至保护区外安全处置</w:t>
      </w:r>
      <w:r>
        <w:rPr>
          <w:rFonts w:hint="eastAsia" w:ascii="仿宋_GB2312" w:hAnsi="Times New Roman" w:eastAsia="仿宋_GB2312"/>
          <w:sz w:val="32"/>
          <w:szCs w:val="32"/>
        </w:rPr>
        <w:t>，</w:t>
      </w:r>
      <w:r>
        <w:rPr>
          <w:rFonts w:ascii="仿宋_GB2312" w:hAnsi="Times New Roman" w:eastAsia="仿宋_GB2312"/>
          <w:sz w:val="32"/>
          <w:szCs w:val="32"/>
        </w:rPr>
        <w:t>后续应按相关要求继续加强监管。</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（三）水源保护建议</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1．</w:t>
      </w:r>
      <w:r>
        <w:rPr>
          <w:rFonts w:ascii="仿宋_GB2312" w:hAnsi="Times New Roman" w:eastAsia="仿宋_GB2312"/>
          <w:sz w:val="32"/>
          <w:szCs w:val="32"/>
        </w:rPr>
        <w:t>严格执行</w:t>
      </w:r>
      <w:r>
        <w:rPr>
          <w:rFonts w:hint="eastAsia" w:ascii="仿宋_GB2312" w:hAnsi="Times New Roman" w:eastAsia="仿宋_GB2312"/>
          <w:sz w:val="32"/>
          <w:szCs w:val="32"/>
        </w:rPr>
        <w:t>相关</w:t>
      </w:r>
      <w:r>
        <w:rPr>
          <w:rFonts w:ascii="仿宋_GB2312" w:hAnsi="Times New Roman" w:eastAsia="仿宋_GB2312"/>
          <w:sz w:val="32"/>
          <w:szCs w:val="32"/>
        </w:rPr>
        <w:t>法律法规的要求</w:t>
      </w:r>
      <w:r>
        <w:rPr>
          <w:rFonts w:hint="eastAsia" w:ascii="仿宋_GB2312" w:hAnsi="Times New Roman" w:eastAsia="仿宋_GB2312"/>
          <w:sz w:val="32"/>
          <w:szCs w:val="32"/>
        </w:rPr>
        <w:t>，</w:t>
      </w:r>
      <w:r>
        <w:rPr>
          <w:rFonts w:ascii="仿宋_GB2312" w:hAnsi="Times New Roman" w:eastAsia="仿宋_GB2312"/>
          <w:sz w:val="32"/>
          <w:szCs w:val="32"/>
        </w:rPr>
        <w:t>对</w:t>
      </w:r>
      <w:r>
        <w:rPr>
          <w:rFonts w:hint="eastAsia" w:ascii="仿宋_GB2312" w:hAnsi="Times New Roman" w:eastAsia="仿宋_GB2312"/>
          <w:sz w:val="32"/>
          <w:szCs w:val="32"/>
        </w:rPr>
        <w:t>饮用水水源保护区</w:t>
      </w:r>
      <w:r>
        <w:rPr>
          <w:rFonts w:ascii="仿宋_GB2312" w:hAnsi="Times New Roman" w:eastAsia="仿宋_GB2312"/>
          <w:sz w:val="32"/>
          <w:szCs w:val="32"/>
        </w:rPr>
        <w:t>内存在的</w:t>
      </w:r>
      <w:r>
        <w:rPr>
          <w:rFonts w:hint="eastAsia" w:ascii="仿宋_GB2312" w:hAnsi="Times New Roman" w:eastAsia="仿宋_GB2312"/>
          <w:sz w:val="32"/>
          <w:szCs w:val="32"/>
        </w:rPr>
        <w:t>风险源进行监督</w:t>
      </w:r>
      <w:r>
        <w:rPr>
          <w:rFonts w:ascii="仿宋_GB2312" w:hAnsi="Times New Roman" w:eastAsia="仿宋_GB2312"/>
          <w:sz w:val="32"/>
          <w:szCs w:val="32"/>
        </w:rPr>
        <w:t>管理</w:t>
      </w:r>
      <w:r>
        <w:rPr>
          <w:rFonts w:hint="eastAsia" w:ascii="仿宋_GB2312" w:hAnsi="Times New Roman" w:eastAsia="仿宋_GB2312"/>
          <w:sz w:val="32"/>
          <w:szCs w:val="32"/>
        </w:rPr>
        <w:t>，开展水源环境保护状况年度评估</w:t>
      </w:r>
      <w:r>
        <w:rPr>
          <w:rFonts w:ascii="仿宋_GB2312" w:hAnsi="Times New Roman" w:eastAsia="仿宋_GB2312"/>
          <w:sz w:val="32"/>
          <w:szCs w:val="32"/>
        </w:rPr>
        <w:t>工作</w:t>
      </w:r>
      <w:r>
        <w:rPr>
          <w:rFonts w:hint="eastAsia" w:ascii="仿宋_GB2312" w:hAnsi="Times New Roman" w:eastAsia="仿宋_GB2312"/>
          <w:sz w:val="32"/>
          <w:szCs w:val="32"/>
        </w:rPr>
        <w:t>，设立饮用水水源保护区标识标志，规范水源地环境保护建设，提高饮用水水源地环境管理水平</w:t>
      </w:r>
      <w:r>
        <w:rPr>
          <w:rFonts w:ascii="仿宋_GB2312" w:hAnsi="Times New Roman"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2</w:t>
      </w:r>
      <w:r>
        <w:rPr>
          <w:rFonts w:ascii="仿宋_GB2312" w:hAnsi="Times New Roman" w:eastAsia="仿宋_GB2312"/>
          <w:sz w:val="32"/>
          <w:szCs w:val="32"/>
        </w:rPr>
        <w:t>.</w:t>
      </w:r>
      <w:r>
        <w:rPr>
          <w:rFonts w:hint="eastAsia" w:ascii="仿宋_GB2312" w:hAnsi="Times New Roman" w:eastAsia="仿宋_GB2312"/>
          <w:sz w:val="32"/>
          <w:szCs w:val="32"/>
        </w:rPr>
        <w:t>由于大台水厂补给来源为永定河山峡段的地表水，容易受外在因素的影响；杨坨水厂历史上存在水质问题，因此建议加强对大台水厂和杨坨水厂源水水质监测，同时做好净化和消毒设施运行维护，确保处理设施正常运转，保证出水水质达标</w:t>
      </w:r>
      <w:r>
        <w:rPr>
          <w:rFonts w:ascii="仿宋_GB2312" w:hAnsi="Times New Roman"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textAlignment w:val="auto"/>
        <w:rPr>
          <w:rFonts w:ascii="仿宋_GB2312" w:hAnsi="Times New Roman" w:eastAsia="仿宋_GB2312"/>
          <w:sz w:val="32"/>
          <w:szCs w:val="32"/>
        </w:rPr>
      </w:pPr>
      <w:r>
        <w:rPr>
          <w:rFonts w:hint="eastAsia" w:ascii="仿宋_GB2312" w:hAnsi="Times New Roman" w:eastAsia="仿宋_GB2312"/>
          <w:sz w:val="32"/>
          <w:szCs w:val="32"/>
        </w:rPr>
        <w:t>3</w:t>
      </w:r>
      <w:r>
        <w:rPr>
          <w:rFonts w:ascii="仿宋_GB2312" w:hAnsi="Times New Roman" w:eastAsia="仿宋_GB2312"/>
          <w:sz w:val="32"/>
          <w:szCs w:val="32"/>
        </w:rPr>
        <w:t>.</w:t>
      </w:r>
      <w:r>
        <w:rPr>
          <w:rFonts w:hint="eastAsia" w:ascii="仿宋_GB2312" w:hAnsi="Times New Roman" w:eastAsia="仿宋_GB2312"/>
          <w:sz w:val="32"/>
          <w:szCs w:val="32"/>
        </w:rPr>
        <w:t>建立健全饮用水水源保护的部门联动重大事项会商机制，落实各镇街属地责任，</w:t>
      </w:r>
      <w:r>
        <w:rPr>
          <w:rFonts w:ascii="仿宋_GB2312" w:hAnsi="Times New Roman" w:eastAsia="仿宋_GB2312"/>
          <w:sz w:val="32"/>
          <w:szCs w:val="32"/>
        </w:rPr>
        <w:t>统筹资源，整合力量，形成齐抓共管、综合治理的工作格局</w:t>
      </w:r>
      <w:r>
        <w:rPr>
          <w:rFonts w:hint="eastAsia" w:ascii="仿宋_GB2312" w:hAnsi="Times New Roman" w:eastAsia="仿宋_GB2312"/>
          <w:sz w:val="32"/>
          <w:szCs w:val="32"/>
        </w:rPr>
        <w:t>，实行对饮用水水源保护区的动态管理。</w:t>
      </w:r>
    </w:p>
    <w:p>
      <w:pPr>
        <w:spacing w:line="560" w:lineRule="exact"/>
        <w:ind w:firstLine="640"/>
        <w:rPr>
          <w:rFonts w:ascii="仿宋_GB2312" w:hAnsi="Times New Roman" w:eastAsia="仿宋_GB2312"/>
          <w:sz w:val="32"/>
          <w:szCs w:val="32"/>
        </w:rPr>
      </w:pPr>
    </w:p>
    <w:sectPr>
      <w:footerReference r:id="rId4" w:type="default"/>
      <w:pgSz w:w="11906" w:h="16838"/>
      <w:pgMar w:top="2098" w:right="1474" w:bottom="1984" w:left="1587" w:header="851" w:footer="850" w:gutter="0"/>
      <w:pgNumType w:fmt="numberInDash" w:start="1"/>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8240" behindDoc="0" locked="0" layoutInCell="1" allowOverlap="1">
              <wp:simplePos x="0" y="0"/>
              <wp:positionH relativeFrom="margin">
                <wp:posOffset>2543810</wp:posOffset>
              </wp:positionH>
              <wp:positionV relativeFrom="paragraph">
                <wp:posOffset>0</wp:posOffset>
              </wp:positionV>
              <wp:extent cx="534035" cy="230505"/>
              <wp:effectExtent l="0" t="0" r="0" b="0"/>
              <wp:wrapNone/>
              <wp:docPr id="2" name="文本框 1025"/>
              <wp:cNvGraphicFramePr/>
              <a:graphic xmlns:a="http://schemas.openxmlformats.org/drawingml/2006/main">
                <a:graphicData uri="http://schemas.microsoft.com/office/word/2010/wordprocessingShape">
                  <wps:wsp>
                    <wps:cNvSpPr txBox="true"/>
                    <wps:spPr>
                      <a:xfrm>
                        <a:off x="0" y="0"/>
                        <a:ext cx="534035" cy="230505"/>
                      </a:xfrm>
                      <a:prstGeom prst="rect">
                        <a:avLst/>
                      </a:prstGeom>
                      <a:noFill/>
                      <a:ln>
                        <a:noFill/>
                      </a:ln>
                    </wps:spPr>
                    <wps:txbx>
                      <w:txbxContent>
                        <w:p>
                          <w:pPr>
                            <w:snapToGrid w:val="0"/>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wps:txbx>
                    <wps:bodyPr wrap="none" lIns="0" tIns="0" rIns="0" bIns="0" upright="true">
                      <a:spAutoFit/>
                    </wps:bodyPr>
                  </wps:wsp>
                </a:graphicData>
              </a:graphic>
            </wp:anchor>
          </w:drawing>
        </mc:Choice>
        <mc:Fallback>
          <w:pict>
            <v:shape id="文本框 1025" o:spid="_x0000_s1026" o:spt="202" type="#_x0000_t202" style="position:absolute;left:0pt;margin-left:200.3pt;margin-top:0pt;height:18.15pt;width:42.05pt;mso-position-horizontal-relative:margin;mso-wrap-style:none;z-index:251658240;mso-width-relative:page;mso-height-relative:page;" filled="f" stroked="f" coordsize="21600,21600" o:gfxdata="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W&#10;AAAAZHJzL1BLAQIUABQAAAAIAIdO4kDVWow+0wAAAAcBAAAPAAAAAAAAAAEAIAAAADgAAABkcnMv&#10;ZG93bnJldi54bWxQSwECFAAUAAAACACHTuJA33GQo7kBAABSAwAADgAAAAAAAAABACAAAAA4AQAA&#10;ZHJzL2Uyb0RvYy54bWxQSwUGAAAAAAYABgBZAQAAYwUAAAAA&#10;">
              <v:fill on="f" focussize="0,0"/>
              <v:stroke on="f"/>
              <v:imagedata o:title=""/>
              <o:lock v:ext="edit" aspectratio="f"/>
              <v:textbox inset="0mm,0mm,0mm,0mm" style="mso-fit-shape-to-text:t;">
                <w:txbxContent>
                  <w:p>
                    <w:pPr>
                      <w:snapToGrid w:val="0"/>
                      <w:jc w:val="center"/>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- 8 -</w:t>
                    </w:r>
                    <w:r>
                      <w:rPr>
                        <w:rFonts w:hint="eastAsia" w:ascii="宋体" w:hAnsi="宋体" w:cs="宋体"/>
                        <w:sz w:val="28"/>
                        <w:szCs w:val="2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hdrShapeDefaults>
    <o:shapelayout v:ext="edit">
      <o:idmap v:ext="edit" data="3,4"/>
    </o:shapelayout>
  </w:hdrShapeDefault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FAAC07"/>
    <w:rsid w:val="6DE1D812"/>
    <w:rsid w:val="CFFB49F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5</TotalTime>
  <ScaleCrop>false</ScaleCrop>
  <LinksUpToDate>false</LinksUpToDate>
  <Application>WPS Office_11.8.2.9831_F1E327BC-269C-435d-A152-05C5408002CA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2024-09-19T02:17:00Z</dcterms:created>
  <dc:creator>sugon</dc:creator>
  <cp:lastModifiedBy>sugon</cp:lastModifiedBy>
  <dcterms:modified xsi:type="dcterms:W3CDTF">2024-09-25T14:37:10Z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ies>
</file>