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560" w:lineRule="exact"/>
        <w:jc w:val="center"/>
        <w:rPr>
          <w:rFonts w:hint="eastAsia" w:eastAsia="方正小标宋简体"/>
          <w:color w:val="auto"/>
          <w:sz w:val="44"/>
          <w:szCs w:val="44"/>
          <w:lang w:val="zh-CN"/>
        </w:rPr>
      </w:pPr>
      <w:r>
        <w:rPr>
          <w:rFonts w:hint="eastAsia" w:eastAsia="方正小标宋简体"/>
          <w:color w:val="auto"/>
          <w:sz w:val="44"/>
          <w:szCs w:val="44"/>
          <w:lang w:val="zh-CN"/>
        </w:rPr>
        <w:t>东城区关于推进养老服务工作</w:t>
      </w:r>
    </w:p>
    <w:p>
      <w:pPr>
        <w:widowControl w:val="0"/>
        <w:spacing w:line="560" w:lineRule="exact"/>
        <w:jc w:val="center"/>
        <w:rPr>
          <w:rFonts w:eastAsia="方正小标宋简体"/>
          <w:color w:val="auto"/>
          <w:sz w:val="44"/>
          <w:szCs w:val="44"/>
          <w:lang w:val="zh-CN"/>
        </w:rPr>
      </w:pPr>
      <w:r>
        <w:rPr>
          <w:rFonts w:hint="eastAsia" w:eastAsia="方正小标宋简体"/>
          <w:color w:val="auto"/>
          <w:sz w:val="44"/>
          <w:szCs w:val="44"/>
          <w:lang w:val="zh-CN"/>
        </w:rPr>
        <w:t>高质量发展的实施意见（征求意见稿）</w:t>
      </w:r>
    </w:p>
    <w:p>
      <w:pPr>
        <w:pStyle w:val="6"/>
        <w:widowControl w:val="0"/>
        <w:spacing w:after="0" w:line="560" w:lineRule="exact"/>
        <w:rPr>
          <w:color w:val="auto"/>
          <w:lang w:val="zh-CN"/>
        </w:rPr>
      </w:pPr>
    </w:p>
    <w:p>
      <w:pPr>
        <w:widowControl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lang w:val="zh-CN"/>
        </w:rPr>
        <w:t>为贯彻落实</w:t>
      </w:r>
      <w:r>
        <w:rPr>
          <w:rFonts w:eastAsia="仿宋_GB2312"/>
          <w:color w:val="auto"/>
          <w:sz w:val="32"/>
          <w:szCs w:val="32"/>
        </w:rPr>
        <w:t>中共中央办公厅、国务院办公厅《关于推进基本养老服务体系建设的意见》、国务院办公厅《关于发展银发经济增进老年人福祉的意见》、</w:t>
      </w:r>
      <w:r>
        <w:rPr>
          <w:rFonts w:hint="eastAsia" w:eastAsia="仿宋_GB2312"/>
          <w:color w:val="auto"/>
          <w:sz w:val="32"/>
          <w:szCs w:val="32"/>
        </w:rPr>
        <w:t>北京市人民政府办公厅《关于完善北京市养老服务体系的实施意见》</w:t>
      </w:r>
      <w:r>
        <w:rPr>
          <w:rFonts w:hint="eastAsia" w:eastAsia="仿宋_GB2312"/>
          <w:color w:val="auto"/>
          <w:sz w:val="32"/>
          <w:szCs w:val="32"/>
          <w:lang w:val="zh-CN"/>
        </w:rPr>
        <w:t>，</w:t>
      </w:r>
      <w:r>
        <w:rPr>
          <w:rFonts w:eastAsia="仿宋_GB2312"/>
          <w:color w:val="auto"/>
          <w:sz w:val="32"/>
          <w:szCs w:val="32"/>
          <w:lang w:val="zh-CN"/>
        </w:rPr>
        <w:t>实施积极应对人口老龄化国家战略，</w:t>
      </w:r>
      <w:r>
        <w:rPr>
          <w:rFonts w:hint="eastAsia" w:eastAsia="仿宋_GB2312"/>
          <w:color w:val="auto"/>
          <w:sz w:val="32"/>
          <w:szCs w:val="32"/>
          <w:lang w:val="zh-CN"/>
        </w:rPr>
        <w:t>构建</w:t>
      </w:r>
      <w:r>
        <w:rPr>
          <w:rFonts w:eastAsia="仿宋_GB2312"/>
          <w:color w:val="auto"/>
          <w:sz w:val="32"/>
          <w:szCs w:val="32"/>
          <w:lang w:val="zh-CN"/>
        </w:rPr>
        <w:t>新时代首都核心区养老</w:t>
      </w:r>
      <w:r>
        <w:rPr>
          <w:rFonts w:eastAsia="仿宋_GB2312"/>
          <w:color w:val="auto"/>
          <w:sz w:val="32"/>
          <w:szCs w:val="32"/>
        </w:rPr>
        <w:t>服务工作格局，</w:t>
      </w:r>
      <w:r>
        <w:rPr>
          <w:rFonts w:eastAsia="仿宋_GB2312"/>
          <w:color w:val="auto"/>
          <w:sz w:val="32"/>
          <w:szCs w:val="32"/>
          <w:lang w:val="zh-CN"/>
        </w:rPr>
        <w:t>进一步完善具有东城特色的养老服务体系，</w:t>
      </w:r>
      <w:r>
        <w:rPr>
          <w:rFonts w:hint="eastAsia" w:eastAsia="仿宋_GB2312"/>
          <w:color w:val="auto"/>
          <w:sz w:val="32"/>
          <w:szCs w:val="32"/>
          <w:highlight w:val="none"/>
          <w:lang w:val="zh-CN"/>
        </w:rPr>
        <w:t>制定</w:t>
      </w:r>
      <w:r>
        <w:rPr>
          <w:rFonts w:eastAsia="仿宋_GB2312"/>
          <w:color w:val="auto"/>
          <w:sz w:val="32"/>
          <w:szCs w:val="32"/>
          <w:lang w:val="zh-CN"/>
        </w:rPr>
        <w:t>如下意见</w:t>
      </w:r>
      <w:r>
        <w:rPr>
          <w:rFonts w:eastAsia="仿宋_GB2312"/>
          <w:color w:val="auto"/>
          <w:sz w:val="32"/>
          <w:szCs w:val="32"/>
        </w:rPr>
        <w:t>。</w:t>
      </w:r>
    </w:p>
    <w:p>
      <w:pPr>
        <w:widowControl w:val="0"/>
        <w:adjustRightInd/>
        <w:snapToGrid/>
        <w:spacing w:line="560" w:lineRule="exact"/>
        <w:ind w:firstLine="640" w:firstLineChars="200"/>
        <w:textAlignment w:val="auto"/>
        <w:rPr>
          <w:rFonts w:eastAsia="仿宋_GB2312"/>
          <w:color w:val="auto"/>
          <w:sz w:val="32"/>
          <w:szCs w:val="32"/>
          <w:highlight w:val="yellow"/>
          <w:lang w:val="zh-CN"/>
        </w:rPr>
      </w:pPr>
      <w:r>
        <w:rPr>
          <w:rFonts w:eastAsia="黑体"/>
          <w:color w:val="auto"/>
          <w:sz w:val="32"/>
          <w:szCs w:val="32"/>
          <w:lang w:val="zh-CN"/>
        </w:rPr>
        <w:t>一、指导思想</w:t>
      </w:r>
      <w:bookmarkStart w:id="0" w:name="_GoBack"/>
      <w:bookmarkEnd w:id="0"/>
    </w:p>
    <w:p>
      <w:pPr>
        <w:pStyle w:val="2"/>
        <w:widowControl w:val="0"/>
        <w:adjustRightInd/>
        <w:snapToGrid/>
        <w:spacing w:line="560" w:lineRule="exact"/>
        <w:textAlignment w:val="auto"/>
        <w:rPr>
          <w:color w:val="auto"/>
        </w:rPr>
      </w:pPr>
      <w:r>
        <w:rPr>
          <w:rFonts w:hint="eastAsia" w:ascii="仿宋_GB2312" w:hAnsi="仿宋_GB2312" w:eastAsia="仿宋_GB2312" w:cs="仿宋_GB2312"/>
          <w:color w:val="auto"/>
          <w:szCs w:val="32"/>
          <w:lang w:val="zh-CN"/>
        </w:rPr>
        <w:t>以习近平新时代中国特色社会主义思想为指导，牢牢把握以人民为中心的发展思想，全面做实“六字文章”，坚持基础性、普惠性、共担性、系统性原则，加快构建有效覆盖、精准分类、权责清晰、保障适度、可持续的基本养老服务体系。立足新时代核心区老龄人口特点、发展趋势和资源禀赋，坚持推进有为政府与有效市场相结合，养老事业和养老产业协同发展，持续提升养老服务的专业性、便利性、可及性。发挥政府、社会、市场、家庭</w:t>
      </w:r>
      <w:r>
        <w:rPr>
          <w:color w:val="auto"/>
          <w:szCs w:val="32"/>
          <w:lang w:val="zh-CN"/>
        </w:rPr>
        <w:t>四方作用，聚</w:t>
      </w:r>
      <w:r>
        <w:rPr>
          <w:rFonts w:hint="eastAsia" w:ascii="仿宋_GB2312" w:hAnsi="仿宋_GB2312" w:eastAsia="仿宋_GB2312" w:cs="仿宋_GB2312"/>
          <w:color w:val="auto"/>
          <w:szCs w:val="32"/>
          <w:lang w:val="zh-CN"/>
        </w:rPr>
        <w:t>焦“老老人</w:t>
      </w:r>
      <w:r>
        <w:rPr>
          <w:rStyle w:val="24"/>
          <w:color w:val="auto"/>
          <w:szCs w:val="32"/>
          <w:lang w:val="zh-CN"/>
        </w:rPr>
        <w:footnoteReference w:id="0"/>
      </w:r>
      <w:r>
        <w:rPr>
          <w:rFonts w:hint="eastAsia" w:ascii="仿宋_GB2312" w:hAnsi="仿宋_GB2312" w:eastAsia="仿宋_GB2312" w:cs="仿宋_GB2312"/>
          <w:color w:val="auto"/>
          <w:szCs w:val="32"/>
          <w:lang w:val="zh-CN"/>
        </w:rPr>
        <w:t>”</w:t>
      </w:r>
      <w:r>
        <w:rPr>
          <w:color w:val="auto"/>
          <w:szCs w:val="32"/>
          <w:lang w:val="zh-CN"/>
        </w:rPr>
        <w:t>服务保障，丰富多层次养老服务供给体系</w:t>
      </w:r>
      <w:r>
        <w:rPr>
          <w:color w:val="auto"/>
          <w:lang w:val="zh-CN"/>
        </w:rPr>
        <w:t>，不断增强老年人的获得感、幸福感、安全感。</w:t>
      </w:r>
    </w:p>
    <w:p>
      <w:pPr>
        <w:pStyle w:val="2"/>
        <w:widowControl w:val="0"/>
        <w:adjustRightInd/>
        <w:snapToGrid/>
        <w:spacing w:line="560" w:lineRule="exact"/>
        <w:textAlignment w:val="auto"/>
        <w:rPr>
          <w:rFonts w:eastAsia="黑体"/>
          <w:color w:val="auto"/>
          <w:szCs w:val="32"/>
          <w:lang w:val="zh-CN"/>
        </w:rPr>
      </w:pPr>
      <w:r>
        <w:rPr>
          <w:rFonts w:eastAsia="黑体"/>
          <w:color w:val="auto"/>
          <w:lang w:val="zh-CN"/>
        </w:rPr>
        <w:t>二、</w:t>
      </w:r>
      <w:r>
        <w:rPr>
          <w:rFonts w:eastAsia="黑体"/>
          <w:color w:val="auto"/>
          <w:szCs w:val="32"/>
          <w:lang w:val="zh-CN"/>
        </w:rPr>
        <w:t>基本原则</w:t>
      </w:r>
    </w:p>
    <w:p>
      <w:pPr>
        <w:pStyle w:val="6"/>
        <w:widowControl w:val="0"/>
        <w:numPr>
          <w:numId w:val="0"/>
        </w:numPr>
        <w:adjustRightInd/>
        <w:snapToGrid/>
        <w:spacing w:after="0" w:line="560" w:lineRule="exact"/>
        <w:ind w:firstLine="640" w:firstLineChars="200"/>
        <w:textAlignment w:val="auto"/>
        <w:rPr>
          <w:color w:val="auto"/>
          <w:sz w:val="32"/>
          <w:szCs w:val="32"/>
        </w:rPr>
      </w:pPr>
      <w:r>
        <w:rPr>
          <w:rFonts w:eastAsia="楷体_GB2312"/>
          <w:color w:val="auto"/>
          <w:sz w:val="32"/>
          <w:szCs w:val="32"/>
        </w:rPr>
        <w:t>（一）坚持精准化服务分类保障。</w:t>
      </w:r>
      <w:r>
        <w:rPr>
          <w:rFonts w:eastAsia="仿宋_GB2312"/>
          <w:color w:val="auto"/>
          <w:sz w:val="32"/>
          <w:szCs w:val="32"/>
          <w:lang w:val="zh-CN"/>
        </w:rPr>
        <w:t>政府保基本</w:t>
      </w:r>
      <w:r>
        <w:rPr>
          <w:rFonts w:hint="eastAsia" w:eastAsia="仿宋_GB2312"/>
          <w:color w:val="auto"/>
          <w:sz w:val="32"/>
          <w:szCs w:val="32"/>
          <w:lang w:val="zh-CN"/>
        </w:rPr>
        <w:t>、</w:t>
      </w:r>
      <w:r>
        <w:rPr>
          <w:rFonts w:eastAsia="仿宋_GB2312"/>
          <w:color w:val="auto"/>
          <w:sz w:val="32"/>
          <w:szCs w:val="32"/>
          <w:lang w:val="zh-CN"/>
        </w:rPr>
        <w:t>兜底线，</w:t>
      </w:r>
      <w:r>
        <w:rPr>
          <w:rFonts w:hint="eastAsia" w:eastAsia="仿宋_GB2312"/>
          <w:color w:val="auto"/>
          <w:sz w:val="32"/>
          <w:szCs w:val="32"/>
          <w:lang w:val="zh-CN"/>
        </w:rPr>
        <w:t>同市场扩服务、提品质相结合</w:t>
      </w:r>
      <w:r>
        <w:rPr>
          <w:rFonts w:eastAsia="仿宋_GB2312"/>
          <w:color w:val="auto"/>
          <w:sz w:val="32"/>
          <w:szCs w:val="32"/>
          <w:lang w:val="zh-CN"/>
        </w:rPr>
        <w:t>，</w:t>
      </w:r>
      <w:r>
        <w:rPr>
          <w:rFonts w:hint="eastAsia" w:eastAsia="仿宋_GB2312"/>
          <w:color w:val="auto"/>
          <w:sz w:val="32"/>
          <w:szCs w:val="32"/>
          <w:lang w:val="zh-CN"/>
        </w:rPr>
        <w:t>政府公共资源聚焦“老老人”等重点群体，</w:t>
      </w:r>
      <w:r>
        <w:rPr>
          <w:rFonts w:eastAsia="仿宋_GB2312"/>
          <w:color w:val="auto"/>
          <w:sz w:val="32"/>
          <w:szCs w:val="32"/>
          <w:lang w:val="zh-CN"/>
        </w:rPr>
        <w:t>确保基本养老服务保障到位。</w:t>
      </w:r>
      <w:r>
        <w:rPr>
          <w:rFonts w:hint="eastAsia" w:eastAsia="仿宋_GB2312"/>
          <w:color w:val="auto"/>
          <w:sz w:val="32"/>
          <w:szCs w:val="32"/>
          <w:lang w:val="zh-CN"/>
        </w:rPr>
        <w:t>鼓励引导</w:t>
      </w:r>
      <w:r>
        <w:rPr>
          <w:rFonts w:eastAsia="仿宋_GB2312"/>
          <w:color w:val="auto"/>
          <w:sz w:val="32"/>
          <w:szCs w:val="32"/>
          <w:lang w:val="zh-CN"/>
        </w:rPr>
        <w:t>市场和社会力量，大力发展普惠型养老服务，为老年人提供找得着、买得起、用得好的养老服务。</w:t>
      </w:r>
      <w:r>
        <w:rPr>
          <w:rFonts w:eastAsia="仿宋_GB2312"/>
          <w:color w:val="auto"/>
          <w:sz w:val="32"/>
          <w:szCs w:val="32"/>
        </w:rPr>
        <w:t>发挥基层为老服务力量和信息化</w:t>
      </w:r>
      <w:r>
        <w:rPr>
          <w:rFonts w:hint="eastAsia" w:eastAsia="仿宋_GB2312"/>
          <w:color w:val="auto"/>
          <w:sz w:val="32"/>
          <w:szCs w:val="32"/>
        </w:rPr>
        <w:t>手段</w:t>
      </w:r>
      <w:r>
        <w:rPr>
          <w:rFonts w:eastAsia="仿宋_GB2312"/>
          <w:color w:val="auto"/>
          <w:sz w:val="32"/>
          <w:szCs w:val="32"/>
        </w:rPr>
        <w:t>，建立老年人服务需求动态更新和精准对接机制，以需求为导向匹配服务，以满意为标准评价服务。</w:t>
      </w:r>
    </w:p>
    <w:p>
      <w:pPr>
        <w:pStyle w:val="6"/>
        <w:widowControl w:val="0"/>
        <w:numPr>
          <w:numId w:val="0"/>
        </w:numPr>
        <w:adjustRightInd/>
        <w:snapToGrid/>
        <w:spacing w:after="0" w:line="560" w:lineRule="exact"/>
        <w:ind w:firstLine="640" w:firstLineChars="200"/>
        <w:textAlignment w:val="auto"/>
        <w:rPr>
          <w:rFonts w:eastAsia="仿宋_GB2312"/>
          <w:color w:val="auto"/>
          <w:sz w:val="32"/>
          <w:szCs w:val="32"/>
          <w:lang w:val="zh-CN"/>
        </w:rPr>
      </w:pPr>
      <w:r>
        <w:rPr>
          <w:rFonts w:eastAsia="楷体_GB2312"/>
          <w:color w:val="auto"/>
          <w:sz w:val="32"/>
          <w:szCs w:val="32"/>
        </w:rPr>
        <w:t>（二）坚持专业化运行</w:t>
      </w:r>
      <w:r>
        <w:rPr>
          <w:rFonts w:eastAsia="楷体_GB2312"/>
          <w:color w:val="auto"/>
          <w:sz w:val="32"/>
          <w:szCs w:val="32"/>
          <w:lang w:val="zh-CN"/>
        </w:rPr>
        <w:t>提升品质。</w:t>
      </w:r>
      <w:r>
        <w:rPr>
          <w:rFonts w:hint="eastAsia" w:ascii="仿宋_GB2312" w:hAnsi="仿宋_GB2312" w:eastAsia="仿宋_GB2312" w:cs="仿宋_GB2312"/>
          <w:color w:val="auto"/>
          <w:sz w:val="32"/>
          <w:szCs w:val="32"/>
        </w:rPr>
        <w:t>以养老服务领域专业化、品牌化、连锁化龙头企业为牵引，支持探索国有企业和专业市场主体的合作模式，发挥资源优势和专业优势提升养老服务质量。</w:t>
      </w:r>
      <w:r>
        <w:rPr>
          <w:rFonts w:hint="eastAsia" w:ascii="仿宋_GB2312" w:hAnsi="仿宋_GB2312" w:eastAsia="仿宋_GB2312" w:cs="仿宋_GB2312"/>
          <w:color w:val="auto"/>
          <w:sz w:val="32"/>
          <w:szCs w:val="32"/>
          <w:lang w:val="zh-CN"/>
        </w:rPr>
        <w:t>聚焦“老老人”在医疗、护理、助餐、适老环境改造等问题上的“急难愁盼”，加快建设符合区情、顺应我区人口老龄化趋势的服务保障体系，优化服务供给，提升发展品质。</w:t>
      </w:r>
    </w:p>
    <w:p>
      <w:pPr>
        <w:widowControl w:val="0"/>
        <w:adjustRightInd/>
        <w:snapToGrid/>
        <w:spacing w:line="560" w:lineRule="exact"/>
        <w:ind w:firstLine="640"/>
        <w:textAlignment w:val="auto"/>
        <w:rPr>
          <w:color w:val="auto"/>
        </w:rPr>
      </w:pPr>
      <w:r>
        <w:rPr>
          <w:rFonts w:eastAsia="楷体_GB2312"/>
          <w:color w:val="auto"/>
          <w:sz w:val="32"/>
          <w:szCs w:val="32"/>
        </w:rPr>
        <w:t>（三）</w:t>
      </w:r>
      <w:r>
        <w:rPr>
          <w:rFonts w:eastAsia="楷体_GB2312"/>
          <w:color w:val="auto"/>
          <w:sz w:val="32"/>
          <w:szCs w:val="32"/>
          <w:lang w:val="zh-CN"/>
        </w:rPr>
        <w:t>坚持市场化导向建立长效。</w:t>
      </w:r>
      <w:r>
        <w:rPr>
          <w:rFonts w:eastAsia="仿宋_GB2312"/>
          <w:color w:val="auto"/>
          <w:sz w:val="32"/>
          <w:szCs w:val="32"/>
        </w:rPr>
        <w:t>以政府政策保障为导向，发挥养老市场主体作用，拓展服务领域、增加服务供给、丰富服务形式、提升服务质量，增强市场主体的可持续发展能力。通过完善服务评价机制建立准入和退出机制，保障市场主体服务品质，实现市场竞争优胜劣汰。</w:t>
      </w:r>
      <w:r>
        <w:rPr>
          <w:rFonts w:eastAsia="仿宋_GB2312"/>
          <w:color w:val="auto"/>
          <w:sz w:val="32"/>
          <w:szCs w:val="32"/>
          <w:lang w:val="zh-CN"/>
        </w:rPr>
        <w:t>大力发展银发经济，推动养老产业和多样化服务发展，努力满足老年人多层次多样化需求。</w:t>
      </w:r>
    </w:p>
    <w:p>
      <w:pPr>
        <w:widowControl w:val="0"/>
        <w:adjustRightInd/>
        <w:snapToGrid/>
        <w:spacing w:line="560" w:lineRule="exact"/>
        <w:ind w:firstLine="640"/>
        <w:textAlignment w:val="auto"/>
        <w:rPr>
          <w:color w:val="auto"/>
          <w:sz w:val="32"/>
          <w:szCs w:val="32"/>
          <w:lang w:val="zh-CN"/>
        </w:rPr>
      </w:pPr>
      <w:r>
        <w:rPr>
          <w:rFonts w:eastAsia="楷体_GB2312"/>
          <w:color w:val="auto"/>
          <w:sz w:val="32"/>
          <w:szCs w:val="32"/>
        </w:rPr>
        <w:t>（四）</w:t>
      </w:r>
      <w:r>
        <w:rPr>
          <w:rFonts w:eastAsia="楷体_GB2312"/>
          <w:color w:val="auto"/>
          <w:sz w:val="32"/>
          <w:szCs w:val="32"/>
          <w:lang w:val="zh-CN"/>
        </w:rPr>
        <w:t>坚持系统化理念聚合资源。</w:t>
      </w:r>
      <w:r>
        <w:rPr>
          <w:rFonts w:eastAsia="仿宋_GB2312"/>
          <w:color w:val="auto"/>
          <w:sz w:val="32"/>
          <w:szCs w:val="32"/>
          <w:lang w:val="zh-CN"/>
        </w:rPr>
        <w:t>坚持政府、市场、社会、家庭共同参与、各尽其责。以系统发展理念整合政府部门、养老服务机构、社会力量等资源，形成为老年人服务的工作合力。以街道综合为老服务中心为枢纽，联动养老机构、社区养老服务驿站，联合区域内医疗、餐饮、物业</w:t>
      </w:r>
      <w:r>
        <w:rPr>
          <w:rFonts w:hint="eastAsia" w:eastAsia="仿宋_GB2312"/>
          <w:color w:val="auto"/>
          <w:sz w:val="32"/>
          <w:szCs w:val="32"/>
          <w:lang w:val="zh-CN"/>
        </w:rPr>
        <w:t>、家政</w:t>
      </w:r>
      <w:r>
        <w:rPr>
          <w:rFonts w:eastAsia="仿宋_GB2312"/>
          <w:color w:val="auto"/>
          <w:sz w:val="32"/>
          <w:szCs w:val="32"/>
          <w:lang w:val="zh-CN"/>
        </w:rPr>
        <w:t>等服务资源，辐射居家养老，实现优势互补、资源共享。</w:t>
      </w:r>
    </w:p>
    <w:p>
      <w:pPr>
        <w:widowControl w:val="0"/>
        <w:adjustRightInd/>
        <w:snapToGrid/>
        <w:spacing w:line="560" w:lineRule="exact"/>
        <w:ind w:firstLine="640"/>
        <w:textAlignment w:val="auto"/>
        <w:rPr>
          <w:rFonts w:eastAsia="黑体"/>
          <w:color w:val="auto"/>
          <w:sz w:val="32"/>
          <w:szCs w:val="32"/>
          <w:lang w:val="zh-CN"/>
        </w:rPr>
      </w:pPr>
      <w:r>
        <w:rPr>
          <w:rFonts w:eastAsia="黑体"/>
          <w:color w:val="auto"/>
          <w:sz w:val="32"/>
          <w:szCs w:val="32"/>
          <w:lang w:val="zh-CN"/>
        </w:rPr>
        <w:t>三、工作目标</w:t>
      </w:r>
    </w:p>
    <w:p>
      <w:pPr>
        <w:pStyle w:val="13"/>
        <w:widowControl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立足新时代首都核心区老龄人口特点和发展趋势，结合东城区资源禀赋特点，</w:t>
      </w:r>
      <w:r>
        <w:rPr>
          <w:rFonts w:hint="eastAsia" w:ascii="仿宋_GB2312" w:hAnsi="仿宋_GB2312" w:eastAsia="仿宋_GB2312" w:cs="仿宋_GB2312"/>
          <w:color w:val="auto"/>
          <w:sz w:val="32"/>
          <w:szCs w:val="32"/>
        </w:rPr>
        <w:t>着力优化养老工作体系，以政府政策保障为引领，以市场主体供应为基础，有效发挥政府、市场、社会、家庭的多元作用，形成养老服务工作合力；着力提升专业服务水平，聚焦“老老人”高频刚需痛点，丰富服务供给，提升专业水平，实现养老服务需求和专业供给精准衔接；着力提</w:t>
      </w:r>
      <w:r>
        <w:rPr>
          <w:rFonts w:hint="eastAsia" w:ascii="仿宋_GB2312" w:hAnsi="仿宋_GB2312" w:eastAsia="仿宋_GB2312" w:cs="仿宋_GB2312"/>
          <w:color w:val="auto"/>
          <w:sz w:val="32"/>
          <w:szCs w:val="32"/>
          <w:lang w:val="en-US" w:eastAsia="zh-CN"/>
        </w:rPr>
        <w:t>高</w:t>
      </w:r>
      <w:r>
        <w:rPr>
          <w:rFonts w:hint="eastAsia" w:ascii="仿宋_GB2312" w:hAnsi="仿宋_GB2312" w:eastAsia="仿宋_GB2312" w:cs="仿宋_GB2312"/>
          <w:color w:val="auto"/>
          <w:sz w:val="32"/>
          <w:szCs w:val="32"/>
        </w:rPr>
        <w:t>协同发展能力，完善以街道为单元的中心联运驿站辐射居家的养老服务网络，促进“区、街、社区、家庭”四级有效联动、区内和区外资源优势互补；着力激发市场主体活力，</w:t>
      </w:r>
      <w:r>
        <w:rPr>
          <w:rFonts w:hint="eastAsia" w:ascii="仿宋_GB2312" w:hAnsi="仿宋_GB2312" w:eastAsia="仿宋_GB2312" w:cs="仿宋_GB2312"/>
          <w:color w:val="auto"/>
          <w:sz w:val="32"/>
          <w:szCs w:val="32"/>
          <w:lang w:val="zh-CN"/>
        </w:rPr>
        <w:t>以老年人需求为导向推进为老服务供给侧改革，</w:t>
      </w:r>
      <w:r>
        <w:rPr>
          <w:rFonts w:hint="eastAsia" w:ascii="仿宋_GB2312" w:hAnsi="仿宋_GB2312" w:eastAsia="仿宋_GB2312" w:cs="仿宋_GB2312"/>
          <w:color w:val="auto"/>
          <w:sz w:val="32"/>
          <w:szCs w:val="32"/>
        </w:rPr>
        <w:t>持续优化养老服务市场供给适配性，拓展服务领域，优化服务效能。</w:t>
      </w:r>
      <w:r>
        <w:rPr>
          <w:rFonts w:hint="eastAsia" w:ascii="仿宋_GB2312" w:hAnsi="仿宋_GB2312" w:eastAsia="仿宋_GB2312" w:cs="仿宋_GB2312"/>
          <w:color w:val="auto"/>
          <w:sz w:val="32"/>
          <w:szCs w:val="32"/>
          <w:lang w:val="zh-CN"/>
        </w:rPr>
        <w:t>到</w:t>
      </w:r>
      <w:r>
        <w:rPr>
          <w:rFonts w:hint="default" w:ascii="Times New Roman" w:hAnsi="Times New Roman" w:eastAsia="仿宋_GB2312" w:cs="Times New Roman"/>
          <w:color w:val="auto"/>
          <w:sz w:val="32"/>
          <w:szCs w:val="32"/>
        </w:rPr>
        <w:t>2026</w:t>
      </w:r>
      <w:r>
        <w:rPr>
          <w:rFonts w:hint="eastAsia" w:ascii="仿宋_GB2312" w:hAnsi="仿宋_GB2312" w:eastAsia="仿宋_GB2312" w:cs="仿宋_GB2312"/>
          <w:color w:val="auto"/>
          <w:sz w:val="32"/>
          <w:szCs w:val="32"/>
        </w:rPr>
        <w:t>年，基本</w:t>
      </w:r>
      <w:r>
        <w:rPr>
          <w:rFonts w:hint="eastAsia" w:ascii="仿宋_GB2312" w:hAnsi="仿宋_GB2312" w:eastAsia="仿宋_GB2312" w:cs="仿宋_GB2312"/>
          <w:color w:val="auto"/>
          <w:sz w:val="32"/>
          <w:szCs w:val="32"/>
          <w:lang w:val="zh-CN"/>
        </w:rPr>
        <w:t>建成居家社区机构相协调、医康养相结合的多层次养老服务体系，</w:t>
      </w:r>
      <w:r>
        <w:rPr>
          <w:rFonts w:hint="eastAsia" w:ascii="仿宋_GB2312" w:hAnsi="仿宋_GB2312" w:eastAsia="仿宋_GB2312" w:cs="仿宋_GB2312"/>
          <w:color w:val="auto"/>
          <w:sz w:val="32"/>
          <w:szCs w:val="32"/>
        </w:rPr>
        <w:t>实现养老服务工作体系健全、专业力量充足、协同联动高效、市场主体活跃的养老服务高质量发展新局面，使东城区</w:t>
      </w:r>
      <w:r>
        <w:rPr>
          <w:rFonts w:hint="eastAsia" w:ascii="仿宋_GB2312" w:hAnsi="仿宋_GB2312" w:eastAsia="仿宋_GB2312" w:cs="仿宋_GB2312"/>
          <w:color w:val="auto"/>
          <w:sz w:val="32"/>
          <w:szCs w:val="32"/>
          <w:lang w:val="zh-CN"/>
        </w:rPr>
        <w:t>“老老人”静享晚年，活力老人乐享生活。</w:t>
      </w:r>
    </w:p>
    <w:p>
      <w:pPr>
        <w:pStyle w:val="13"/>
        <w:widowControl w:val="0"/>
        <w:adjustRightInd/>
        <w:snapToGrid/>
        <w:spacing w:line="560" w:lineRule="exact"/>
        <w:ind w:firstLine="640" w:firstLineChars="200"/>
        <w:jc w:val="both"/>
        <w:textAlignment w:val="auto"/>
        <w:rPr>
          <w:rFonts w:eastAsia="黑体"/>
          <w:color w:val="auto"/>
          <w:sz w:val="32"/>
          <w:szCs w:val="32"/>
          <w:lang w:val="zh-CN"/>
        </w:rPr>
      </w:pPr>
      <w:r>
        <w:rPr>
          <w:rFonts w:eastAsia="黑体"/>
          <w:color w:val="auto"/>
          <w:sz w:val="32"/>
          <w:szCs w:val="32"/>
          <w:lang w:val="zh-CN"/>
        </w:rPr>
        <w:t>四、重点工作</w:t>
      </w:r>
    </w:p>
    <w:p>
      <w:pPr>
        <w:widowControl w:val="0"/>
        <w:adjustRightInd/>
        <w:snapToGrid/>
        <w:spacing w:line="560" w:lineRule="exact"/>
        <w:ind w:firstLine="640"/>
        <w:textAlignment w:val="auto"/>
        <w:rPr>
          <w:rFonts w:eastAsia="楷体_GB2312"/>
          <w:color w:val="auto"/>
          <w:sz w:val="32"/>
          <w:szCs w:val="32"/>
          <w:lang w:val="zh-CN"/>
        </w:rPr>
      </w:pPr>
      <w:r>
        <w:rPr>
          <w:rFonts w:eastAsia="楷体_GB2312"/>
          <w:color w:val="auto"/>
          <w:sz w:val="32"/>
          <w:szCs w:val="32"/>
          <w:lang w:val="zh-CN"/>
        </w:rPr>
        <w:t>（一）聚焦顶层设计，</w:t>
      </w:r>
      <w:r>
        <w:rPr>
          <w:rFonts w:eastAsia="楷体_GB2312"/>
          <w:color w:val="auto"/>
          <w:sz w:val="32"/>
          <w:szCs w:val="32"/>
        </w:rPr>
        <w:t>推动养老服务运行系统化</w:t>
      </w:r>
    </w:p>
    <w:p>
      <w:pPr>
        <w:pStyle w:val="7"/>
        <w:widowControl w:val="0"/>
        <w:adjustRightInd/>
        <w:snapToGrid/>
        <w:spacing w:line="560" w:lineRule="exact"/>
        <w:ind w:firstLine="640"/>
        <w:textAlignment w:val="auto"/>
        <w:rPr>
          <w:rFonts w:eastAsia="楷体_GB2312"/>
          <w:color w:val="auto"/>
          <w:sz w:val="32"/>
          <w:szCs w:val="32"/>
        </w:rPr>
      </w:pPr>
      <w:r>
        <w:rPr>
          <w:rFonts w:hint="default" w:ascii="Times New Roman" w:hAnsi="Times New Roman" w:eastAsia="仿宋_GB2312" w:cs="Times New Roman"/>
          <w:b/>
          <w:bCs/>
          <w:color w:val="auto"/>
          <w:sz w:val="32"/>
          <w:szCs w:val="32"/>
        </w:rPr>
        <w:t>1.</w:t>
      </w:r>
      <w:r>
        <w:rPr>
          <w:rFonts w:hint="eastAsia" w:ascii="仿宋_GB2312" w:hAnsi="仿宋_GB2312" w:eastAsia="仿宋_GB2312" w:cs="仿宋_GB2312"/>
          <w:b/>
          <w:bCs/>
          <w:color w:val="auto"/>
          <w:sz w:val="32"/>
          <w:szCs w:val="32"/>
        </w:rPr>
        <w:t>完善四级养老服务工作体系。</w:t>
      </w:r>
      <w:r>
        <w:rPr>
          <w:rFonts w:hint="eastAsia" w:ascii="仿宋_GB2312" w:hAnsi="仿宋_GB2312" w:eastAsia="仿宋_GB2312" w:cs="仿宋_GB2312"/>
          <w:color w:val="auto"/>
          <w:sz w:val="32"/>
          <w:szCs w:val="32"/>
        </w:rPr>
        <w:t>加强统筹协调，完善区级养老服务联席会议制度。强化区级养老服务指导中心“总服务台”功能，发挥养老服务资源整合、信息平台推广应用、行业监管指导作用，为“老老人”提供精准整体服务方案。发挥街道综合为老服务中心枢纽功能，实现街道养老服务需求响应、指挥调度、服务提质、培训指导、监督管理等综合施效，为老年人提供综合性、普惠性服务。统筹区域空间资源，</w:t>
      </w:r>
      <w:r>
        <w:rPr>
          <w:rFonts w:hint="eastAsia" w:ascii="仿宋_GB2312" w:hAnsi="仿宋_GB2312" w:eastAsia="仿宋_GB2312" w:cs="仿宋_GB2312"/>
          <w:color w:val="auto"/>
          <w:kern w:val="2"/>
          <w:sz w:val="32"/>
          <w:szCs w:val="32"/>
        </w:rPr>
        <w:t>推动符合条件的养老照料中心，加快转型升级为街道综合为老服务中心，</w:t>
      </w:r>
      <w:r>
        <w:rPr>
          <w:rFonts w:hint="eastAsia" w:ascii="仿宋_GB2312" w:hAnsi="仿宋_GB2312" w:eastAsia="仿宋_GB2312" w:cs="仿宋_GB2312"/>
          <w:color w:val="auto"/>
          <w:sz w:val="32"/>
          <w:szCs w:val="32"/>
        </w:rPr>
        <w:t>实现各街道综合为老服务中心全覆盖。优化社区养老服务驿站“服务前台”功能，为老年人就近就便提供助餐、助医、助浴、助洁、巡访等服务。建立街道综合为老服务中心、社区养老服务驿站统筹招募机制，推进养老服务机构品牌化、连锁化运营。持续推进养老家庭照护床位建设，为重度失能、失智和重度残疾等老年人提供居家照护支持。引导家庭履行赡养老年人责任和义务，根据需求匹配社区养老服务资源，通过市场获取服务。</w:t>
      </w:r>
      <w:r>
        <w:rPr>
          <w:rFonts w:eastAsia="楷体_GB2312"/>
          <w:color w:val="auto"/>
          <w:sz w:val="32"/>
          <w:szCs w:val="32"/>
        </w:rPr>
        <w:t>（责任单位：区民政局、区财政局、区规自分局、区住建委、区国资委、区机关事务中心、</w:t>
      </w:r>
      <w:r>
        <w:rPr>
          <w:rFonts w:eastAsia="楷体_GB2312"/>
          <w:color w:val="auto"/>
          <w:sz w:val="32"/>
          <w:szCs w:val="32"/>
          <w:lang w:val="zh-CN"/>
        </w:rPr>
        <w:t>各街道、</w:t>
      </w:r>
      <w:r>
        <w:rPr>
          <w:rFonts w:eastAsia="楷体_GB2312"/>
          <w:color w:val="auto"/>
          <w:sz w:val="32"/>
          <w:szCs w:val="32"/>
        </w:rPr>
        <w:t>养老服务联席会议成员单位）</w:t>
      </w:r>
    </w:p>
    <w:p>
      <w:pPr>
        <w:widowControl w:val="0"/>
        <w:adjustRightInd/>
        <w:snapToGrid/>
        <w:spacing w:line="560" w:lineRule="exact"/>
        <w:ind w:firstLine="643" w:firstLineChars="200"/>
        <w:textAlignment w:val="auto"/>
        <w:rPr>
          <w:rFonts w:eastAsia="仿宋_GB2312"/>
          <w:b/>
          <w:color w:val="auto"/>
          <w:sz w:val="32"/>
          <w:szCs w:val="32"/>
        </w:rPr>
      </w:pPr>
      <w:r>
        <w:rPr>
          <w:rFonts w:eastAsia="仿宋_GB2312"/>
          <w:b/>
          <w:bCs/>
          <w:color w:val="auto"/>
          <w:sz w:val="32"/>
          <w:szCs w:val="32"/>
        </w:rPr>
        <w:t>2.优化调整养老服务设施布局。</w:t>
      </w:r>
      <w:r>
        <w:rPr>
          <w:rFonts w:eastAsia="仿宋_GB2312"/>
          <w:color w:val="auto"/>
          <w:sz w:val="32"/>
          <w:szCs w:val="32"/>
        </w:rPr>
        <w:t>完成东城区养老服务专项规划编制实施工作，优化养老服务设施布局，确保养老服务设施落图落位。严格落实新建住宅小区配建养老服务设施同步规划、同步建设、同步验收、同步交付。开展街道养老服务设施补短板行动，推动城市更新行动计划腾退的闲置房产和空间</w:t>
      </w:r>
      <w:r>
        <w:rPr>
          <w:rFonts w:hint="eastAsia" w:eastAsia="仿宋_GB2312"/>
          <w:color w:val="auto"/>
          <w:sz w:val="32"/>
          <w:szCs w:val="32"/>
        </w:rPr>
        <w:t>优先</w:t>
      </w:r>
      <w:r>
        <w:rPr>
          <w:rFonts w:eastAsia="仿宋_GB2312"/>
          <w:color w:val="auto"/>
          <w:sz w:val="32"/>
          <w:szCs w:val="32"/>
        </w:rPr>
        <w:t>用于养老设施建设。政府投入资源的养老服务设施优先用于基本养老服务。确保有集中供养意愿的特困老年人全部实现集中供养。</w:t>
      </w:r>
      <w:r>
        <w:rPr>
          <w:rFonts w:eastAsia="楷体_GB2312"/>
          <w:color w:val="auto"/>
          <w:sz w:val="32"/>
          <w:szCs w:val="32"/>
        </w:rPr>
        <w:t>（责任单位：区规自分局、区住建委、区财政局、区民政局、区国资委、区机关事务中心、</w:t>
      </w:r>
      <w:r>
        <w:rPr>
          <w:rFonts w:eastAsia="楷体_GB2312"/>
          <w:color w:val="auto"/>
          <w:sz w:val="32"/>
          <w:szCs w:val="32"/>
          <w:highlight w:val="none"/>
        </w:rPr>
        <w:t>区残联</w:t>
      </w:r>
      <w:r>
        <w:rPr>
          <w:rFonts w:eastAsia="楷体_GB2312"/>
          <w:color w:val="auto"/>
          <w:sz w:val="32"/>
          <w:szCs w:val="32"/>
        </w:rPr>
        <w:t>、各街道）</w:t>
      </w:r>
    </w:p>
    <w:p>
      <w:pPr>
        <w:pStyle w:val="7"/>
        <w:widowControl w:val="0"/>
        <w:spacing w:line="560" w:lineRule="exact"/>
        <w:ind w:firstLine="643" w:firstLineChars="200"/>
        <w:rPr>
          <w:rFonts w:hint="eastAsia"/>
          <w:color w:val="auto"/>
        </w:rPr>
      </w:pPr>
      <w:r>
        <w:rPr>
          <w:rFonts w:eastAsia="仿宋_GB2312"/>
          <w:b/>
          <w:color w:val="auto"/>
          <w:sz w:val="32"/>
          <w:szCs w:val="32"/>
        </w:rPr>
        <w:t>3.</w:t>
      </w:r>
      <w:r>
        <w:rPr>
          <w:rFonts w:eastAsia="仿宋_GB2312"/>
          <w:b/>
          <w:bCs/>
          <w:color w:val="auto"/>
          <w:kern w:val="2"/>
          <w:sz w:val="32"/>
          <w:szCs w:val="32"/>
        </w:rPr>
        <w:t>建立老年人信息和需求台账动态管理机制。</w:t>
      </w:r>
      <w:r>
        <w:rPr>
          <w:rFonts w:eastAsia="仿宋_GB2312"/>
          <w:color w:val="auto"/>
          <w:sz w:val="32"/>
          <w:szCs w:val="32"/>
        </w:rPr>
        <w:t>开展基本养老服务统计监测</w:t>
      </w:r>
      <w:r>
        <w:rPr>
          <w:rFonts w:eastAsia="仿宋_GB2312"/>
          <w:color w:val="auto"/>
          <w:kern w:val="2"/>
          <w:sz w:val="32"/>
          <w:szCs w:val="32"/>
        </w:rPr>
        <w:t>，完善并动态更新老年人基础信息</w:t>
      </w:r>
      <w:r>
        <w:rPr>
          <w:rFonts w:hint="eastAsia" w:eastAsia="仿宋_GB2312"/>
          <w:color w:val="auto"/>
          <w:kern w:val="2"/>
          <w:sz w:val="32"/>
          <w:szCs w:val="32"/>
        </w:rPr>
        <w:t>和服务需求</w:t>
      </w:r>
      <w:r>
        <w:rPr>
          <w:rFonts w:eastAsia="仿宋_GB2312"/>
          <w:color w:val="auto"/>
          <w:kern w:val="2"/>
          <w:sz w:val="32"/>
          <w:szCs w:val="32"/>
        </w:rPr>
        <w:t>台账。</w:t>
      </w:r>
      <w:r>
        <w:rPr>
          <w:rFonts w:eastAsia="仿宋_GB2312"/>
          <w:color w:val="auto"/>
          <w:sz w:val="32"/>
          <w:szCs w:val="32"/>
        </w:rPr>
        <w:t>发挥东城区大数据平台作用，</w:t>
      </w:r>
      <w:r>
        <w:rPr>
          <w:rFonts w:hint="eastAsia" w:eastAsia="仿宋_GB2312"/>
          <w:color w:val="auto"/>
          <w:sz w:val="32"/>
          <w:szCs w:val="32"/>
        </w:rPr>
        <w:t>实现</w:t>
      </w:r>
      <w:r>
        <w:rPr>
          <w:rFonts w:eastAsia="仿宋_GB2312"/>
          <w:color w:val="auto"/>
          <w:sz w:val="32"/>
          <w:szCs w:val="32"/>
        </w:rPr>
        <w:t>部门间</w:t>
      </w:r>
      <w:r>
        <w:rPr>
          <w:rFonts w:hint="eastAsia" w:eastAsia="仿宋_GB2312"/>
          <w:color w:val="auto"/>
          <w:sz w:val="32"/>
          <w:szCs w:val="32"/>
        </w:rPr>
        <w:t>老年人和养老服务</w:t>
      </w:r>
      <w:r>
        <w:rPr>
          <w:rFonts w:eastAsia="仿宋_GB2312"/>
          <w:color w:val="auto"/>
          <w:kern w:val="2"/>
          <w:sz w:val="32"/>
          <w:szCs w:val="32"/>
        </w:rPr>
        <w:t>数据</w:t>
      </w:r>
      <w:r>
        <w:rPr>
          <w:rFonts w:hint="eastAsia" w:eastAsia="仿宋_GB2312"/>
          <w:color w:val="auto"/>
          <w:kern w:val="2"/>
          <w:sz w:val="32"/>
          <w:szCs w:val="32"/>
        </w:rPr>
        <w:t>及时共享、</w:t>
      </w:r>
      <w:r>
        <w:rPr>
          <w:rFonts w:eastAsia="仿宋_GB2312"/>
          <w:color w:val="auto"/>
          <w:kern w:val="2"/>
          <w:sz w:val="32"/>
          <w:szCs w:val="32"/>
        </w:rPr>
        <w:t>集中管理、高效利用和统一分析</w:t>
      </w:r>
      <w:r>
        <w:rPr>
          <w:rFonts w:eastAsia="仿宋_GB2312"/>
          <w:color w:val="auto"/>
          <w:sz w:val="32"/>
          <w:szCs w:val="32"/>
        </w:rPr>
        <w:t>。</w:t>
      </w:r>
      <w:r>
        <w:rPr>
          <w:rFonts w:eastAsia="仿宋_GB2312"/>
          <w:color w:val="auto"/>
          <w:kern w:val="2"/>
          <w:sz w:val="32"/>
          <w:szCs w:val="32"/>
        </w:rPr>
        <w:t>健全困难老年人养老服务需求主动发现机制。完善老年人能力评估体系，组建专业评估队伍，优化评估工作流程，探索</w:t>
      </w:r>
      <w:r>
        <w:rPr>
          <w:rFonts w:hint="eastAsia" w:eastAsia="仿宋_GB2312"/>
          <w:color w:val="auto"/>
          <w:kern w:val="2"/>
          <w:sz w:val="32"/>
          <w:szCs w:val="32"/>
        </w:rPr>
        <w:t>实现</w:t>
      </w:r>
      <w:r>
        <w:rPr>
          <w:rFonts w:eastAsia="仿宋_GB2312"/>
          <w:color w:val="auto"/>
          <w:kern w:val="2"/>
          <w:sz w:val="32"/>
          <w:szCs w:val="32"/>
        </w:rPr>
        <w:t>评估数据</w:t>
      </w:r>
      <w:r>
        <w:rPr>
          <w:rFonts w:hint="eastAsia" w:eastAsia="仿宋_GB2312"/>
          <w:color w:val="auto"/>
          <w:kern w:val="2"/>
          <w:sz w:val="32"/>
          <w:szCs w:val="32"/>
        </w:rPr>
        <w:t>和结果运用</w:t>
      </w:r>
      <w:r>
        <w:rPr>
          <w:rFonts w:eastAsia="仿宋_GB2312"/>
          <w:color w:val="auto"/>
          <w:kern w:val="2"/>
          <w:sz w:val="32"/>
          <w:szCs w:val="32"/>
        </w:rPr>
        <w:t>共享</w:t>
      </w:r>
      <w:r>
        <w:rPr>
          <w:rFonts w:hint="eastAsia" w:eastAsia="仿宋_GB2312"/>
          <w:color w:val="auto"/>
          <w:sz w:val="32"/>
          <w:szCs w:val="32"/>
        </w:rPr>
        <w:t>。</w:t>
      </w:r>
      <w:r>
        <w:rPr>
          <w:rFonts w:hint="default" w:eastAsia="仿宋_GB2312"/>
          <w:color w:val="auto"/>
          <w:sz w:val="32"/>
          <w:szCs w:val="32"/>
          <w:lang w:val="en-US"/>
        </w:rPr>
        <w:t>（</w:t>
      </w:r>
      <w:r>
        <w:rPr>
          <w:rFonts w:eastAsia="楷体_GB2312"/>
          <w:color w:val="auto"/>
          <w:kern w:val="2"/>
          <w:sz w:val="32"/>
          <w:szCs w:val="32"/>
        </w:rPr>
        <w:t>责任单</w:t>
      </w:r>
      <w:r>
        <w:rPr>
          <w:rFonts w:eastAsia="楷体_GB2312"/>
          <w:color w:val="auto"/>
          <w:sz w:val="32"/>
          <w:szCs w:val="32"/>
        </w:rPr>
        <w:t>位：区民政局、区政务服务和数据管理局、区统计局、区卫健委、区残联、区医保局、区公安分局、养老服务联席会议成员单位、各街道</w:t>
      </w:r>
      <w:r>
        <w:rPr>
          <w:rFonts w:eastAsia="楷体_GB2312"/>
          <w:color w:val="auto"/>
          <w:sz w:val="32"/>
          <w:szCs w:val="32"/>
          <w:lang w:val="en-US"/>
        </w:rPr>
        <w:t>）</w:t>
      </w:r>
    </w:p>
    <w:p>
      <w:pPr>
        <w:widowControl w:val="0"/>
        <w:numPr>
          <w:numId w:val="0"/>
        </w:numPr>
        <w:adjustRightInd/>
        <w:snapToGrid/>
        <w:spacing w:line="560" w:lineRule="exact"/>
        <w:ind w:firstLine="643" w:firstLineChars="200"/>
        <w:textAlignment w:val="auto"/>
        <w:rPr>
          <w:rFonts w:eastAsia="楷体_GB2312"/>
          <w:color w:val="auto"/>
          <w:kern w:val="0"/>
          <w:sz w:val="32"/>
          <w:szCs w:val="32"/>
        </w:rPr>
      </w:pPr>
      <w:r>
        <w:rPr>
          <w:rFonts w:hint="eastAsia" w:eastAsia="仿宋_GB2312"/>
          <w:b/>
          <w:color w:val="auto"/>
          <w:sz w:val="32"/>
          <w:szCs w:val="32"/>
        </w:rPr>
        <w:t>4.</w:t>
      </w:r>
      <w:r>
        <w:rPr>
          <w:rFonts w:eastAsia="仿宋_GB2312"/>
          <w:b/>
          <w:color w:val="auto"/>
          <w:sz w:val="32"/>
          <w:szCs w:val="32"/>
          <w:lang w:val="zh-CN"/>
        </w:rPr>
        <w:t>完善基本养老服务清单</w:t>
      </w:r>
      <w:r>
        <w:rPr>
          <w:rFonts w:eastAsia="仿宋_GB2312"/>
          <w:b/>
          <w:color w:val="auto"/>
          <w:sz w:val="32"/>
          <w:szCs w:val="32"/>
        </w:rPr>
        <w:t>。</w:t>
      </w:r>
      <w:r>
        <w:rPr>
          <w:rFonts w:eastAsia="仿宋_GB2312"/>
          <w:bCs/>
          <w:color w:val="auto"/>
          <w:sz w:val="32"/>
          <w:szCs w:val="32"/>
        </w:rPr>
        <w:t>依据《国家基本养老服务清单》《北京市基本养老服务清单》，建立《北京市东城区基本养老服务清单及服务标准》，针对不同年龄、不同经济状况老年人，分类明确服务项目、服务内容及服务标准</w:t>
      </w:r>
      <w:r>
        <w:rPr>
          <w:rFonts w:hint="eastAsia" w:eastAsia="仿宋_GB2312"/>
          <w:bCs/>
          <w:color w:val="auto"/>
          <w:sz w:val="32"/>
          <w:szCs w:val="32"/>
        </w:rPr>
        <w:t>。</w:t>
      </w:r>
      <w:r>
        <w:rPr>
          <w:rFonts w:eastAsia="仿宋_GB2312"/>
          <w:bCs/>
          <w:color w:val="auto"/>
          <w:sz w:val="32"/>
          <w:szCs w:val="32"/>
        </w:rPr>
        <w:t>建立基本养老服务清单动态调整机制，依据老人需求、市场变化，进行适时调整</w:t>
      </w:r>
      <w:r>
        <w:rPr>
          <w:rFonts w:hint="eastAsia" w:eastAsia="仿宋_GB2312"/>
          <w:bCs/>
          <w:color w:val="auto"/>
          <w:sz w:val="32"/>
          <w:szCs w:val="32"/>
        </w:rPr>
        <w:t>。</w:t>
      </w:r>
      <w:r>
        <w:rPr>
          <w:rFonts w:eastAsia="仿宋_GB2312"/>
          <w:bCs/>
          <w:color w:val="auto"/>
          <w:sz w:val="32"/>
          <w:szCs w:val="32"/>
        </w:rPr>
        <w:t>健全服务供给、服务保障、服务监管等机制</w:t>
      </w:r>
      <w:r>
        <w:rPr>
          <w:rFonts w:hint="eastAsia" w:eastAsia="仿宋_GB2312"/>
          <w:bCs/>
          <w:color w:val="auto"/>
          <w:sz w:val="32"/>
          <w:szCs w:val="32"/>
        </w:rPr>
        <w:t>，促进</w:t>
      </w:r>
      <w:r>
        <w:rPr>
          <w:rFonts w:eastAsia="仿宋_GB2312"/>
          <w:bCs/>
          <w:color w:val="auto"/>
          <w:sz w:val="32"/>
          <w:szCs w:val="32"/>
        </w:rPr>
        <w:t>基本养老服务体系覆盖全体老年人。</w:t>
      </w:r>
      <w:r>
        <w:rPr>
          <w:rFonts w:eastAsia="楷体_GB2312"/>
          <w:bCs/>
          <w:color w:val="auto"/>
          <w:sz w:val="32"/>
          <w:szCs w:val="32"/>
        </w:rPr>
        <w:t>（责任单位：区民政局、区财政局</w:t>
      </w:r>
      <w:r>
        <w:rPr>
          <w:rFonts w:eastAsia="楷体_GB2312"/>
          <w:color w:val="auto"/>
          <w:kern w:val="0"/>
          <w:sz w:val="32"/>
          <w:szCs w:val="32"/>
        </w:rPr>
        <w:t>、各街道）</w:t>
      </w:r>
    </w:p>
    <w:p>
      <w:pPr>
        <w:widowControl w:val="0"/>
        <w:numPr>
          <w:numId w:val="0"/>
        </w:numPr>
        <w:adjustRightInd/>
        <w:snapToGrid/>
        <w:spacing w:line="560" w:lineRule="exact"/>
        <w:ind w:firstLine="643" w:firstLineChars="200"/>
        <w:textAlignment w:val="auto"/>
        <w:rPr>
          <w:rFonts w:eastAsia="楷体_GB2312"/>
          <w:color w:val="auto"/>
          <w:sz w:val="32"/>
          <w:szCs w:val="32"/>
        </w:rPr>
      </w:pPr>
      <w:r>
        <w:rPr>
          <w:rFonts w:hint="eastAsia" w:eastAsia="仿宋_GB2312"/>
          <w:b/>
          <w:bCs/>
          <w:color w:val="auto"/>
          <w:sz w:val="32"/>
          <w:szCs w:val="32"/>
        </w:rPr>
        <w:t>5.</w:t>
      </w:r>
      <w:r>
        <w:rPr>
          <w:rFonts w:eastAsia="仿宋_GB2312"/>
          <w:b/>
          <w:bCs/>
          <w:color w:val="auto"/>
          <w:sz w:val="32"/>
          <w:szCs w:val="32"/>
        </w:rPr>
        <w:t>健全养老领域资金综合保障机制。</w:t>
      </w:r>
      <w:r>
        <w:rPr>
          <w:rFonts w:hint="eastAsia" w:ascii="Times New Roman" w:hAnsi="Times New Roman" w:eastAsia="仿宋_GB2312" w:cs="仿宋_GB2312"/>
          <w:b w:val="0"/>
          <w:bCs w:val="0"/>
          <w:color w:val="auto"/>
          <w:kern w:val="2"/>
          <w:sz w:val="32"/>
          <w:szCs w:val="32"/>
          <w:highlight w:val="none"/>
          <w:lang w:val="en-US" w:eastAsia="zh-CN" w:bidi="ar-SA"/>
        </w:rPr>
        <w:t>建</w:t>
      </w:r>
      <w:r>
        <w:rPr>
          <w:rFonts w:hint="eastAsia" w:ascii="Times New Roman" w:hAnsi="Times New Roman" w:eastAsia="仿宋_GB2312" w:cs="仿宋_GB2312"/>
          <w:color w:val="auto"/>
          <w:kern w:val="2"/>
          <w:sz w:val="32"/>
          <w:szCs w:val="32"/>
          <w:highlight w:val="none"/>
          <w:lang w:val="en-US" w:eastAsia="zh-CN" w:bidi="ar-SA"/>
        </w:rPr>
        <w:t>立与区域老年人口增长相协调、与</w:t>
      </w:r>
      <w:r>
        <w:rPr>
          <w:rFonts w:hint="eastAsia" w:ascii="Times New Roman" w:hAnsi="Times New Roman" w:eastAsia="仿宋_GB2312" w:cs="仿宋_GB2312"/>
          <w:b w:val="0"/>
          <w:bCs w:val="0"/>
          <w:color w:val="auto"/>
          <w:kern w:val="2"/>
          <w:sz w:val="32"/>
          <w:szCs w:val="32"/>
          <w:highlight w:val="none"/>
          <w:lang w:val="en-US" w:eastAsia="zh-CN" w:bidi="ar-SA"/>
        </w:rPr>
        <w:t>财政可承受能力</w:t>
      </w:r>
      <w:r>
        <w:rPr>
          <w:rFonts w:hint="eastAsia" w:ascii="Times New Roman" w:hAnsi="Times New Roman" w:eastAsia="仿宋_GB2312" w:cs="仿宋_GB2312"/>
          <w:color w:val="auto"/>
          <w:kern w:val="2"/>
          <w:sz w:val="32"/>
          <w:szCs w:val="32"/>
          <w:highlight w:val="none"/>
          <w:lang w:val="en-US" w:eastAsia="zh-CN" w:bidi="ar-SA"/>
        </w:rPr>
        <w:t>相匹配的养老服务工作经费保障机制，确保养老领域财政投入的科学性、精准性、稳定性和连续性</w:t>
      </w:r>
      <w:r>
        <w:rPr>
          <w:rFonts w:hint="eastAsia" w:ascii="Times New Roman" w:hAnsi="Times New Roman" w:eastAsia="仿宋_GB2312" w:cs="仿宋_GB2312"/>
          <w:color w:val="auto"/>
          <w:sz w:val="32"/>
          <w:szCs w:val="32"/>
          <w:highlight w:val="none"/>
          <w:lang w:eastAsia="zh-CN"/>
        </w:rPr>
        <w:t>。统筹上级补助和</w:t>
      </w:r>
      <w:r>
        <w:rPr>
          <w:rFonts w:hint="eastAsia" w:ascii="Times New Roman" w:hAnsi="Times New Roman" w:eastAsia="仿宋_GB2312" w:cs="仿宋_GB2312"/>
          <w:b w:val="0"/>
          <w:bCs w:val="0"/>
          <w:color w:val="auto"/>
          <w:sz w:val="32"/>
          <w:szCs w:val="32"/>
          <w:highlight w:val="none"/>
          <w:lang w:eastAsia="zh-CN"/>
        </w:rPr>
        <w:t>区级财力</w:t>
      </w:r>
      <w:r>
        <w:rPr>
          <w:rFonts w:hint="eastAsia" w:eastAsia="仿宋_GB2312" w:cs="仿宋_GB2312"/>
          <w:color w:val="auto"/>
          <w:sz w:val="32"/>
          <w:szCs w:val="32"/>
          <w:highlight w:val="none"/>
          <w:lang w:eastAsia="zh-CN"/>
        </w:rPr>
        <w:t>，</w:t>
      </w:r>
      <w:r>
        <w:rPr>
          <w:rFonts w:eastAsia="仿宋_GB2312"/>
          <w:color w:val="auto"/>
          <w:sz w:val="32"/>
          <w:szCs w:val="32"/>
        </w:rPr>
        <w:t>保障养老服务各项政策落实。鼓励银行保险机构参与养老服务机构建设，依法合规为养老服务运营主体、养老助餐服务机构</w:t>
      </w:r>
      <w:r>
        <w:rPr>
          <w:rFonts w:hint="eastAsia" w:eastAsia="仿宋_GB2312"/>
          <w:color w:val="auto"/>
          <w:sz w:val="32"/>
          <w:szCs w:val="32"/>
        </w:rPr>
        <w:t>等</w:t>
      </w:r>
      <w:r>
        <w:rPr>
          <w:rFonts w:eastAsia="仿宋_GB2312"/>
          <w:color w:val="auto"/>
          <w:sz w:val="32"/>
          <w:szCs w:val="32"/>
        </w:rPr>
        <w:t>提供资金支持。持续优化涉老保险产品供给，探索开展养老信托。</w:t>
      </w:r>
      <w:r>
        <w:rPr>
          <w:rFonts w:eastAsia="仿宋_GB2312"/>
          <w:color w:val="auto"/>
          <w:sz w:val="32"/>
          <w:szCs w:val="32"/>
          <w:lang w:val="en-US"/>
        </w:rPr>
        <w:t>（</w:t>
      </w:r>
      <w:r>
        <w:rPr>
          <w:rFonts w:eastAsia="楷体_GB2312"/>
          <w:color w:val="auto"/>
          <w:sz w:val="32"/>
          <w:szCs w:val="32"/>
        </w:rPr>
        <w:t>责任单位：区财政局、区发改委、区民政局</w:t>
      </w:r>
      <w:r>
        <w:rPr>
          <w:rFonts w:eastAsia="楷体_GB2312"/>
          <w:color w:val="auto"/>
          <w:sz w:val="32"/>
          <w:szCs w:val="32"/>
          <w:lang w:val="en-US"/>
        </w:rPr>
        <w:t>）</w:t>
      </w:r>
    </w:p>
    <w:p>
      <w:pPr>
        <w:widowControl w:val="0"/>
        <w:adjustRightInd/>
        <w:snapToGrid/>
        <w:spacing w:line="560" w:lineRule="exact"/>
        <w:ind w:firstLine="640" w:firstLineChars="200"/>
        <w:textAlignment w:val="auto"/>
        <w:rPr>
          <w:rFonts w:eastAsia="楷体_GB2312"/>
          <w:color w:val="auto"/>
          <w:sz w:val="32"/>
          <w:szCs w:val="32"/>
        </w:rPr>
      </w:pPr>
      <w:r>
        <w:rPr>
          <w:rFonts w:eastAsia="楷体_GB2312"/>
          <w:color w:val="auto"/>
          <w:sz w:val="32"/>
          <w:szCs w:val="32"/>
        </w:rPr>
        <w:t>（二）聚焦</w:t>
      </w:r>
      <w:r>
        <w:rPr>
          <w:rFonts w:hint="eastAsia" w:eastAsia="楷体_GB2312"/>
          <w:color w:val="auto"/>
          <w:sz w:val="32"/>
          <w:szCs w:val="32"/>
        </w:rPr>
        <w:t>重点领域</w:t>
      </w:r>
      <w:r>
        <w:rPr>
          <w:rFonts w:eastAsia="楷体_GB2312"/>
          <w:color w:val="auto"/>
          <w:sz w:val="32"/>
          <w:szCs w:val="32"/>
        </w:rPr>
        <w:t>，突出养老服务保障精准化</w:t>
      </w:r>
    </w:p>
    <w:p>
      <w:pPr>
        <w:widowControl w:val="0"/>
        <w:adjustRightInd/>
        <w:snapToGrid/>
        <w:spacing w:line="560" w:lineRule="exact"/>
        <w:ind w:firstLine="640"/>
        <w:textAlignment w:val="auto"/>
        <w:rPr>
          <w:rFonts w:eastAsia="楷体_GB2312"/>
          <w:color w:val="auto"/>
          <w:sz w:val="32"/>
          <w:szCs w:val="32"/>
        </w:rPr>
      </w:pPr>
      <w:r>
        <w:rPr>
          <w:rFonts w:eastAsia="仿宋_GB2312"/>
          <w:b/>
          <w:bCs/>
          <w:color w:val="auto"/>
          <w:sz w:val="32"/>
          <w:szCs w:val="32"/>
        </w:rPr>
        <w:t>6.加强特殊困难老年人服务保障。</w:t>
      </w:r>
      <w:r>
        <w:rPr>
          <w:rFonts w:hint="eastAsia" w:ascii="仿宋_GB2312" w:hAnsi="仿宋_GB2312" w:eastAsia="仿宋_GB2312" w:cs="仿宋_GB2312"/>
          <w:color w:val="auto"/>
          <w:sz w:val="32"/>
          <w:szCs w:val="32"/>
        </w:rPr>
        <w:t>完善百岁老人补贴保障、困境家庭老年人异地养老政策保障。依托街道综合为老服务中心、社区居委会、社区养老服务驿站、志愿服务组织等，面向特殊困难老年人提供探访关爱服务。聚焦百岁老人、“老老人”居家安全，提升消防安全技防</w:t>
      </w:r>
      <w:r>
        <w:rPr>
          <w:rFonts w:hint="eastAsia" w:ascii="仿宋_GB2312" w:hAnsi="仿宋_GB2312" w:eastAsia="仿宋_GB2312" w:cs="仿宋_GB2312"/>
          <w:color w:val="auto"/>
          <w:sz w:val="32"/>
          <w:szCs w:val="32"/>
          <w:shd w:val="clear" w:color="040000" w:fill="auto"/>
        </w:rPr>
        <w:t>器防</w:t>
      </w:r>
      <w:r>
        <w:rPr>
          <w:rFonts w:hint="eastAsia" w:ascii="仿宋_GB2312" w:hAnsi="仿宋_GB2312" w:eastAsia="仿宋_GB2312" w:cs="仿宋_GB2312"/>
          <w:color w:val="auto"/>
          <w:sz w:val="32"/>
          <w:szCs w:val="32"/>
        </w:rPr>
        <w:t>和应急协助服务能力。落实养老志愿服务“京彩时光”工作规范，支持养老服务机构、志愿服务组织和志愿者，为特殊困难老年人按需提供志愿服务。</w:t>
      </w:r>
      <w:r>
        <w:rPr>
          <w:rFonts w:eastAsia="仿宋_GB2312"/>
          <w:color w:val="auto"/>
          <w:sz w:val="32"/>
          <w:szCs w:val="32"/>
          <w:lang w:val="en-US"/>
        </w:rPr>
        <w:t>（</w:t>
      </w:r>
      <w:r>
        <w:rPr>
          <w:rFonts w:eastAsia="楷体_GB2312"/>
          <w:color w:val="auto"/>
          <w:sz w:val="32"/>
          <w:szCs w:val="32"/>
        </w:rPr>
        <w:t>责任单位：区民政局、</w:t>
      </w:r>
      <w:r>
        <w:rPr>
          <w:rFonts w:hint="eastAsia" w:eastAsia="楷体_GB2312"/>
          <w:color w:val="auto"/>
          <w:sz w:val="32"/>
          <w:szCs w:val="32"/>
          <w:lang w:val="en-US" w:eastAsia="zh-CN"/>
        </w:rPr>
        <w:t>区卫健委、</w:t>
      </w:r>
      <w:r>
        <w:rPr>
          <w:rFonts w:eastAsia="楷体_GB2312"/>
          <w:color w:val="auto"/>
          <w:sz w:val="32"/>
          <w:szCs w:val="32"/>
        </w:rPr>
        <w:t>区财政局、区委社会工作部、区残联、区消防支队、团区委、各街道</w:t>
      </w:r>
      <w:r>
        <w:rPr>
          <w:rFonts w:eastAsia="楷体_GB2312"/>
          <w:color w:val="auto"/>
          <w:sz w:val="32"/>
          <w:szCs w:val="32"/>
          <w:lang w:val="en-US"/>
        </w:rPr>
        <w:t>）</w:t>
      </w:r>
    </w:p>
    <w:p>
      <w:pPr>
        <w:widowControl w:val="0"/>
        <w:adjustRightInd/>
        <w:snapToGrid/>
        <w:spacing w:line="560" w:lineRule="exact"/>
        <w:ind w:firstLine="640"/>
        <w:textAlignment w:val="auto"/>
        <w:rPr>
          <w:rFonts w:eastAsia="楷体_GB2312"/>
          <w:color w:val="auto"/>
          <w:kern w:val="0"/>
          <w:sz w:val="32"/>
          <w:szCs w:val="32"/>
        </w:rPr>
      </w:pPr>
      <w:r>
        <w:rPr>
          <w:rFonts w:eastAsia="仿宋_GB2312"/>
          <w:b/>
          <w:bCs/>
          <w:color w:val="auto"/>
          <w:sz w:val="32"/>
          <w:szCs w:val="32"/>
        </w:rPr>
        <w:t>7.健全养老助餐服务体系。</w:t>
      </w:r>
      <w:r>
        <w:rPr>
          <w:rFonts w:eastAsia="仿宋_GB2312"/>
          <w:color w:val="auto"/>
          <w:sz w:val="32"/>
          <w:szCs w:val="32"/>
        </w:rPr>
        <w:t>健全养老助餐政策保障。建设街道全覆盖的社区餐厅，发挥街道综合为老服务中心助餐主渠道作用，积极发展养老</w:t>
      </w:r>
      <w:r>
        <w:rPr>
          <w:rFonts w:hint="eastAsia" w:eastAsia="仿宋_GB2312"/>
          <w:color w:val="auto"/>
          <w:sz w:val="32"/>
          <w:szCs w:val="32"/>
        </w:rPr>
        <w:t>服务</w:t>
      </w:r>
      <w:r>
        <w:rPr>
          <w:rFonts w:eastAsia="仿宋_GB2312"/>
          <w:color w:val="auto"/>
          <w:sz w:val="32"/>
          <w:szCs w:val="32"/>
        </w:rPr>
        <w:t>机构网点辐射供、社会餐饮企业分散供、集体用餐配送单位连锁供、老年餐桌补充供等多元化助餐方式</w:t>
      </w:r>
      <w:r>
        <w:rPr>
          <w:rFonts w:hint="eastAsia" w:eastAsia="仿宋_GB2312"/>
          <w:color w:val="auto"/>
          <w:sz w:val="32"/>
          <w:szCs w:val="32"/>
        </w:rPr>
        <w:t>。</w:t>
      </w:r>
      <w:r>
        <w:rPr>
          <w:rFonts w:eastAsia="仿宋_GB2312"/>
          <w:color w:val="auto"/>
          <w:sz w:val="32"/>
          <w:szCs w:val="32"/>
        </w:rPr>
        <w:t>强化养老助餐信息化支撑</w:t>
      </w:r>
      <w:r>
        <w:rPr>
          <w:rFonts w:hint="eastAsia" w:eastAsia="仿宋_GB2312"/>
          <w:color w:val="auto"/>
          <w:sz w:val="32"/>
          <w:szCs w:val="32"/>
        </w:rPr>
        <w:t>，完</w:t>
      </w:r>
      <w:r>
        <w:rPr>
          <w:rFonts w:eastAsia="仿宋_GB2312"/>
          <w:color w:val="auto"/>
          <w:sz w:val="32"/>
          <w:szCs w:val="32"/>
        </w:rPr>
        <w:t>善线上线下相结合、制餐助餐相配套，市场化、可持续的养老助餐服务体系。依托助餐服务网络，重点保障百岁老人、高龄独居等特殊老年人</w:t>
      </w:r>
      <w:r>
        <w:rPr>
          <w:rFonts w:hint="eastAsia" w:eastAsia="仿宋_GB2312"/>
          <w:color w:val="auto"/>
          <w:sz w:val="32"/>
          <w:szCs w:val="32"/>
        </w:rPr>
        <w:t>送</w:t>
      </w:r>
      <w:r>
        <w:rPr>
          <w:rFonts w:eastAsia="仿宋_GB2312"/>
          <w:color w:val="auto"/>
          <w:sz w:val="32"/>
          <w:szCs w:val="32"/>
        </w:rPr>
        <w:t>餐服务。</w:t>
      </w:r>
      <w:r>
        <w:rPr>
          <w:rFonts w:eastAsia="楷体_GB2312"/>
          <w:color w:val="auto"/>
          <w:sz w:val="32"/>
          <w:szCs w:val="32"/>
        </w:rPr>
        <w:t>（责任单位：区民政局、区财政局、区商务局、区市场监管局、区机关事务中心、区残</w:t>
      </w:r>
      <w:r>
        <w:rPr>
          <w:rFonts w:eastAsia="楷体_GB2312"/>
          <w:color w:val="auto"/>
          <w:kern w:val="0"/>
          <w:sz w:val="32"/>
          <w:szCs w:val="32"/>
        </w:rPr>
        <w:t>联、</w:t>
      </w:r>
      <w:r>
        <w:rPr>
          <w:rFonts w:eastAsia="楷体_GB2312"/>
          <w:color w:val="auto"/>
          <w:kern w:val="0"/>
          <w:sz w:val="32"/>
          <w:szCs w:val="32"/>
          <w:lang w:val="zh-CN"/>
        </w:rPr>
        <w:t>各街道</w:t>
      </w:r>
      <w:r>
        <w:rPr>
          <w:rFonts w:eastAsia="楷体_GB2312"/>
          <w:color w:val="auto"/>
          <w:kern w:val="0"/>
          <w:sz w:val="32"/>
          <w:szCs w:val="32"/>
        </w:rPr>
        <w:t>）</w:t>
      </w:r>
    </w:p>
    <w:p>
      <w:pPr>
        <w:pStyle w:val="6"/>
        <w:widowControl w:val="0"/>
        <w:adjustRightInd/>
        <w:snapToGrid/>
        <w:spacing w:after="0" w:line="560" w:lineRule="exact"/>
        <w:ind w:firstLine="640"/>
        <w:textAlignment w:val="auto"/>
        <w:rPr>
          <w:rFonts w:eastAsia="楷体_GB2312"/>
          <w:color w:val="auto"/>
          <w:sz w:val="32"/>
          <w:szCs w:val="32"/>
        </w:rPr>
      </w:pPr>
      <w:r>
        <w:rPr>
          <w:rFonts w:eastAsia="仿宋_GB2312"/>
          <w:b/>
          <w:bCs/>
          <w:color w:val="auto"/>
          <w:sz w:val="32"/>
          <w:szCs w:val="32"/>
        </w:rPr>
        <w:t>8.完善长期照护服务保障。</w:t>
      </w:r>
      <w:r>
        <w:rPr>
          <w:rFonts w:hint="eastAsia" w:ascii="仿宋_GB2312" w:hAnsi="仿宋_GB2312" w:eastAsia="仿宋_GB2312" w:cs="仿宋_GB2312"/>
          <w:color w:val="auto"/>
          <w:sz w:val="32"/>
          <w:szCs w:val="32"/>
        </w:rPr>
        <w:t>落实全市长期照护保障和长期护理保险制度，聚焦“老老人”刚需痛点，推广居家养老长期照护服务。将政府购买服务与直接提供服务相结合，优先保障百岁老人和经济困难的失能、高龄、重度残疾、无人照顾等老年人的服务需求。鼓励和引导企业、社会组织、个人等社会力量依法通过捐赠、设立慈善基金、志愿服务等方式，为养老服务提供支持和帮助。</w:t>
      </w:r>
      <w:r>
        <w:rPr>
          <w:rFonts w:eastAsia="仿宋_GB2312"/>
          <w:color w:val="auto"/>
          <w:sz w:val="32"/>
          <w:szCs w:val="32"/>
          <w:lang w:val="en-US"/>
        </w:rPr>
        <w:t>（</w:t>
      </w:r>
      <w:r>
        <w:rPr>
          <w:rFonts w:eastAsia="楷体_GB2312"/>
          <w:color w:val="auto"/>
          <w:sz w:val="32"/>
          <w:szCs w:val="32"/>
        </w:rPr>
        <w:t>责任单位：区民政局、区医保局、区财政局、区人保局、各街道</w:t>
      </w:r>
      <w:r>
        <w:rPr>
          <w:rFonts w:eastAsia="楷体_GB2312"/>
          <w:color w:val="auto"/>
          <w:sz w:val="32"/>
          <w:szCs w:val="32"/>
          <w:lang w:val="en-US"/>
        </w:rPr>
        <w:t>）</w:t>
      </w:r>
    </w:p>
    <w:p>
      <w:pPr>
        <w:pStyle w:val="6"/>
        <w:widowControl w:val="0"/>
        <w:adjustRightInd/>
        <w:snapToGrid/>
        <w:spacing w:after="0" w:line="560" w:lineRule="exact"/>
        <w:ind w:firstLine="640"/>
        <w:textAlignment w:val="auto"/>
        <w:rPr>
          <w:color w:val="auto"/>
        </w:rPr>
      </w:pPr>
      <w:r>
        <w:rPr>
          <w:rFonts w:eastAsia="仿宋_GB2312"/>
          <w:b/>
          <w:bCs/>
          <w:color w:val="auto"/>
          <w:sz w:val="32"/>
          <w:szCs w:val="32"/>
        </w:rPr>
        <w:t>9.加快推进无障碍环境建设。</w:t>
      </w:r>
      <w:r>
        <w:rPr>
          <w:rFonts w:hint="eastAsia" w:ascii="仿宋_GB2312" w:hAnsi="仿宋_GB2312" w:eastAsia="仿宋_GB2312" w:cs="仿宋_GB2312"/>
          <w:color w:val="auto"/>
          <w:sz w:val="32"/>
          <w:szCs w:val="32"/>
        </w:rPr>
        <w:t>完善家庭适老化改造支持政策，为有需求的百岁、重度失能、重度残疾、高龄独居、双高龄、城乡特困和低保低收入家庭老年人开展家庭适老化改造。推动“老残共助”服务，建立东城区辅具租赁指导中心，鼓励发展康复辅助器具社区租赁服务。推进老楼加装电梯等公共服务设施改造，提升无障碍环境服务水平。加强信息无障碍建设，保留线下服务途径，为老年人获取养老服务提供便利。</w:t>
      </w:r>
      <w:r>
        <w:rPr>
          <w:rFonts w:eastAsia="楷体_GB2312"/>
          <w:color w:val="auto"/>
          <w:sz w:val="32"/>
          <w:szCs w:val="32"/>
        </w:rPr>
        <w:t>（责任单位：区残联、区民政局、区财政局、区住建委、区市场监管局、各街道</w:t>
      </w:r>
      <w:r>
        <w:rPr>
          <w:rFonts w:eastAsia="楷体_GB2312"/>
          <w:color w:val="auto"/>
          <w:sz w:val="32"/>
          <w:szCs w:val="32"/>
          <w:lang w:val="en-US"/>
        </w:rPr>
        <w:t>）</w:t>
      </w:r>
    </w:p>
    <w:p>
      <w:pPr>
        <w:widowControl w:val="0"/>
        <w:adjustRightInd/>
        <w:snapToGrid/>
        <w:spacing w:line="560" w:lineRule="exact"/>
        <w:ind w:firstLine="640"/>
        <w:textAlignment w:val="auto"/>
        <w:rPr>
          <w:rFonts w:eastAsia="楷体_GB2312"/>
          <w:color w:val="auto"/>
          <w:sz w:val="32"/>
          <w:szCs w:val="32"/>
        </w:rPr>
      </w:pPr>
      <w:r>
        <w:rPr>
          <w:rFonts w:eastAsia="楷体_GB2312"/>
          <w:color w:val="auto"/>
          <w:sz w:val="32"/>
          <w:szCs w:val="32"/>
          <w:lang w:val="zh-CN"/>
        </w:rPr>
        <w:t>（三）聚焦</w:t>
      </w:r>
      <w:r>
        <w:rPr>
          <w:rFonts w:hint="eastAsia" w:eastAsia="楷体_GB2312"/>
          <w:color w:val="auto"/>
          <w:sz w:val="32"/>
          <w:szCs w:val="32"/>
          <w:lang w:val="zh-CN"/>
        </w:rPr>
        <w:t>品质提升</w:t>
      </w:r>
      <w:r>
        <w:rPr>
          <w:rFonts w:eastAsia="楷体_GB2312"/>
          <w:color w:val="auto"/>
          <w:sz w:val="32"/>
          <w:szCs w:val="32"/>
          <w:lang w:val="zh-CN"/>
        </w:rPr>
        <w:t>，</w:t>
      </w:r>
      <w:r>
        <w:rPr>
          <w:rFonts w:eastAsia="楷体_GB2312"/>
          <w:color w:val="auto"/>
          <w:sz w:val="32"/>
          <w:szCs w:val="32"/>
        </w:rPr>
        <w:t>推动养老服务供给专业化</w:t>
      </w:r>
    </w:p>
    <w:p>
      <w:pPr>
        <w:widowControl w:val="0"/>
        <w:adjustRightInd/>
        <w:snapToGrid/>
        <w:spacing w:line="560" w:lineRule="exact"/>
        <w:ind w:firstLine="640"/>
        <w:textAlignment w:val="auto"/>
        <w:rPr>
          <w:rFonts w:hint="eastAsia" w:eastAsia="宋体"/>
          <w:color w:val="auto"/>
          <w:sz w:val="21"/>
          <w:szCs w:val="22"/>
        </w:rPr>
      </w:pPr>
      <w:r>
        <w:rPr>
          <w:rFonts w:hint="eastAsia" w:eastAsia="仿宋_GB2312"/>
          <w:b/>
          <w:color w:val="auto"/>
          <w:sz w:val="32"/>
          <w:szCs w:val="32"/>
        </w:rPr>
        <w:t>10．</w:t>
      </w:r>
      <w:r>
        <w:rPr>
          <w:rFonts w:hint="eastAsia" w:eastAsia="仿宋_GB2312"/>
          <w:b/>
          <w:color w:val="auto"/>
          <w:sz w:val="32"/>
          <w:szCs w:val="32"/>
          <w:lang w:val="zh-CN"/>
        </w:rPr>
        <w:t>培育发展</w:t>
      </w:r>
      <w:r>
        <w:rPr>
          <w:rFonts w:hint="eastAsia" w:eastAsia="仿宋_GB2312"/>
          <w:b/>
          <w:bCs/>
          <w:color w:val="auto"/>
          <w:sz w:val="32"/>
          <w:szCs w:val="32"/>
        </w:rPr>
        <w:t>品牌化养老服务市场主体</w:t>
      </w:r>
      <w:r>
        <w:rPr>
          <w:rFonts w:eastAsia="仿宋_GB2312"/>
          <w:b/>
          <w:bCs/>
          <w:color w:val="auto"/>
          <w:sz w:val="32"/>
          <w:szCs w:val="32"/>
        </w:rPr>
        <w:t>。</w:t>
      </w:r>
      <w:r>
        <w:rPr>
          <w:rFonts w:hint="eastAsia" w:eastAsia="仿宋_GB2312"/>
          <w:color w:val="auto"/>
          <w:sz w:val="32"/>
          <w:szCs w:val="32"/>
        </w:rPr>
        <w:t>构建政府与优质企业沟通协作机制，</w:t>
      </w:r>
      <w:r>
        <w:rPr>
          <w:rFonts w:hint="eastAsia" w:ascii="仿宋_GB2312" w:hAnsi="仿宋_GB2312" w:eastAsia="仿宋_GB2312" w:cs="仿宋_GB2312"/>
          <w:color w:val="auto"/>
          <w:sz w:val="32"/>
          <w:szCs w:val="32"/>
        </w:rPr>
        <w:t>引入专业化养老服务品牌企业</w:t>
      </w:r>
      <w:r>
        <w:rPr>
          <w:rFonts w:eastAsia="仿宋_GB2312"/>
          <w:color w:val="auto"/>
          <w:sz w:val="32"/>
          <w:szCs w:val="32"/>
        </w:rPr>
        <w:t>加强</w:t>
      </w:r>
      <w:r>
        <w:rPr>
          <w:rFonts w:hint="eastAsia" w:eastAsia="仿宋_GB2312"/>
          <w:color w:val="auto"/>
          <w:sz w:val="32"/>
          <w:szCs w:val="32"/>
        </w:rPr>
        <w:t>合作，推动养老服务项目落地</w:t>
      </w:r>
      <w:r>
        <w:rPr>
          <w:rFonts w:hint="eastAsia" w:eastAsia="仿宋_GB2312"/>
          <w:color w:val="auto"/>
          <w:sz w:val="32"/>
          <w:szCs w:val="32"/>
          <w:highlight w:val="none"/>
        </w:rPr>
        <w:t>，</w:t>
      </w:r>
      <w:r>
        <w:rPr>
          <w:rFonts w:hint="eastAsia" w:ascii="仿宋_GB2312" w:hAnsi="仿宋_GB2312" w:eastAsia="仿宋_GB2312" w:cs="仿宋_GB2312"/>
          <w:color w:val="auto"/>
          <w:sz w:val="32"/>
          <w:szCs w:val="32"/>
        </w:rPr>
        <w:t>提供多维度、个性化、高品质的养老服务</w:t>
      </w:r>
      <w:r>
        <w:rPr>
          <w:rFonts w:hint="eastAsia" w:eastAsia="仿宋_GB2312"/>
          <w:color w:val="auto"/>
          <w:sz w:val="32"/>
          <w:szCs w:val="32"/>
        </w:rPr>
        <w:t>。加快培育以养老事业产业协同发展为目标，专业化、多元化的养老服务市场主体</w:t>
      </w:r>
      <w:r>
        <w:rPr>
          <w:rFonts w:hint="eastAsia" w:eastAsia="仿宋_GB2312"/>
          <w:color w:val="auto"/>
          <w:sz w:val="32"/>
          <w:szCs w:val="32"/>
          <w:highlight w:val="none"/>
        </w:rPr>
        <w:t>，</w:t>
      </w:r>
      <w:r>
        <w:rPr>
          <w:rFonts w:hint="eastAsia" w:ascii="仿宋_GB2312" w:hAnsi="仿宋_GB2312" w:eastAsia="仿宋_GB2312" w:cs="仿宋_GB2312"/>
          <w:color w:val="auto"/>
          <w:sz w:val="32"/>
          <w:szCs w:val="32"/>
        </w:rPr>
        <w:t>支持养老服务机构连锁化、规模化、品牌化发展，促进养老服务产品的专业化升级换代。发挥区级行业协会作用，加强行业自律互律，规范市场化服务项目、服务内容、服务标准，提升服务质量。</w:t>
      </w:r>
      <w:r>
        <w:rPr>
          <w:rFonts w:hint="eastAsia" w:ascii="楷体_GB2312" w:hAnsi="楷体_GB2312" w:eastAsia="楷体_GB2312" w:cs="楷体_GB2312"/>
          <w:color w:val="auto"/>
          <w:sz w:val="32"/>
          <w:szCs w:val="32"/>
        </w:rPr>
        <w:t>（责任单位：区民政局、区发改委、区市场监管局、区国资委、区财</w:t>
      </w:r>
      <w:r>
        <w:rPr>
          <w:rFonts w:eastAsia="楷体_GB2312"/>
          <w:color w:val="auto"/>
          <w:kern w:val="0"/>
          <w:sz w:val="32"/>
          <w:szCs w:val="32"/>
        </w:rPr>
        <w:t>政局、区消防支队、区机关事务中心、各街道</w:t>
      </w:r>
      <w:r>
        <w:rPr>
          <w:rFonts w:hint="eastAsia" w:ascii="楷体_GB2312" w:hAnsi="楷体_GB2312" w:eastAsia="楷体_GB2312" w:cs="楷体_GB2312"/>
          <w:color w:val="auto"/>
          <w:sz w:val="32"/>
          <w:szCs w:val="32"/>
        </w:rPr>
        <w:t>）</w:t>
      </w:r>
    </w:p>
    <w:p>
      <w:pPr>
        <w:pStyle w:val="7"/>
        <w:widowControl w:val="0"/>
        <w:adjustRightInd/>
        <w:snapToGrid/>
        <w:spacing w:line="560" w:lineRule="exact"/>
        <w:ind w:firstLine="643" w:firstLineChars="200"/>
        <w:textAlignment w:val="auto"/>
        <w:rPr>
          <w:rFonts w:hint="eastAsia" w:ascii="楷体_GB2312" w:hAnsi="楷体_GB2312" w:eastAsia="楷体_GB2312" w:cs="楷体_GB2312"/>
          <w:color w:val="auto"/>
          <w:kern w:val="2"/>
          <w:sz w:val="32"/>
          <w:szCs w:val="32"/>
        </w:rPr>
      </w:pPr>
      <w:r>
        <w:rPr>
          <w:rFonts w:eastAsia="仿宋_GB2312"/>
          <w:b/>
          <w:bCs/>
          <w:color w:val="auto"/>
          <w:sz w:val="32"/>
          <w:szCs w:val="32"/>
        </w:rPr>
        <w:t>1</w:t>
      </w:r>
      <w:r>
        <w:rPr>
          <w:rFonts w:hint="eastAsia" w:eastAsia="仿宋_GB2312"/>
          <w:b/>
          <w:bCs/>
          <w:color w:val="auto"/>
          <w:sz w:val="32"/>
          <w:szCs w:val="32"/>
        </w:rPr>
        <w:t>1．</w:t>
      </w:r>
      <w:r>
        <w:rPr>
          <w:rFonts w:eastAsia="仿宋_GB2312"/>
          <w:b/>
          <w:bCs/>
          <w:color w:val="auto"/>
          <w:sz w:val="32"/>
          <w:szCs w:val="32"/>
        </w:rPr>
        <w:t>深化医康养融合发展。</w:t>
      </w:r>
      <w:r>
        <w:rPr>
          <w:rFonts w:hint="eastAsia" w:ascii="仿宋_GB2312" w:hAnsi="仿宋_GB2312" w:eastAsia="仿宋_GB2312" w:cs="仿宋_GB2312"/>
          <w:color w:val="auto"/>
          <w:sz w:val="32"/>
          <w:szCs w:val="32"/>
        </w:rPr>
        <w:t>加强医康养结合特色综合为老服务中心建设，延展社区卫生服务中心为老服务功能，推进养老服务机构与社区医疗卫生机构协同共建。落实国家基本公共卫生服务项目，规范</w:t>
      </w:r>
      <w:r>
        <w:rPr>
          <w:rFonts w:hint="default" w:ascii="Times New Roman" w:hAnsi="Times New Roman" w:eastAsia="仿宋_GB2312" w:cs="Times New Roman"/>
          <w:color w:val="auto"/>
          <w:sz w:val="32"/>
          <w:szCs w:val="32"/>
        </w:rPr>
        <w:t>65</w:t>
      </w:r>
      <w:r>
        <w:rPr>
          <w:rFonts w:hint="eastAsia" w:ascii="仿宋_GB2312" w:hAnsi="仿宋_GB2312" w:eastAsia="仿宋_GB2312" w:cs="仿宋_GB2312"/>
          <w:color w:val="auto"/>
          <w:sz w:val="32"/>
          <w:szCs w:val="32"/>
        </w:rPr>
        <w:t>周岁及以上常住老年人健康管理服务。严格落实老年人家庭医生签约服务，探索家庭病床与养老家庭照护床位接续服务机制。健全百岁老人健康档案，为百岁、高龄、重度失能失智和残疾老年人提供专业化、个性化居家医疗服务。推动养老机构内部设置医疗卫生机构或与医疗卫生机构进行签约合作。</w:t>
      </w:r>
      <w:r>
        <w:rPr>
          <w:rFonts w:hint="eastAsia" w:ascii="楷体_GB2312" w:hAnsi="楷体_GB2312" w:eastAsia="楷体_GB2312" w:cs="楷体_GB2312"/>
          <w:color w:val="auto"/>
          <w:sz w:val="32"/>
          <w:szCs w:val="32"/>
          <w:lang w:val="en-US"/>
        </w:rPr>
        <w:t>（</w:t>
      </w:r>
      <w:r>
        <w:rPr>
          <w:rFonts w:hint="eastAsia" w:ascii="楷体_GB2312" w:hAnsi="楷体_GB2312" w:eastAsia="楷体_GB2312" w:cs="楷体_GB2312"/>
          <w:color w:val="auto"/>
          <w:kern w:val="2"/>
          <w:sz w:val="32"/>
          <w:szCs w:val="32"/>
        </w:rPr>
        <w:t>责任单位：区卫健委、区民政局、区残联、区国资委、各街道</w:t>
      </w:r>
      <w:r>
        <w:rPr>
          <w:rFonts w:hint="eastAsia" w:ascii="楷体_GB2312" w:hAnsi="楷体_GB2312" w:eastAsia="楷体_GB2312" w:cs="楷体_GB2312"/>
          <w:color w:val="auto"/>
          <w:kern w:val="2"/>
          <w:sz w:val="32"/>
          <w:szCs w:val="32"/>
          <w:lang w:val="en-US"/>
        </w:rPr>
        <w:t>）</w:t>
      </w:r>
    </w:p>
    <w:p>
      <w:pPr>
        <w:pStyle w:val="8"/>
        <w:spacing w:line="560" w:lineRule="exact"/>
        <w:ind w:firstLine="643" w:firstLineChars="200"/>
        <w:rPr>
          <w:rFonts w:ascii="仿宋_GB2312" w:hAnsi="仿宋_GB2312" w:eastAsia="仿宋_GB2312" w:cs="仿宋_GB2312"/>
          <w:color w:val="auto"/>
          <w:sz w:val="32"/>
          <w:szCs w:val="32"/>
        </w:rPr>
      </w:pP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加强细分领域专业力量建设。</w:t>
      </w:r>
      <w:r>
        <w:rPr>
          <w:rFonts w:hint="eastAsia" w:ascii="仿宋_GB2312" w:hAnsi="仿宋_GB2312" w:eastAsia="仿宋_GB2312" w:cs="仿宋_GB2312"/>
          <w:color w:val="auto"/>
          <w:sz w:val="32"/>
          <w:szCs w:val="32"/>
          <w:highlight w:val="none"/>
        </w:rPr>
        <w:t>完善</w:t>
      </w:r>
      <w:r>
        <w:rPr>
          <w:rFonts w:hint="eastAsia" w:ascii="仿宋_GB2312" w:hAnsi="仿宋_GB2312" w:eastAsia="仿宋_GB2312" w:cs="仿宋_GB2312"/>
          <w:color w:val="auto"/>
          <w:sz w:val="32"/>
          <w:szCs w:val="32"/>
          <w:highlight w:val="none"/>
          <w:shd w:val="clear" w:color="auto" w:fill="FFFFFF"/>
        </w:rPr>
        <w:t>照护服务、助餐服务、医疗卫生、康复护理、生活协助、文体娱乐、旅居康养、养老金融等方面的</w:t>
      </w:r>
      <w:r>
        <w:rPr>
          <w:rFonts w:hint="eastAsia" w:ascii="仿宋_GB2312" w:hAnsi="仿宋_GB2312" w:eastAsia="仿宋_GB2312" w:cs="仿宋_GB2312"/>
          <w:color w:val="auto"/>
          <w:sz w:val="32"/>
          <w:szCs w:val="32"/>
          <w:highlight w:val="none"/>
        </w:rPr>
        <w:t>服务细分领域支撑体系。培育养老服务新业态，鼓励支持相关企业推进适老服装、食品、文体用品、康复辅具、服务机器人等产品研发和配置应用。加大养老相关行业领域专业机构的协作互通，通过合作经营、链接资源等方式，补充养老服务机构的功能，</w:t>
      </w:r>
      <w:r>
        <w:rPr>
          <w:rFonts w:hint="eastAsia" w:ascii="仿宋_GB2312" w:hAnsi="仿宋_GB2312" w:eastAsia="仿宋_GB2312" w:cs="仿宋_GB2312"/>
          <w:b w:val="0"/>
          <w:bCs w:val="0"/>
          <w:color w:val="auto"/>
          <w:sz w:val="32"/>
          <w:szCs w:val="32"/>
          <w:highlight w:val="none"/>
        </w:rPr>
        <w:t>为老年人提供</w:t>
      </w:r>
      <w:r>
        <w:rPr>
          <w:rFonts w:hint="eastAsia" w:ascii="仿宋_GB2312" w:hAnsi="仿宋_GB2312" w:eastAsia="仿宋_GB2312" w:cs="仿宋_GB2312"/>
          <w:color w:val="auto"/>
          <w:sz w:val="32"/>
          <w:szCs w:val="32"/>
          <w:highlight w:val="none"/>
          <w:shd w:val="clear" w:color="auto" w:fill="FFFFFF"/>
        </w:rPr>
        <w:t>适合的养老服务、产品及</w:t>
      </w:r>
      <w:r>
        <w:rPr>
          <w:rFonts w:hint="eastAsia" w:ascii="仿宋_GB2312" w:hAnsi="仿宋_GB2312" w:eastAsia="仿宋_GB2312" w:cs="仿宋_GB2312"/>
          <w:color w:val="auto"/>
          <w:sz w:val="32"/>
          <w:szCs w:val="32"/>
          <w:highlight w:val="none"/>
        </w:rPr>
        <w:t>综合性、个性化</w:t>
      </w:r>
      <w:r>
        <w:rPr>
          <w:rFonts w:hint="eastAsia" w:ascii="仿宋_GB2312" w:hAnsi="仿宋_GB2312" w:eastAsia="仿宋_GB2312" w:cs="仿宋_GB2312"/>
          <w:b w:val="0"/>
          <w:bCs w:val="0"/>
          <w:color w:val="auto"/>
          <w:sz w:val="32"/>
          <w:szCs w:val="32"/>
          <w:highlight w:val="none"/>
        </w:rPr>
        <w:t>的养老服务</w:t>
      </w:r>
      <w:r>
        <w:rPr>
          <w:rFonts w:hint="eastAsia" w:ascii="仿宋_GB2312" w:hAnsi="仿宋_GB2312" w:eastAsia="仿宋_GB2312" w:cs="仿宋_GB2312"/>
          <w:color w:val="auto"/>
          <w:sz w:val="32"/>
          <w:szCs w:val="32"/>
          <w:highlight w:val="none"/>
        </w:rPr>
        <w:t>解决方案</w:t>
      </w:r>
      <w:r>
        <w:rPr>
          <w:rFonts w:hint="eastAsia" w:ascii="仿宋_GB2312" w:hAnsi="仿宋_GB2312" w:eastAsia="仿宋_GB2312" w:cs="仿宋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rPr>
        <w:t>（</w:t>
      </w:r>
      <w:r>
        <w:rPr>
          <w:rFonts w:hint="eastAsia" w:ascii="楷体_GB2312" w:hAnsi="楷体_GB2312" w:eastAsia="楷体_GB2312" w:cs="楷体_GB2312"/>
          <w:color w:val="auto"/>
          <w:sz w:val="32"/>
          <w:szCs w:val="32"/>
          <w:highlight w:val="none"/>
        </w:rPr>
        <w:t>责任单位：区民政局、区发改委、区</w:t>
      </w:r>
      <w:r>
        <w:rPr>
          <w:rFonts w:hint="eastAsia" w:ascii="楷体_GB2312" w:hAnsi="楷体_GB2312" w:eastAsia="楷体_GB2312" w:cs="楷体_GB2312"/>
          <w:color w:val="auto"/>
          <w:sz w:val="32"/>
          <w:szCs w:val="32"/>
        </w:rPr>
        <w:t>卫健委、区残联、区国资委、各街道</w:t>
      </w:r>
      <w:r>
        <w:rPr>
          <w:rFonts w:hint="eastAsia" w:ascii="楷体_GB2312" w:hAnsi="楷体_GB2312" w:eastAsia="楷体_GB2312" w:cs="楷体_GB2312"/>
          <w:color w:val="auto"/>
          <w:sz w:val="32"/>
          <w:szCs w:val="32"/>
          <w:lang w:val="en-US"/>
        </w:rPr>
        <w:t>）</w:t>
      </w:r>
    </w:p>
    <w:p>
      <w:pPr>
        <w:pStyle w:val="6"/>
        <w:widowControl w:val="0"/>
        <w:adjustRightInd/>
        <w:snapToGrid/>
        <w:spacing w:after="0" w:line="560" w:lineRule="exact"/>
        <w:ind w:firstLine="640"/>
        <w:textAlignment w:val="auto"/>
        <w:rPr>
          <w:rFonts w:hint="eastAsia" w:ascii="楷体_GB2312" w:hAnsi="楷体_GB2312" w:eastAsia="楷体_GB2312" w:cs="楷体_GB2312"/>
          <w:color w:val="auto"/>
          <w:sz w:val="32"/>
          <w:szCs w:val="32"/>
        </w:rPr>
      </w:pPr>
      <w:r>
        <w:rPr>
          <w:rFonts w:eastAsia="仿宋_GB2312"/>
          <w:b/>
          <w:bCs/>
          <w:color w:val="auto"/>
          <w:sz w:val="32"/>
          <w:szCs w:val="32"/>
        </w:rPr>
        <w:t>1</w:t>
      </w:r>
      <w:r>
        <w:rPr>
          <w:rFonts w:hint="eastAsia" w:eastAsia="仿宋_GB2312"/>
          <w:b/>
          <w:bCs/>
          <w:color w:val="auto"/>
          <w:sz w:val="32"/>
          <w:szCs w:val="32"/>
        </w:rPr>
        <w:t>3</w:t>
      </w:r>
      <w:r>
        <w:rPr>
          <w:rFonts w:eastAsia="仿宋_GB2312"/>
          <w:b/>
          <w:bCs/>
          <w:color w:val="auto"/>
          <w:sz w:val="32"/>
          <w:szCs w:val="32"/>
        </w:rPr>
        <w:t>.培育专业化养老服务队伍。</w:t>
      </w:r>
      <w:r>
        <w:rPr>
          <w:rFonts w:hint="eastAsia" w:ascii="仿宋_GB2312" w:hAnsi="仿宋_GB2312" w:eastAsia="仿宋_GB2312" w:cs="仿宋_GB2312"/>
          <w:color w:val="auto"/>
          <w:sz w:val="32"/>
          <w:szCs w:val="32"/>
        </w:rPr>
        <w:t>制定养老服务人才队伍建设行动计划，完善养老服务人才招聘、培训、激励等机制，建立养老护理员综合评价标准体系。支持区内职业院校与京</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外职业院校合作，定向培养养老服务人才，充实专业护理力量。建设养老服务人才实训基地、养老护理见习基地。依托街道综合为老服务中心等养老服务机构提供家庭养老指导服务。</w:t>
      </w:r>
      <w:r>
        <w:rPr>
          <w:rFonts w:hint="eastAsia" w:ascii="楷体_GB2312" w:hAnsi="楷体_GB2312" w:eastAsia="楷体_GB2312" w:cs="楷体_GB2312"/>
          <w:color w:val="auto"/>
          <w:sz w:val="32"/>
          <w:szCs w:val="32"/>
          <w:lang w:val="en-US"/>
        </w:rPr>
        <w:t>（</w:t>
      </w:r>
      <w:r>
        <w:rPr>
          <w:rFonts w:hint="eastAsia" w:ascii="楷体_GB2312" w:hAnsi="楷体_GB2312" w:eastAsia="楷体_GB2312" w:cs="楷体_GB2312"/>
          <w:color w:val="auto"/>
          <w:sz w:val="32"/>
          <w:szCs w:val="32"/>
        </w:rPr>
        <w:t>责任单位：区民政局、区教委、区财政局、区人保局、各街道</w:t>
      </w:r>
      <w:r>
        <w:rPr>
          <w:rFonts w:hint="eastAsia" w:ascii="楷体_GB2312" w:hAnsi="楷体_GB2312" w:eastAsia="楷体_GB2312" w:cs="楷体_GB2312"/>
          <w:color w:val="auto"/>
          <w:sz w:val="32"/>
          <w:szCs w:val="32"/>
          <w:lang w:val="en-US"/>
        </w:rPr>
        <w:t>）</w:t>
      </w:r>
    </w:p>
    <w:p>
      <w:pPr>
        <w:widowControl w:val="0"/>
        <w:adjustRightInd/>
        <w:snapToGrid/>
        <w:spacing w:line="560" w:lineRule="exact"/>
        <w:ind w:firstLine="640"/>
        <w:textAlignment w:val="auto"/>
        <w:rPr>
          <w:rFonts w:eastAsia="楷体_GB2312"/>
          <w:color w:val="auto"/>
          <w:sz w:val="32"/>
          <w:szCs w:val="32"/>
          <w:lang w:val="zh-CN"/>
        </w:rPr>
      </w:pPr>
      <w:r>
        <w:rPr>
          <w:rFonts w:eastAsia="楷体_GB2312"/>
          <w:color w:val="auto"/>
          <w:sz w:val="32"/>
          <w:szCs w:val="32"/>
          <w:lang w:val="zh-CN"/>
        </w:rPr>
        <w:t>（</w:t>
      </w:r>
      <w:r>
        <w:rPr>
          <w:rFonts w:hint="eastAsia" w:eastAsia="楷体_GB2312"/>
          <w:color w:val="auto"/>
          <w:sz w:val="32"/>
          <w:szCs w:val="32"/>
          <w:lang w:val="zh-CN"/>
        </w:rPr>
        <w:t>四</w:t>
      </w:r>
      <w:r>
        <w:rPr>
          <w:rFonts w:eastAsia="楷体_GB2312"/>
          <w:color w:val="auto"/>
          <w:sz w:val="32"/>
          <w:szCs w:val="32"/>
          <w:lang w:val="zh-CN"/>
        </w:rPr>
        <w:t>）</w:t>
      </w:r>
      <w:r>
        <w:rPr>
          <w:rFonts w:hint="eastAsia" w:eastAsia="楷体_GB2312"/>
          <w:color w:val="auto"/>
          <w:sz w:val="32"/>
          <w:szCs w:val="32"/>
          <w:lang w:val="zh-CN"/>
        </w:rPr>
        <w:t>聚焦协同联动</w:t>
      </w:r>
      <w:r>
        <w:rPr>
          <w:rFonts w:eastAsia="楷体_GB2312"/>
          <w:color w:val="auto"/>
          <w:sz w:val="32"/>
          <w:szCs w:val="32"/>
          <w:lang w:val="zh-CN"/>
        </w:rPr>
        <w:t>，</w:t>
      </w:r>
      <w:r>
        <w:rPr>
          <w:rFonts w:eastAsia="楷体_GB2312"/>
          <w:color w:val="auto"/>
          <w:sz w:val="32"/>
          <w:szCs w:val="32"/>
        </w:rPr>
        <w:t>探索养老服务运营市场化</w:t>
      </w:r>
    </w:p>
    <w:p>
      <w:pPr>
        <w:widowControl w:val="0"/>
        <w:adjustRightInd/>
        <w:snapToGrid/>
        <w:spacing w:line="560" w:lineRule="exact"/>
        <w:ind w:firstLine="640"/>
        <w:textAlignment w:val="auto"/>
        <w:rPr>
          <w:rFonts w:eastAsia="仿宋_GB2312"/>
          <w:color w:val="auto"/>
          <w:sz w:val="32"/>
          <w:szCs w:val="32"/>
        </w:rPr>
      </w:pPr>
      <w:r>
        <w:rPr>
          <w:rFonts w:hint="eastAsia" w:eastAsia="仿宋_GB2312"/>
          <w:b/>
          <w:bCs/>
          <w:color w:val="auto"/>
          <w:sz w:val="32"/>
          <w:szCs w:val="32"/>
        </w:rPr>
        <w:t>14</w:t>
      </w:r>
      <w:r>
        <w:rPr>
          <w:rFonts w:eastAsia="仿宋_GB2312"/>
          <w:b/>
          <w:bCs/>
          <w:color w:val="auto"/>
          <w:sz w:val="32"/>
          <w:szCs w:val="32"/>
        </w:rPr>
        <w:t>.</w:t>
      </w:r>
      <w:r>
        <w:rPr>
          <w:rFonts w:hint="eastAsia" w:eastAsia="仿宋_GB2312"/>
          <w:b/>
          <w:bCs/>
          <w:color w:val="auto"/>
          <w:sz w:val="32"/>
          <w:szCs w:val="32"/>
        </w:rPr>
        <w:t>创新居家养老服务模式</w:t>
      </w:r>
      <w:r>
        <w:rPr>
          <w:rFonts w:eastAsia="仿宋_GB2312"/>
          <w:b/>
          <w:bCs/>
          <w:color w:val="auto"/>
          <w:sz w:val="32"/>
          <w:szCs w:val="32"/>
        </w:rPr>
        <w:t>。</w:t>
      </w:r>
      <w:r>
        <w:rPr>
          <w:rFonts w:hint="eastAsia" w:eastAsia="仿宋_GB2312"/>
          <w:b w:val="0"/>
          <w:bCs w:val="0"/>
          <w:color w:val="auto"/>
          <w:sz w:val="32"/>
          <w:szCs w:val="32"/>
          <w:lang w:eastAsia="zh-CN"/>
        </w:rPr>
        <w:t>依托信息化智能平台，探索建立聚合社区助餐、居家照护、家政服务和医疗服务等内容的居家养老服务线上支持体系。</w:t>
      </w:r>
      <w:r>
        <w:rPr>
          <w:rFonts w:eastAsia="仿宋_GB2312"/>
          <w:bCs/>
          <w:color w:val="auto"/>
          <w:sz w:val="32"/>
          <w:szCs w:val="32"/>
        </w:rPr>
        <w:t>支持行业组织和市场主体根据老年人需求，定期发布市场化养老服务供给清单</w:t>
      </w:r>
      <w:r>
        <w:rPr>
          <w:rFonts w:eastAsia="仿宋_GB2312"/>
          <w:color w:val="auto"/>
          <w:sz w:val="32"/>
          <w:szCs w:val="32"/>
        </w:rPr>
        <w:t>。</w:t>
      </w:r>
      <w:r>
        <w:rPr>
          <w:rFonts w:hint="eastAsia" w:eastAsia="仿宋_GB2312"/>
          <w:color w:val="auto"/>
          <w:sz w:val="32"/>
          <w:szCs w:val="32"/>
        </w:rPr>
        <w:t>指导</w:t>
      </w:r>
      <w:r>
        <w:rPr>
          <w:rFonts w:eastAsia="仿宋_GB2312"/>
          <w:color w:val="auto"/>
          <w:sz w:val="32"/>
          <w:szCs w:val="32"/>
        </w:rPr>
        <w:t>养老服务</w:t>
      </w:r>
      <w:r>
        <w:rPr>
          <w:rFonts w:hint="eastAsia" w:eastAsia="仿宋_GB2312"/>
          <w:color w:val="auto"/>
          <w:sz w:val="32"/>
          <w:szCs w:val="32"/>
        </w:rPr>
        <w:t>机构</w:t>
      </w:r>
      <w:r>
        <w:rPr>
          <w:rFonts w:eastAsia="仿宋_GB2312"/>
          <w:color w:val="auto"/>
          <w:sz w:val="32"/>
          <w:szCs w:val="32"/>
        </w:rPr>
        <w:t>整合</w:t>
      </w:r>
      <w:r>
        <w:rPr>
          <w:rFonts w:hint="eastAsia" w:eastAsia="仿宋_GB2312"/>
          <w:color w:val="auto"/>
          <w:sz w:val="32"/>
          <w:szCs w:val="32"/>
        </w:rPr>
        <w:t>区域</w:t>
      </w:r>
      <w:r>
        <w:rPr>
          <w:rFonts w:eastAsia="仿宋_GB2312"/>
          <w:color w:val="auto"/>
          <w:sz w:val="32"/>
          <w:szCs w:val="32"/>
        </w:rPr>
        <w:t>资源，</w:t>
      </w:r>
      <w:r>
        <w:rPr>
          <w:rFonts w:hint="eastAsia" w:eastAsia="仿宋_GB2312"/>
          <w:color w:val="auto"/>
          <w:sz w:val="32"/>
          <w:szCs w:val="32"/>
        </w:rPr>
        <w:t>丰富服务项目</w:t>
      </w:r>
      <w:r>
        <w:rPr>
          <w:rFonts w:hint="eastAsia" w:eastAsia="仿宋_GB2312"/>
          <w:color w:val="auto"/>
          <w:sz w:val="32"/>
          <w:szCs w:val="32"/>
          <w:lang w:val="zh-CN"/>
        </w:rPr>
        <w:t>，</w:t>
      </w:r>
      <w:r>
        <w:rPr>
          <w:rFonts w:hint="eastAsia" w:eastAsia="仿宋_GB2312"/>
          <w:color w:val="auto"/>
          <w:sz w:val="32"/>
          <w:szCs w:val="32"/>
        </w:rPr>
        <w:t>完善服务规范，</w:t>
      </w:r>
      <w:r>
        <w:rPr>
          <w:rFonts w:eastAsia="仿宋_GB2312"/>
          <w:color w:val="auto"/>
          <w:sz w:val="32"/>
          <w:szCs w:val="32"/>
        </w:rPr>
        <w:t>为老年人提供</w:t>
      </w:r>
      <w:r>
        <w:rPr>
          <w:rFonts w:hint="eastAsia" w:eastAsia="仿宋_GB2312"/>
          <w:color w:val="auto"/>
          <w:sz w:val="32"/>
          <w:szCs w:val="32"/>
          <w:lang w:val="zh-CN"/>
        </w:rPr>
        <w:t>找得着、买得起、用得好</w:t>
      </w:r>
      <w:r>
        <w:rPr>
          <w:rFonts w:eastAsia="仿宋_GB2312"/>
          <w:color w:val="auto"/>
          <w:sz w:val="32"/>
          <w:szCs w:val="32"/>
        </w:rPr>
        <w:t>的居家养老服务</w:t>
      </w:r>
      <w:r>
        <w:rPr>
          <w:rFonts w:hint="eastAsia" w:eastAsia="仿宋_GB2312"/>
          <w:color w:val="auto"/>
          <w:sz w:val="32"/>
          <w:szCs w:val="32"/>
        </w:rPr>
        <w:t>。</w:t>
      </w:r>
      <w:r>
        <w:rPr>
          <w:rFonts w:hint="eastAsia" w:ascii="楷体_GB2312" w:hAnsi="楷体_GB2312" w:eastAsia="楷体_GB2312" w:cs="楷体_GB2312"/>
          <w:color w:val="auto"/>
          <w:sz w:val="32"/>
          <w:szCs w:val="32"/>
        </w:rPr>
        <w:t>（责任单位：区民政局、区财政局、区市场监管局、区国资委、区医保局）</w:t>
      </w:r>
    </w:p>
    <w:p>
      <w:pPr>
        <w:widowControl w:val="0"/>
        <w:adjustRightInd/>
        <w:snapToGrid/>
        <w:spacing w:line="560" w:lineRule="exact"/>
        <w:ind w:firstLine="643"/>
        <w:textAlignment w:val="auto"/>
        <w:rPr>
          <w:rFonts w:eastAsia="仿宋_GB2312"/>
          <w:b/>
          <w:color w:val="auto"/>
          <w:sz w:val="32"/>
          <w:szCs w:val="32"/>
          <w:lang w:val="zh-CN"/>
        </w:rPr>
      </w:pPr>
      <w:r>
        <w:rPr>
          <w:rFonts w:hint="eastAsia" w:eastAsia="仿宋_GB2312"/>
          <w:b/>
          <w:bCs/>
          <w:color w:val="auto"/>
          <w:sz w:val="32"/>
          <w:szCs w:val="32"/>
        </w:rPr>
        <w:t>15.推进养老服务机构市场化转型。</w:t>
      </w:r>
      <w:r>
        <w:rPr>
          <w:rFonts w:eastAsia="仿宋_GB2312"/>
          <w:color w:val="auto"/>
          <w:sz w:val="32"/>
          <w:szCs w:val="32"/>
        </w:rPr>
        <w:t>完善</w:t>
      </w:r>
      <w:r>
        <w:rPr>
          <w:rFonts w:hint="eastAsia" w:eastAsia="仿宋_GB2312"/>
          <w:color w:val="auto"/>
          <w:sz w:val="32"/>
          <w:szCs w:val="32"/>
        </w:rPr>
        <w:t>养老服务机构</w:t>
      </w:r>
      <w:r>
        <w:rPr>
          <w:rFonts w:eastAsia="仿宋_GB2312"/>
          <w:color w:val="auto"/>
          <w:sz w:val="32"/>
          <w:szCs w:val="32"/>
        </w:rPr>
        <w:t>评价标准，</w:t>
      </w:r>
      <w:r>
        <w:rPr>
          <w:rFonts w:hint="eastAsia" w:eastAsia="仿宋_GB2312"/>
          <w:color w:val="auto"/>
          <w:sz w:val="32"/>
          <w:szCs w:val="32"/>
        </w:rPr>
        <w:t>建立服务机构运营</w:t>
      </w:r>
      <w:r>
        <w:rPr>
          <w:rFonts w:eastAsia="仿宋_GB2312"/>
          <w:color w:val="auto"/>
          <w:sz w:val="32"/>
          <w:szCs w:val="32"/>
        </w:rPr>
        <w:t>以奖代补</w:t>
      </w:r>
      <w:r>
        <w:rPr>
          <w:rFonts w:hint="eastAsia" w:eastAsia="仿宋_GB2312"/>
          <w:color w:val="auto"/>
          <w:sz w:val="32"/>
          <w:szCs w:val="32"/>
        </w:rPr>
        <w:t>机制，</w:t>
      </w:r>
      <w:r>
        <w:rPr>
          <w:rFonts w:eastAsia="仿宋_GB2312"/>
          <w:color w:val="auto"/>
          <w:sz w:val="32"/>
          <w:szCs w:val="32"/>
        </w:rPr>
        <w:t>激励养老服务提质增效，</w:t>
      </w:r>
      <w:r>
        <w:rPr>
          <w:rFonts w:hint="eastAsia" w:eastAsia="仿宋_GB2312"/>
          <w:color w:val="auto"/>
          <w:sz w:val="32"/>
          <w:szCs w:val="32"/>
        </w:rPr>
        <w:t>构建市场主体“优胜劣汰、能进能出”运营格局，推动养老服务市场主体健康持续发展。</w:t>
      </w:r>
      <w:r>
        <w:rPr>
          <w:rFonts w:hint="eastAsia" w:ascii="楷体_GB2312" w:hAnsi="楷体_GB2312" w:eastAsia="楷体_GB2312" w:cs="楷体_GB2312"/>
          <w:color w:val="auto"/>
          <w:sz w:val="32"/>
          <w:szCs w:val="32"/>
        </w:rPr>
        <w:t>（责任单位：区民政局、区财政局、区消防支队、区市场监管局、区应急局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各街道）</w:t>
      </w:r>
    </w:p>
    <w:p>
      <w:pPr>
        <w:widowControl w:val="0"/>
        <w:adjustRightInd/>
        <w:snapToGrid/>
        <w:spacing w:line="560" w:lineRule="exact"/>
        <w:ind w:firstLine="643" w:firstLineChars="200"/>
        <w:textAlignment w:val="auto"/>
        <w:rPr>
          <w:rFonts w:ascii="楷体_GB2312" w:hAnsi="楷体_GB2312" w:eastAsia="楷体_GB2312" w:cs="楷体_GB2312"/>
          <w:color w:val="auto"/>
          <w:sz w:val="32"/>
          <w:szCs w:val="32"/>
        </w:rPr>
      </w:pPr>
      <w:r>
        <w:rPr>
          <w:rFonts w:hint="eastAsia" w:eastAsia="仿宋_GB2312"/>
          <w:b/>
          <w:bCs/>
          <w:color w:val="auto"/>
          <w:sz w:val="32"/>
          <w:szCs w:val="32"/>
        </w:rPr>
        <w:t>16.深化异地养老服务协同发展。</w:t>
      </w:r>
      <w:r>
        <w:rPr>
          <w:rFonts w:hint="eastAsia" w:eastAsia="仿宋_GB2312"/>
          <w:color w:val="auto"/>
          <w:sz w:val="32"/>
          <w:szCs w:val="32"/>
        </w:rPr>
        <w:t>按照“政府引导、市场运作、合作共建、同质同标”的原则，推动本区优质养老资源向环京地区延伸布局。加大京津冀养老服务资源对接交流，为本区老年人异地养老提供更多选择。</w:t>
      </w:r>
      <w:r>
        <w:rPr>
          <w:rFonts w:hint="eastAsia" w:ascii="楷体_GB2312" w:hAnsi="楷体_GB2312" w:eastAsia="楷体_GB2312" w:cs="楷体_GB2312"/>
          <w:color w:val="auto"/>
          <w:sz w:val="32"/>
          <w:szCs w:val="32"/>
          <w:lang w:val="en-US"/>
        </w:rPr>
        <w:t>（</w:t>
      </w:r>
      <w:r>
        <w:rPr>
          <w:rFonts w:hint="eastAsia" w:ascii="楷体_GB2312" w:hAnsi="楷体_GB2312" w:eastAsia="楷体_GB2312" w:cs="楷体_GB2312"/>
          <w:color w:val="auto"/>
          <w:sz w:val="32"/>
          <w:szCs w:val="32"/>
        </w:rPr>
        <w:t>责任单位：区民政局、区发改委、区财政局、区外联办、各街道</w:t>
      </w:r>
      <w:r>
        <w:rPr>
          <w:rFonts w:hint="eastAsia" w:ascii="楷体_GB2312" w:hAnsi="楷体_GB2312" w:eastAsia="楷体_GB2312" w:cs="楷体_GB2312"/>
          <w:color w:val="auto"/>
          <w:sz w:val="32"/>
          <w:szCs w:val="32"/>
          <w:lang w:val="en-US"/>
        </w:rPr>
        <w:t>）</w:t>
      </w:r>
    </w:p>
    <w:p>
      <w:pPr>
        <w:widowControl w:val="0"/>
        <w:spacing w:line="560" w:lineRule="exact"/>
        <w:ind w:firstLine="643"/>
        <w:rPr>
          <w:rFonts w:eastAsia="楷体_GB2312"/>
          <w:color w:val="auto"/>
          <w:szCs w:val="32"/>
        </w:rPr>
      </w:pPr>
      <w:r>
        <w:rPr>
          <w:rFonts w:eastAsia="仿宋_GB2312"/>
          <w:b/>
          <w:bCs/>
          <w:color w:val="auto"/>
          <w:sz w:val="32"/>
          <w:szCs w:val="32"/>
        </w:rPr>
        <w:t>1</w:t>
      </w:r>
      <w:r>
        <w:rPr>
          <w:rFonts w:hint="eastAsia" w:eastAsia="仿宋_GB2312"/>
          <w:b/>
          <w:bCs/>
          <w:color w:val="auto"/>
          <w:sz w:val="32"/>
          <w:szCs w:val="32"/>
        </w:rPr>
        <w:t>7.</w:t>
      </w:r>
      <w:r>
        <w:rPr>
          <w:rFonts w:eastAsia="仿宋_GB2312"/>
          <w:b/>
          <w:bCs/>
          <w:color w:val="auto"/>
          <w:sz w:val="32"/>
          <w:szCs w:val="32"/>
        </w:rPr>
        <w:t>加强养老服务综合监管。</w:t>
      </w:r>
      <w:r>
        <w:rPr>
          <w:rFonts w:hint="eastAsia" w:ascii="仿宋_GB2312" w:hAnsi="仿宋_GB2312" w:eastAsia="仿宋_GB2312" w:cs="仿宋_GB2312"/>
          <w:color w:val="auto"/>
          <w:sz w:val="32"/>
          <w:szCs w:val="32"/>
        </w:rPr>
        <w:t>规范养老服务机构备案、合同网签。完善养老服务机构星级评定工作。健全政府监管、行业自律、社会监督、机构自治的“四位一体”综合监管体系和“信用+风险”监管制度。制定养老服务负面清单，健全运营主体退出机制。</w:t>
      </w:r>
      <w:r>
        <w:rPr>
          <w:rFonts w:eastAsia="楷体_GB2312"/>
          <w:color w:val="auto"/>
          <w:sz w:val="32"/>
          <w:szCs w:val="32"/>
        </w:rPr>
        <w:t>（责任单位：区民政局、区财政局、区卫健委、区市场监管局、区消防支队、各街道）</w:t>
      </w:r>
    </w:p>
    <w:p>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640"/>
        <w:rPr>
          <w:rFonts w:hint="eastAsia" w:ascii="楷体_GB2312" w:hAnsi="楷体_GB2312" w:eastAsia="楷体_GB2312" w:cs="楷体_GB2312"/>
          <w:color w:val="auto"/>
          <w:sz w:val="32"/>
          <w:szCs w:val="32"/>
          <w:highlight w:val="none"/>
        </w:rPr>
      </w:pPr>
      <w:r>
        <w:rPr>
          <w:rFonts w:eastAsia="楷体_GB2312"/>
          <w:b/>
          <w:bCs/>
          <w:color w:val="auto"/>
          <w:sz w:val="32"/>
          <w:szCs w:val="32"/>
          <w:highlight w:val="none"/>
        </w:rPr>
        <w:t>18.</w:t>
      </w:r>
      <w:r>
        <w:rPr>
          <w:rFonts w:hint="eastAsia" w:eastAsia="楷体_GB2312"/>
          <w:b/>
          <w:bCs/>
          <w:color w:val="auto"/>
          <w:sz w:val="32"/>
          <w:szCs w:val="32"/>
          <w:highlight w:val="none"/>
        </w:rPr>
        <w:t>营造孝老爱</w:t>
      </w:r>
      <w:r>
        <w:rPr>
          <w:rFonts w:hint="eastAsia" w:eastAsia="楷体_GB2312"/>
          <w:b/>
          <w:bCs/>
          <w:color w:val="auto"/>
          <w:sz w:val="32"/>
          <w:szCs w:val="32"/>
          <w:highlight w:val="none"/>
          <w:lang w:eastAsia="zh-CN"/>
        </w:rPr>
        <w:t>老</w:t>
      </w:r>
      <w:r>
        <w:rPr>
          <w:rFonts w:hint="eastAsia" w:eastAsia="楷体_GB2312"/>
          <w:b/>
          <w:bCs/>
          <w:color w:val="auto"/>
          <w:sz w:val="32"/>
          <w:szCs w:val="32"/>
          <w:highlight w:val="none"/>
        </w:rPr>
        <w:t>社会氛围。</w:t>
      </w:r>
      <w:r>
        <w:rPr>
          <w:rFonts w:hint="eastAsia" w:eastAsia="仿宋_GB2312"/>
          <w:bCs/>
          <w:color w:val="auto"/>
          <w:sz w:val="32"/>
          <w:szCs w:val="32"/>
          <w:highlight w:val="none"/>
          <w:lang w:val="zh-CN"/>
        </w:rPr>
        <w:t>开展人口老龄化国情、市情、区情</w:t>
      </w:r>
      <w:r>
        <w:rPr>
          <w:rFonts w:eastAsia="仿宋_GB2312"/>
          <w:color w:val="auto"/>
          <w:sz w:val="32"/>
          <w:szCs w:val="32"/>
          <w:highlight w:val="none"/>
          <w:lang w:val="zh-CN"/>
        </w:rPr>
        <w:t>宣传</w:t>
      </w:r>
      <w:r>
        <w:rPr>
          <w:rFonts w:hint="eastAsia" w:eastAsia="仿宋_GB2312"/>
          <w:color w:val="auto"/>
          <w:sz w:val="32"/>
          <w:szCs w:val="32"/>
          <w:highlight w:val="none"/>
          <w:lang w:val="zh-CN"/>
        </w:rPr>
        <w:t>教育。推进全国示范性老年友好型社区创建工作。做好老年人权益保护工作。完善为老志愿服务体系，</w:t>
      </w:r>
      <w:r>
        <w:rPr>
          <w:rFonts w:eastAsia="仿宋_GB2312"/>
          <w:color w:val="auto"/>
          <w:sz w:val="32"/>
          <w:szCs w:val="32"/>
          <w:highlight w:val="none"/>
          <w:lang w:val="zh-CN"/>
        </w:rPr>
        <w:t>鼓励</w:t>
      </w:r>
      <w:r>
        <w:rPr>
          <w:rFonts w:hint="eastAsia" w:eastAsia="仿宋_GB2312"/>
          <w:color w:val="auto"/>
          <w:sz w:val="32"/>
          <w:szCs w:val="32"/>
          <w:highlight w:val="none"/>
          <w:lang w:val="zh-CN"/>
        </w:rPr>
        <w:t>社会力量参与为老服务</w:t>
      </w:r>
      <w:r>
        <w:rPr>
          <w:rFonts w:eastAsia="仿宋_GB2312"/>
          <w:color w:val="auto"/>
          <w:sz w:val="32"/>
          <w:szCs w:val="32"/>
          <w:highlight w:val="none"/>
          <w:lang w:val="zh-CN"/>
        </w:rPr>
        <w:t>，营造家庭、社会、政府共同参与的良好氛围。</w:t>
      </w:r>
      <w:r>
        <w:rPr>
          <w:rFonts w:hint="eastAsia" w:ascii="楷体_GB2312" w:hAnsi="楷体_GB2312" w:eastAsia="楷体_GB2312" w:cs="楷体_GB2312"/>
          <w:color w:val="auto"/>
          <w:sz w:val="32"/>
          <w:szCs w:val="32"/>
          <w:highlight w:val="none"/>
        </w:rPr>
        <w:t>（责任单位：区民政局、区委</w:t>
      </w:r>
      <w:r>
        <w:rPr>
          <w:rFonts w:hint="eastAsia" w:ascii="楷体_GB2312" w:hAnsi="楷体_GB2312" w:eastAsia="楷体_GB2312" w:cs="楷体_GB2312"/>
          <w:color w:val="auto"/>
          <w:sz w:val="32"/>
          <w:szCs w:val="32"/>
          <w:highlight w:val="none"/>
          <w:lang w:val="en-US" w:eastAsia="zh-CN"/>
        </w:rPr>
        <w:t>社会工作部</w:t>
      </w:r>
      <w:r>
        <w:rPr>
          <w:rFonts w:hint="eastAsia" w:ascii="楷体_GB2312" w:hAnsi="楷体_GB2312" w:eastAsia="楷体_GB2312" w:cs="楷体_GB2312"/>
          <w:color w:val="auto"/>
          <w:sz w:val="32"/>
          <w:szCs w:val="32"/>
          <w:highlight w:val="none"/>
        </w:rPr>
        <w:t>、区委宣传部、团区委、</w:t>
      </w:r>
      <w:r>
        <w:rPr>
          <w:rFonts w:hint="eastAsia" w:ascii="楷体_GB2312" w:hAnsi="楷体_GB2312" w:eastAsia="楷体_GB2312" w:cs="楷体_GB2312"/>
          <w:color w:val="auto"/>
          <w:sz w:val="32"/>
          <w:szCs w:val="32"/>
          <w:highlight w:val="none"/>
          <w:lang w:val="zh-CN"/>
        </w:rPr>
        <w:t>区住建委、规自分局、区卫健委、区残联、区司法局、</w:t>
      </w:r>
      <w:r>
        <w:rPr>
          <w:rFonts w:hint="eastAsia" w:ascii="楷体_GB2312" w:hAnsi="楷体_GB2312" w:eastAsia="楷体_GB2312" w:cs="楷体_GB2312"/>
          <w:color w:val="auto"/>
          <w:sz w:val="32"/>
          <w:szCs w:val="32"/>
          <w:highlight w:val="none"/>
        </w:rPr>
        <w:t>各街道）</w:t>
      </w:r>
    </w:p>
    <w:p>
      <w:pPr>
        <w:widowControl w:val="0"/>
        <w:adjustRightInd/>
        <w:snapToGrid/>
        <w:spacing w:line="560" w:lineRule="exact"/>
        <w:ind w:firstLine="640" w:firstLineChars="200"/>
        <w:textAlignment w:val="auto"/>
        <w:rPr>
          <w:rFonts w:eastAsia="黑体"/>
          <w:color w:val="auto"/>
          <w:sz w:val="32"/>
          <w:szCs w:val="32"/>
          <w:lang w:val="zh-CN"/>
        </w:rPr>
      </w:pPr>
      <w:r>
        <w:rPr>
          <w:rFonts w:hint="eastAsia" w:eastAsia="黑体"/>
          <w:color w:val="auto"/>
          <w:sz w:val="32"/>
          <w:szCs w:val="32"/>
          <w:lang w:val="zh-CN"/>
        </w:rPr>
        <w:t>五</w:t>
      </w:r>
      <w:r>
        <w:rPr>
          <w:rFonts w:eastAsia="黑体"/>
          <w:color w:val="auto"/>
          <w:sz w:val="32"/>
          <w:szCs w:val="32"/>
          <w:lang w:val="zh-CN"/>
        </w:rPr>
        <w:t>、</w:t>
      </w:r>
      <w:r>
        <w:rPr>
          <w:rFonts w:hint="eastAsia" w:eastAsia="黑体"/>
          <w:color w:val="auto"/>
          <w:sz w:val="32"/>
          <w:szCs w:val="32"/>
          <w:lang w:val="zh-CN"/>
        </w:rPr>
        <w:t>组织</w:t>
      </w:r>
      <w:r>
        <w:rPr>
          <w:rFonts w:eastAsia="黑体"/>
          <w:color w:val="auto"/>
          <w:sz w:val="32"/>
          <w:szCs w:val="32"/>
          <w:lang w:val="zh-CN"/>
        </w:rPr>
        <w:t>保障</w:t>
      </w:r>
    </w:p>
    <w:p>
      <w:pPr>
        <w:widowControl w:val="0"/>
        <w:adjustRightInd/>
        <w:snapToGrid/>
        <w:spacing w:line="560" w:lineRule="exact"/>
        <w:ind w:firstLine="640" w:firstLineChars="200"/>
        <w:textAlignment w:val="auto"/>
        <w:rPr>
          <w:rFonts w:eastAsia="仿宋_GB2312"/>
          <w:color w:val="auto"/>
          <w:sz w:val="32"/>
          <w:szCs w:val="32"/>
          <w:lang w:val="zh-CN"/>
        </w:rPr>
      </w:pPr>
      <w:r>
        <w:rPr>
          <w:rFonts w:eastAsia="楷体_GB2312"/>
          <w:color w:val="auto"/>
          <w:sz w:val="32"/>
          <w:szCs w:val="32"/>
          <w:lang w:val="zh-CN"/>
        </w:rPr>
        <w:t>（一）加强组织领导。</w:t>
      </w:r>
      <w:r>
        <w:rPr>
          <w:rFonts w:eastAsia="仿宋_GB2312"/>
          <w:color w:val="auto"/>
          <w:sz w:val="32"/>
          <w:szCs w:val="32"/>
          <w:lang w:val="zh-CN"/>
        </w:rPr>
        <w:t>充分发挥区养老服务</w:t>
      </w:r>
      <w:r>
        <w:rPr>
          <w:rFonts w:hint="eastAsia" w:eastAsia="仿宋_GB2312"/>
          <w:color w:val="auto"/>
          <w:sz w:val="32"/>
          <w:szCs w:val="32"/>
          <w:lang w:val="zh-CN"/>
        </w:rPr>
        <w:t>工作联席会</w:t>
      </w:r>
      <w:r>
        <w:rPr>
          <w:rFonts w:eastAsia="仿宋_GB2312"/>
          <w:color w:val="auto"/>
          <w:sz w:val="32"/>
          <w:szCs w:val="32"/>
          <w:lang w:val="zh-CN"/>
        </w:rPr>
        <w:t>作用，研究部署、统筹协调、监督指导全区养老服务工作，加强部门和街道的联动配合，及时研究解决养老服务工作中的重要事项和重大问题，形成推动全区养老服务工作的整体合力。</w:t>
      </w:r>
      <w:r>
        <w:rPr>
          <w:rFonts w:hint="eastAsia" w:eastAsia="仿宋_GB2312"/>
          <w:color w:val="auto"/>
          <w:sz w:val="32"/>
          <w:szCs w:val="32"/>
          <w:lang w:val="zh-CN"/>
        </w:rPr>
        <w:t>发挥养老行业党委组织优势，</w:t>
      </w:r>
      <w:r>
        <w:rPr>
          <w:rFonts w:hint="eastAsia" w:eastAsia="仿宋_GB2312"/>
          <w:bCs/>
          <w:color w:val="auto"/>
          <w:sz w:val="32"/>
          <w:szCs w:val="32"/>
          <w:lang w:val="zh-CN"/>
        </w:rPr>
        <w:t>以党建引领养老服务行业高质量发展。</w:t>
      </w:r>
    </w:p>
    <w:p>
      <w:pPr>
        <w:widowControl w:val="0"/>
        <w:suppressAutoHyphens/>
        <w:adjustRightInd/>
        <w:snapToGrid/>
        <w:spacing w:line="560" w:lineRule="exact"/>
        <w:ind w:firstLine="640"/>
        <w:textAlignment w:val="auto"/>
        <w:rPr>
          <w:rFonts w:eastAsia="仿宋_GB2312"/>
          <w:color w:val="auto"/>
          <w:sz w:val="32"/>
          <w:szCs w:val="32"/>
          <w:lang w:val="zh-CN"/>
        </w:rPr>
      </w:pPr>
      <w:r>
        <w:rPr>
          <w:rFonts w:eastAsia="楷体_GB2312"/>
          <w:color w:val="auto"/>
          <w:sz w:val="32"/>
          <w:szCs w:val="32"/>
          <w:lang w:val="zh-CN"/>
        </w:rPr>
        <w:t>（</w:t>
      </w:r>
      <w:r>
        <w:rPr>
          <w:rFonts w:hint="eastAsia" w:eastAsia="楷体_GB2312"/>
          <w:color w:val="auto"/>
          <w:sz w:val="32"/>
          <w:szCs w:val="32"/>
          <w:lang w:val="zh-CN"/>
        </w:rPr>
        <w:t>二</w:t>
      </w:r>
      <w:r>
        <w:rPr>
          <w:rFonts w:eastAsia="楷体_GB2312"/>
          <w:color w:val="auto"/>
          <w:sz w:val="32"/>
          <w:szCs w:val="32"/>
          <w:lang w:val="zh-CN"/>
        </w:rPr>
        <w:t>）</w:t>
      </w:r>
      <w:r>
        <w:rPr>
          <w:rFonts w:hint="eastAsia" w:eastAsia="楷体_GB2312"/>
          <w:color w:val="auto"/>
          <w:sz w:val="32"/>
          <w:szCs w:val="32"/>
          <w:lang w:val="zh-CN"/>
        </w:rPr>
        <w:t>加强监测</w:t>
      </w:r>
      <w:r>
        <w:rPr>
          <w:rFonts w:eastAsia="楷体_GB2312"/>
          <w:color w:val="auto"/>
          <w:sz w:val="32"/>
          <w:szCs w:val="32"/>
          <w:lang w:val="zh-CN"/>
        </w:rPr>
        <w:t>评价。</w:t>
      </w:r>
      <w:r>
        <w:rPr>
          <w:rFonts w:eastAsia="仿宋_GB2312"/>
          <w:color w:val="auto"/>
          <w:sz w:val="32"/>
          <w:szCs w:val="32"/>
          <w:lang w:val="zh-CN"/>
        </w:rPr>
        <w:t>将养老服务工作重点任务落实情况纳入考核范围，明确具体量化指标，科学开展养老服务工作考核。实行目标管理责任制，定期通报工作任务</w:t>
      </w:r>
      <w:r>
        <w:rPr>
          <w:rFonts w:hint="eastAsia" w:eastAsia="仿宋_GB2312"/>
          <w:color w:val="auto"/>
          <w:sz w:val="32"/>
          <w:szCs w:val="32"/>
          <w:lang w:val="zh-CN"/>
        </w:rPr>
        <w:t>进展</w:t>
      </w:r>
      <w:r>
        <w:rPr>
          <w:rFonts w:eastAsia="仿宋_GB2312"/>
          <w:color w:val="auto"/>
          <w:sz w:val="32"/>
          <w:szCs w:val="32"/>
          <w:lang w:val="zh-CN"/>
        </w:rPr>
        <w:t>情况，推动工作任务按时高质量完成。加强对养老服务效果的评价监测，确保工作数据精准有效，</w:t>
      </w:r>
      <w:r>
        <w:rPr>
          <w:rFonts w:hint="eastAsia" w:eastAsia="仿宋_GB2312"/>
          <w:color w:val="auto"/>
          <w:sz w:val="32"/>
          <w:szCs w:val="32"/>
          <w:lang w:val="zh-CN"/>
        </w:rPr>
        <w:t>促进</w:t>
      </w:r>
      <w:r>
        <w:rPr>
          <w:rFonts w:eastAsia="仿宋_GB2312"/>
          <w:color w:val="auto"/>
          <w:sz w:val="32"/>
          <w:szCs w:val="32"/>
          <w:lang w:val="zh-CN"/>
        </w:rPr>
        <w:t>服务效果满意度</w:t>
      </w:r>
      <w:r>
        <w:rPr>
          <w:rFonts w:hint="eastAsia" w:eastAsia="仿宋_GB2312"/>
          <w:color w:val="auto"/>
          <w:sz w:val="32"/>
          <w:szCs w:val="32"/>
          <w:lang w:val="zh-CN"/>
        </w:rPr>
        <w:t>提升</w:t>
      </w:r>
      <w:r>
        <w:rPr>
          <w:rFonts w:eastAsia="仿宋_GB2312"/>
          <w:color w:val="auto"/>
          <w:sz w:val="32"/>
          <w:szCs w:val="32"/>
          <w:lang w:val="zh-CN"/>
        </w:rPr>
        <w:t>。</w:t>
      </w:r>
    </w:p>
    <w:p>
      <w:pPr>
        <w:pStyle w:val="6"/>
        <w:widowControl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zh-CN"/>
        </w:rPr>
      </w:pPr>
      <w:r>
        <w:rPr>
          <w:rFonts w:eastAsia="楷体_GB2312"/>
          <w:color w:val="auto"/>
          <w:sz w:val="32"/>
          <w:szCs w:val="32"/>
          <w:lang w:val="zh-CN"/>
        </w:rPr>
        <w:t>（</w:t>
      </w:r>
      <w:r>
        <w:rPr>
          <w:rFonts w:hint="eastAsia" w:eastAsia="楷体_GB2312"/>
          <w:color w:val="auto"/>
          <w:sz w:val="32"/>
          <w:szCs w:val="32"/>
          <w:lang w:val="zh-CN"/>
        </w:rPr>
        <w:t>三</w:t>
      </w:r>
      <w:r>
        <w:rPr>
          <w:rFonts w:eastAsia="楷体_GB2312"/>
          <w:color w:val="auto"/>
          <w:sz w:val="32"/>
          <w:szCs w:val="32"/>
          <w:lang w:val="zh-CN"/>
        </w:rPr>
        <w:t>）加强宣传引导。</w:t>
      </w:r>
      <w:r>
        <w:rPr>
          <w:rFonts w:hint="eastAsia" w:ascii="仿宋_GB2312" w:hAnsi="仿宋_GB2312" w:eastAsia="仿宋_GB2312" w:cs="仿宋_GB2312"/>
          <w:color w:val="auto"/>
          <w:sz w:val="32"/>
          <w:szCs w:val="32"/>
          <w:lang w:val="zh-CN"/>
        </w:rPr>
        <w:t>充分运用各类媒介，主动做好政策宣传解读，及时公开辖区养老服务信息，树立积极老龄观，</w:t>
      </w:r>
      <w:r>
        <w:rPr>
          <w:rFonts w:hint="eastAsia" w:ascii="仿宋_GB2312" w:hAnsi="仿宋_GB2312" w:eastAsia="仿宋_GB2312" w:cs="仿宋_GB2312"/>
          <w:color w:val="auto"/>
          <w:sz w:val="32"/>
          <w:szCs w:val="32"/>
          <w:highlight w:val="none"/>
        </w:rPr>
        <w:t>在全社会营造孝老爱老敬老助老的浓厚氛围，</w:t>
      </w:r>
      <w:r>
        <w:rPr>
          <w:rFonts w:hint="eastAsia" w:ascii="仿宋_GB2312" w:hAnsi="仿宋_GB2312" w:eastAsia="仿宋_GB2312" w:cs="仿宋_GB2312"/>
          <w:color w:val="auto"/>
          <w:sz w:val="32"/>
          <w:szCs w:val="32"/>
          <w:lang w:val="zh-CN"/>
        </w:rPr>
        <w:t>形成全社会关注养老服务、关心养老事业、参与养老产业、支持我区养老服务体系建设的良好氛围。</w:t>
      </w:r>
    </w:p>
    <w:p>
      <w:pPr>
        <w:pStyle w:val="7"/>
        <w:widowControl w:val="0"/>
        <w:adjustRightInd/>
        <w:snapToGrid/>
        <w:spacing w:line="560" w:lineRule="exact"/>
        <w:textAlignment w:val="auto"/>
        <w:rPr>
          <w:rFonts w:eastAsia="仿宋_GB2312"/>
          <w:color w:val="auto"/>
          <w:sz w:val="32"/>
          <w:szCs w:val="32"/>
          <w:lang w:val="zh-CN"/>
        </w:rPr>
      </w:pPr>
    </w:p>
    <w:p>
      <w:pPr>
        <w:pStyle w:val="6"/>
        <w:widowControl w:val="0"/>
        <w:spacing w:after="0" w:line="560" w:lineRule="exact"/>
        <w:rPr>
          <w:color w:val="auto"/>
          <w:sz w:val="32"/>
          <w:szCs w:val="32"/>
        </w:rPr>
      </w:pPr>
    </w:p>
    <w:sectPr>
      <w:footerReference r:id="rId5"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1" w:line="176" w:lineRule="auto"/>
      <w:rPr>
        <w:rFonts w:ascii="宋体" w:hAnsi="宋体" w:cs="宋体"/>
        <w:sz w:val="29"/>
        <w:szCs w:val="29"/>
      </w:rPr>
    </w:pPr>
    <w:r>
      <w:rPr>
        <w:rFonts w:ascii="Times New Roman" w:hAnsi="Times New Roman" w:eastAsia="宋体" w:cs="Times New Roman"/>
        <w:kern w:val="2"/>
        <w:sz w:val="29"/>
        <w:szCs w:val="22"/>
        <w:lang w:val="en-US" w:eastAsia="zh-CN" w:bidi="ar-SA"/>
      </w:rPr>
      <w:pict>
        <v:rect id="文本框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11"/>
      </w:pPr>
      <w:r>
        <w:rPr>
          <w:rStyle w:val="24"/>
        </w:rPr>
        <w:footnoteRef/>
      </w:r>
      <w:r>
        <w:t xml:space="preserve"> </w:t>
      </w:r>
      <w:r>
        <w:rPr>
          <w:rFonts w:hint="eastAsia"/>
        </w:rPr>
        <w:t>老老人：指60岁及以上失能老年人和80岁及以上高龄老年人。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ThiMjk4MjI5NWRkMTgxMWQ4OGMxMTFmY2YwODUxMDUifQ=="/>
    <w:docVar w:name="KSO_WPS_MARK_KEY" w:val="167ed911-9ab6-4030-956f-d9777118fa23"/>
  </w:docVars>
  <w:rsids>
    <w:rsidRoot w:val="305B1C71"/>
    <w:rsid w:val="00034B7C"/>
    <w:rsid w:val="00045DB1"/>
    <w:rsid w:val="000E616D"/>
    <w:rsid w:val="00164DDE"/>
    <w:rsid w:val="001D4C68"/>
    <w:rsid w:val="0028608F"/>
    <w:rsid w:val="00293F51"/>
    <w:rsid w:val="00310CDC"/>
    <w:rsid w:val="003914DB"/>
    <w:rsid w:val="003C1BC8"/>
    <w:rsid w:val="003D2F8E"/>
    <w:rsid w:val="00416388"/>
    <w:rsid w:val="00431FCD"/>
    <w:rsid w:val="0046731E"/>
    <w:rsid w:val="004A5350"/>
    <w:rsid w:val="00545EDF"/>
    <w:rsid w:val="0057579E"/>
    <w:rsid w:val="00615A1A"/>
    <w:rsid w:val="006E3293"/>
    <w:rsid w:val="006F2C11"/>
    <w:rsid w:val="00737B96"/>
    <w:rsid w:val="00771BCB"/>
    <w:rsid w:val="0080633C"/>
    <w:rsid w:val="00861838"/>
    <w:rsid w:val="00874361"/>
    <w:rsid w:val="00881296"/>
    <w:rsid w:val="00976856"/>
    <w:rsid w:val="009827D5"/>
    <w:rsid w:val="009940EF"/>
    <w:rsid w:val="00994CEC"/>
    <w:rsid w:val="009E597A"/>
    <w:rsid w:val="00A078BF"/>
    <w:rsid w:val="00A73C68"/>
    <w:rsid w:val="00AA10F3"/>
    <w:rsid w:val="00AF5BDD"/>
    <w:rsid w:val="00B263F7"/>
    <w:rsid w:val="00BA4AEA"/>
    <w:rsid w:val="00BC5563"/>
    <w:rsid w:val="00C64EB9"/>
    <w:rsid w:val="00D46085"/>
    <w:rsid w:val="00DF7278"/>
    <w:rsid w:val="00E05333"/>
    <w:rsid w:val="00E50A81"/>
    <w:rsid w:val="00E87D4B"/>
    <w:rsid w:val="00ED15A5"/>
    <w:rsid w:val="011B487A"/>
    <w:rsid w:val="016B6AED"/>
    <w:rsid w:val="017D227B"/>
    <w:rsid w:val="01D26E02"/>
    <w:rsid w:val="01DD328C"/>
    <w:rsid w:val="01E86D1D"/>
    <w:rsid w:val="0207341B"/>
    <w:rsid w:val="02156697"/>
    <w:rsid w:val="03C01C29"/>
    <w:rsid w:val="03FF3B83"/>
    <w:rsid w:val="04371A65"/>
    <w:rsid w:val="04870F21"/>
    <w:rsid w:val="04C060C4"/>
    <w:rsid w:val="04F40EB6"/>
    <w:rsid w:val="06024F81"/>
    <w:rsid w:val="06223029"/>
    <w:rsid w:val="068E127E"/>
    <w:rsid w:val="07F151D3"/>
    <w:rsid w:val="08184146"/>
    <w:rsid w:val="087063A0"/>
    <w:rsid w:val="08C92A1C"/>
    <w:rsid w:val="08D42B41"/>
    <w:rsid w:val="09354BDC"/>
    <w:rsid w:val="09656575"/>
    <w:rsid w:val="09C3781B"/>
    <w:rsid w:val="09C415CD"/>
    <w:rsid w:val="0B501394"/>
    <w:rsid w:val="0B6E457E"/>
    <w:rsid w:val="0C3A4661"/>
    <w:rsid w:val="0CCF6201"/>
    <w:rsid w:val="0CE2548E"/>
    <w:rsid w:val="0D6A31B5"/>
    <w:rsid w:val="0E611A29"/>
    <w:rsid w:val="0F2A56A0"/>
    <w:rsid w:val="0F915E19"/>
    <w:rsid w:val="108C77C8"/>
    <w:rsid w:val="10E9422C"/>
    <w:rsid w:val="117919F3"/>
    <w:rsid w:val="12AB3DF5"/>
    <w:rsid w:val="14C40C90"/>
    <w:rsid w:val="16043609"/>
    <w:rsid w:val="17077778"/>
    <w:rsid w:val="172A6ACF"/>
    <w:rsid w:val="17837231"/>
    <w:rsid w:val="17C6063B"/>
    <w:rsid w:val="17FB17BF"/>
    <w:rsid w:val="181F395E"/>
    <w:rsid w:val="1851402D"/>
    <w:rsid w:val="191C631D"/>
    <w:rsid w:val="19401152"/>
    <w:rsid w:val="198E2DD8"/>
    <w:rsid w:val="19FB3199"/>
    <w:rsid w:val="1B7D53DF"/>
    <w:rsid w:val="1BBE026F"/>
    <w:rsid w:val="1D356AF0"/>
    <w:rsid w:val="1DC017B4"/>
    <w:rsid w:val="1E637952"/>
    <w:rsid w:val="1FE92BBA"/>
    <w:rsid w:val="20357CC9"/>
    <w:rsid w:val="2059287A"/>
    <w:rsid w:val="208E1462"/>
    <w:rsid w:val="20A57BD4"/>
    <w:rsid w:val="20BF1650"/>
    <w:rsid w:val="20C01416"/>
    <w:rsid w:val="20DD2557"/>
    <w:rsid w:val="20E00582"/>
    <w:rsid w:val="20EE2CF3"/>
    <w:rsid w:val="20FE2955"/>
    <w:rsid w:val="21015BF3"/>
    <w:rsid w:val="21050E97"/>
    <w:rsid w:val="21AA1BC9"/>
    <w:rsid w:val="22306899"/>
    <w:rsid w:val="22B16031"/>
    <w:rsid w:val="230F322E"/>
    <w:rsid w:val="2322220B"/>
    <w:rsid w:val="23376132"/>
    <w:rsid w:val="23686A4D"/>
    <w:rsid w:val="241B62CA"/>
    <w:rsid w:val="24260A23"/>
    <w:rsid w:val="24577831"/>
    <w:rsid w:val="250145DD"/>
    <w:rsid w:val="25A3295E"/>
    <w:rsid w:val="25B135C4"/>
    <w:rsid w:val="26B87318"/>
    <w:rsid w:val="26E770DC"/>
    <w:rsid w:val="27020062"/>
    <w:rsid w:val="2727435B"/>
    <w:rsid w:val="279D4D50"/>
    <w:rsid w:val="289C0012"/>
    <w:rsid w:val="28FA0280"/>
    <w:rsid w:val="2A3C5BB1"/>
    <w:rsid w:val="2BA76945"/>
    <w:rsid w:val="2BB05E2E"/>
    <w:rsid w:val="2CAD3FF8"/>
    <w:rsid w:val="2CEE0312"/>
    <w:rsid w:val="2D5E57F3"/>
    <w:rsid w:val="2DFF1DD0"/>
    <w:rsid w:val="2E483C7B"/>
    <w:rsid w:val="2EF82B4A"/>
    <w:rsid w:val="303F5B46"/>
    <w:rsid w:val="305B1C71"/>
    <w:rsid w:val="30845732"/>
    <w:rsid w:val="30C66732"/>
    <w:rsid w:val="310C2FD7"/>
    <w:rsid w:val="32B943DE"/>
    <w:rsid w:val="342E61B1"/>
    <w:rsid w:val="343432A6"/>
    <w:rsid w:val="35111E43"/>
    <w:rsid w:val="351810E3"/>
    <w:rsid w:val="37235A62"/>
    <w:rsid w:val="38704672"/>
    <w:rsid w:val="38720FA8"/>
    <w:rsid w:val="387B422C"/>
    <w:rsid w:val="38AF061B"/>
    <w:rsid w:val="38C1230F"/>
    <w:rsid w:val="391929FE"/>
    <w:rsid w:val="39C95892"/>
    <w:rsid w:val="3A3D4EDA"/>
    <w:rsid w:val="3ACD1E06"/>
    <w:rsid w:val="3B6F2D5B"/>
    <w:rsid w:val="3BD10428"/>
    <w:rsid w:val="3C670506"/>
    <w:rsid w:val="3E4617EE"/>
    <w:rsid w:val="3EFC018E"/>
    <w:rsid w:val="3FDB5749"/>
    <w:rsid w:val="40073A7D"/>
    <w:rsid w:val="40147176"/>
    <w:rsid w:val="401F3683"/>
    <w:rsid w:val="402F171D"/>
    <w:rsid w:val="415F08A8"/>
    <w:rsid w:val="415F60F2"/>
    <w:rsid w:val="41773E84"/>
    <w:rsid w:val="41DE6727"/>
    <w:rsid w:val="42C94D5A"/>
    <w:rsid w:val="436C20F1"/>
    <w:rsid w:val="43DC1994"/>
    <w:rsid w:val="44750F89"/>
    <w:rsid w:val="44BE7B5B"/>
    <w:rsid w:val="45433A73"/>
    <w:rsid w:val="456F36FC"/>
    <w:rsid w:val="46D21202"/>
    <w:rsid w:val="46F75B6F"/>
    <w:rsid w:val="48055EE5"/>
    <w:rsid w:val="48130E26"/>
    <w:rsid w:val="48166E10"/>
    <w:rsid w:val="487B7B2B"/>
    <w:rsid w:val="48C9702D"/>
    <w:rsid w:val="49287248"/>
    <w:rsid w:val="49D069A2"/>
    <w:rsid w:val="4A1E2BF1"/>
    <w:rsid w:val="4A285B48"/>
    <w:rsid w:val="4C2F340F"/>
    <w:rsid w:val="4C604003"/>
    <w:rsid w:val="4CBD4A6E"/>
    <w:rsid w:val="4F76345B"/>
    <w:rsid w:val="4FB817E9"/>
    <w:rsid w:val="502E537E"/>
    <w:rsid w:val="503645B1"/>
    <w:rsid w:val="50527E3B"/>
    <w:rsid w:val="507425A9"/>
    <w:rsid w:val="50AE2559"/>
    <w:rsid w:val="51D41E8C"/>
    <w:rsid w:val="525D5D12"/>
    <w:rsid w:val="52851239"/>
    <w:rsid w:val="52BB725F"/>
    <w:rsid w:val="538C6143"/>
    <w:rsid w:val="5407404D"/>
    <w:rsid w:val="541E39D7"/>
    <w:rsid w:val="55E36CD6"/>
    <w:rsid w:val="56741F2D"/>
    <w:rsid w:val="56BA2516"/>
    <w:rsid w:val="56C72E9A"/>
    <w:rsid w:val="573C78F1"/>
    <w:rsid w:val="57B7252A"/>
    <w:rsid w:val="57F33C1E"/>
    <w:rsid w:val="587D798D"/>
    <w:rsid w:val="59FE54F3"/>
    <w:rsid w:val="5AD0604F"/>
    <w:rsid w:val="5AFA58E6"/>
    <w:rsid w:val="5B112BD4"/>
    <w:rsid w:val="5BF565D3"/>
    <w:rsid w:val="5C6E5DB8"/>
    <w:rsid w:val="5C99591B"/>
    <w:rsid w:val="5CE307C8"/>
    <w:rsid w:val="5D6009A1"/>
    <w:rsid w:val="5D6A2A16"/>
    <w:rsid w:val="5E3717FE"/>
    <w:rsid w:val="5ED444F4"/>
    <w:rsid w:val="5F210415"/>
    <w:rsid w:val="5F221DB0"/>
    <w:rsid w:val="5F243095"/>
    <w:rsid w:val="5FD0686E"/>
    <w:rsid w:val="60014085"/>
    <w:rsid w:val="6070406B"/>
    <w:rsid w:val="60944B36"/>
    <w:rsid w:val="60D57A56"/>
    <w:rsid w:val="61434F45"/>
    <w:rsid w:val="615F5D7D"/>
    <w:rsid w:val="626D7CCB"/>
    <w:rsid w:val="62E04200"/>
    <w:rsid w:val="62F47675"/>
    <w:rsid w:val="63D26734"/>
    <w:rsid w:val="63D937AF"/>
    <w:rsid w:val="63DC0999"/>
    <w:rsid w:val="641149A5"/>
    <w:rsid w:val="65291158"/>
    <w:rsid w:val="65FE3F49"/>
    <w:rsid w:val="66140C73"/>
    <w:rsid w:val="670C25B6"/>
    <w:rsid w:val="67A90158"/>
    <w:rsid w:val="67E36959"/>
    <w:rsid w:val="6883397B"/>
    <w:rsid w:val="6A2912B0"/>
    <w:rsid w:val="6CAA2981"/>
    <w:rsid w:val="6DA07883"/>
    <w:rsid w:val="6DA54255"/>
    <w:rsid w:val="6DB33300"/>
    <w:rsid w:val="6E3920BD"/>
    <w:rsid w:val="6EE17456"/>
    <w:rsid w:val="6FE218B0"/>
    <w:rsid w:val="70B230E1"/>
    <w:rsid w:val="70C6413B"/>
    <w:rsid w:val="710F2FA7"/>
    <w:rsid w:val="72226263"/>
    <w:rsid w:val="7324655D"/>
    <w:rsid w:val="74180BE8"/>
    <w:rsid w:val="741962CF"/>
    <w:rsid w:val="74767F98"/>
    <w:rsid w:val="75071682"/>
    <w:rsid w:val="751F693B"/>
    <w:rsid w:val="75A74186"/>
    <w:rsid w:val="77420C54"/>
    <w:rsid w:val="77573FED"/>
    <w:rsid w:val="77745FA1"/>
    <w:rsid w:val="78655D9D"/>
    <w:rsid w:val="78DF7EAE"/>
    <w:rsid w:val="78E26A3D"/>
    <w:rsid w:val="78F60DC2"/>
    <w:rsid w:val="78FC4A24"/>
    <w:rsid w:val="793E3FB5"/>
    <w:rsid w:val="79B33E99"/>
    <w:rsid w:val="79D323F1"/>
    <w:rsid w:val="79DE3D26"/>
    <w:rsid w:val="7A304730"/>
    <w:rsid w:val="7A962D66"/>
    <w:rsid w:val="7B803409"/>
    <w:rsid w:val="7BBE2947"/>
    <w:rsid w:val="7C0D557E"/>
    <w:rsid w:val="7CE6744F"/>
    <w:rsid w:val="7D636C2C"/>
    <w:rsid w:val="7D9067BE"/>
    <w:rsid w:val="7E8769AB"/>
    <w:rsid w:val="7F3E10DB"/>
    <w:rsid w:val="7F564ECA"/>
    <w:rsid w:val="7FA7211F"/>
    <w:rsid w:val="7FC261E2"/>
    <w:rsid w:val="7FC968C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2">
    <w:name w:val="heading 3"/>
    <w:basedOn w:val="1"/>
    <w:next w:val="1"/>
    <w:unhideWhenUsed/>
    <w:qFormat/>
    <w:uiPriority w:val="0"/>
    <w:pPr>
      <w:snapToGrid w:val="0"/>
      <w:spacing w:line="560" w:lineRule="exact"/>
      <w:ind w:firstLine="640" w:firstLineChars="200"/>
      <w:outlineLvl w:val="2"/>
    </w:pPr>
    <w:rPr>
      <w:rFonts w:eastAsia="仿宋_GB2312"/>
      <w:sz w:val="32"/>
    </w:rPr>
  </w:style>
  <w:style w:type="character" w:default="1" w:styleId="14">
    <w:name w:val="Default Paragraph Font"/>
    <w:unhideWhenUsed/>
    <w:qFormat/>
    <w:uiPriority w:val="1"/>
  </w:style>
  <w:style w:type="table" w:default="1" w:styleId="27">
    <w:name w:val="Normal Table"/>
    <w:unhideWhenUsed/>
    <w:qFormat/>
    <w:uiPriority w:val="99"/>
    <w:tblPr>
      <w:tblStyle w:val="27"/>
      <w:tblLayout w:type="fixed"/>
      <w:tblCellMar>
        <w:top w:w="0" w:type="dxa"/>
        <w:left w:w="108" w:type="dxa"/>
        <w:bottom w:w="0" w:type="dxa"/>
        <w:right w:w="108" w:type="dxa"/>
      </w:tblCellMar>
    </w:tblPr>
    <w:tcPr>
      <w:textDirection w:val="lrTb"/>
    </w:tc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8">
    <w:name w:val="Plain Text"/>
    <w:basedOn w:val="1"/>
    <w:next w:val="1"/>
    <w:link w:val="84"/>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0"/>
    <w:pPr>
      <w:snapToGrid w:val="0"/>
      <w:jc w:val="left"/>
    </w:pPr>
    <w:rPr>
      <w:sz w:val="18"/>
    </w:rPr>
  </w:style>
  <w:style w:type="paragraph" w:styleId="12">
    <w:name w:val="index 9"/>
    <w:basedOn w:val="1"/>
    <w:next w:val="1"/>
    <w:qFormat/>
    <w:uiPriority w:val="0"/>
    <w:pPr>
      <w:ind w:left="1600" w:leftChars="1600"/>
    </w:pPr>
  </w:style>
  <w:style w:type="paragraph" w:styleId="13">
    <w:name w:val="Normal (Web)"/>
    <w:basedOn w:val="1"/>
    <w:qFormat/>
    <w:uiPriority w:val="0"/>
    <w:pPr>
      <w:jc w:val="left"/>
    </w:pPr>
    <w:rPr>
      <w:kern w:val="0"/>
      <w:sz w:val="24"/>
    </w:rPr>
  </w:style>
  <w:style w:type="character" w:styleId="15">
    <w:name w:val="Strong"/>
    <w:basedOn w:val="14"/>
    <w:qFormat/>
    <w:uiPriority w:val="0"/>
    <w:rPr>
      <w:b/>
      <w:bCs/>
    </w:rPr>
  </w:style>
  <w:style w:type="character" w:styleId="16">
    <w:name w:val="FollowedHyperlink"/>
    <w:basedOn w:val="14"/>
    <w:qFormat/>
    <w:uiPriority w:val="0"/>
    <w:rPr>
      <w:color w:val="576B95"/>
      <w:u w:val="none"/>
    </w:rPr>
  </w:style>
  <w:style w:type="character" w:styleId="17">
    <w:name w:val="Emphasis"/>
    <w:basedOn w:val="14"/>
    <w:qFormat/>
    <w:uiPriority w:val="0"/>
    <w:rPr/>
  </w:style>
  <w:style w:type="character" w:styleId="18">
    <w:name w:val="HTML Definition"/>
    <w:basedOn w:val="14"/>
    <w:qFormat/>
    <w:uiPriority w:val="0"/>
    <w:rPr/>
  </w:style>
  <w:style w:type="character" w:styleId="19">
    <w:name w:val="HTML Acronym"/>
    <w:basedOn w:val="14"/>
    <w:qFormat/>
    <w:uiPriority w:val="0"/>
    <w:rPr/>
  </w:style>
  <w:style w:type="character" w:styleId="20">
    <w:name w:val="HTML Variable"/>
    <w:basedOn w:val="14"/>
    <w:qFormat/>
    <w:uiPriority w:val="0"/>
    <w:rPr/>
  </w:style>
  <w:style w:type="character" w:styleId="21">
    <w:name w:val="Hyperlink"/>
    <w:basedOn w:val="14"/>
    <w:qFormat/>
    <w:uiPriority w:val="0"/>
    <w:rPr>
      <w:color w:val="576B95"/>
      <w:u w:val="none"/>
    </w:rPr>
  </w:style>
  <w:style w:type="character" w:styleId="22">
    <w:name w:val="HTML Code"/>
    <w:basedOn w:val="14"/>
    <w:qFormat/>
    <w:uiPriority w:val="0"/>
    <w:rPr>
      <w:rFonts w:hint="default" w:ascii="monospace" w:hAnsi="monospace" w:eastAsia="monospace" w:cs="monospace"/>
      <w:sz w:val="21"/>
      <w:szCs w:val="21"/>
    </w:rPr>
  </w:style>
  <w:style w:type="character" w:styleId="23">
    <w:name w:val="HTML Cite"/>
    <w:basedOn w:val="14"/>
    <w:qFormat/>
    <w:uiPriority w:val="0"/>
    <w:rPr/>
  </w:style>
  <w:style w:type="character" w:styleId="24">
    <w:name w:val="footnote reference"/>
    <w:basedOn w:val="14"/>
    <w:qFormat/>
    <w:uiPriority w:val="0"/>
    <w:rPr>
      <w:vertAlign w:val="superscript"/>
    </w:rPr>
  </w:style>
  <w:style w:type="character" w:styleId="25">
    <w:name w:val="HTML Keyboard"/>
    <w:basedOn w:val="14"/>
    <w:qFormat/>
    <w:uiPriority w:val="0"/>
    <w:rPr>
      <w:rFonts w:hint="default" w:ascii="monospace" w:hAnsi="monospace" w:eastAsia="monospace" w:cs="monospace"/>
      <w:sz w:val="21"/>
      <w:szCs w:val="21"/>
    </w:rPr>
  </w:style>
  <w:style w:type="character" w:styleId="26">
    <w:name w:val="HTML Sample"/>
    <w:basedOn w:val="14"/>
    <w:qFormat/>
    <w:uiPriority w:val="0"/>
    <w:rPr>
      <w:rFonts w:ascii="monospace" w:hAnsi="monospace" w:eastAsia="monospace" w:cs="monospace"/>
      <w:sz w:val="21"/>
      <w:szCs w:val="21"/>
    </w:rPr>
  </w:style>
  <w:style w:type="paragraph" w:customStyle="1" w:styleId="28">
    <w:name w:val="contentfont"/>
    <w:basedOn w:val="1"/>
    <w:qFormat/>
    <w:uiPriority w:val="0"/>
    <w:pPr>
      <w:jc w:val="left"/>
    </w:pPr>
    <w:rPr>
      <w:kern w:val="0"/>
    </w:rPr>
  </w:style>
  <w:style w:type="paragraph" w:customStyle="1" w:styleId="29">
    <w:name w:val="contentfont2"/>
    <w:basedOn w:val="1"/>
    <w:qFormat/>
    <w:uiPriority w:val="0"/>
    <w:pPr>
      <w:jc w:val="left"/>
    </w:pPr>
    <w:rPr>
      <w:kern w:val="0"/>
    </w:rPr>
  </w:style>
  <w:style w:type="paragraph" w:customStyle="1" w:styleId="30">
    <w:name w:val="contentfont4"/>
    <w:basedOn w:val="1"/>
    <w:qFormat/>
    <w:uiPriority w:val="0"/>
    <w:pPr>
      <w:jc w:val="left"/>
    </w:pPr>
    <w:rPr>
      <w:kern w:val="0"/>
    </w:rPr>
  </w:style>
  <w:style w:type="paragraph" w:customStyle="1" w:styleId="31">
    <w:name w:val="contentfont6"/>
    <w:basedOn w:val="1"/>
    <w:qFormat/>
    <w:uiPriority w:val="0"/>
    <w:pPr>
      <w:jc w:val="left"/>
    </w:pPr>
    <w:rPr>
      <w:kern w:val="0"/>
    </w:rPr>
  </w:style>
  <w:style w:type="paragraph" w:customStyle="1" w:styleId="32">
    <w:name w:val="contentfont8"/>
    <w:basedOn w:val="1"/>
    <w:qFormat/>
    <w:uiPriority w:val="0"/>
    <w:pPr>
      <w:jc w:val="left"/>
    </w:pPr>
    <w:rPr>
      <w:kern w:val="0"/>
    </w:rPr>
  </w:style>
  <w:style w:type="paragraph" w:customStyle="1" w:styleId="33">
    <w:name w:val="contentfont10"/>
    <w:basedOn w:val="1"/>
    <w:qFormat/>
    <w:uiPriority w:val="0"/>
    <w:rPr>
      <w:kern w:val="0"/>
    </w:rPr>
  </w:style>
  <w:style w:type="paragraph" w:customStyle="1" w:styleId="34">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35">
    <w:name w:val="ul_li_a_1"/>
    <w:basedOn w:val="14"/>
    <w:qFormat/>
    <w:uiPriority w:val="0"/>
    <w:rPr>
      <w:b/>
      <w:bCs/>
      <w:color w:val="FFFFFF"/>
    </w:rPr>
  </w:style>
  <w:style w:type="character" w:customStyle="1" w:styleId="36">
    <w:name w:val="exap"/>
    <w:basedOn w:val="14"/>
    <w:qFormat/>
    <w:uiPriority w:val="0"/>
    <w:rPr>
      <w:sz w:val="27"/>
      <w:szCs w:val="27"/>
    </w:rPr>
  </w:style>
  <w:style w:type="character" w:customStyle="1" w:styleId="37">
    <w:name w:val="a_p_2"/>
    <w:basedOn w:val="14"/>
    <w:qFormat/>
    <w:uiPriority w:val="0"/>
    <w:rPr/>
  </w:style>
  <w:style w:type="character" w:customStyle="1" w:styleId="38">
    <w:name w:val="a_p_21"/>
    <w:basedOn w:val="14"/>
    <w:qFormat/>
    <w:uiPriority w:val="0"/>
    <w:rPr>
      <w:sz w:val="27"/>
      <w:szCs w:val="27"/>
    </w:rPr>
  </w:style>
  <w:style w:type="character" w:customStyle="1" w:styleId="39">
    <w:name w:val="a_p_3"/>
    <w:basedOn w:val="14"/>
    <w:qFormat/>
    <w:uiPriority w:val="0"/>
    <w:rPr>
      <w:sz w:val="27"/>
      <w:szCs w:val="27"/>
    </w:rPr>
  </w:style>
  <w:style w:type="character" w:customStyle="1" w:styleId="40">
    <w:name w:val="a_p_1"/>
    <w:basedOn w:val="14"/>
    <w:qFormat/>
    <w:uiPriority w:val="0"/>
    <w:rPr>
      <w:sz w:val="27"/>
      <w:szCs w:val="27"/>
    </w:rPr>
  </w:style>
  <w:style w:type="character" w:customStyle="1" w:styleId="41">
    <w:name w:val="on"/>
    <w:basedOn w:val="14"/>
    <w:qFormat/>
    <w:uiPriority w:val="0"/>
    <w:rPr>
      <w:shd w:val="clear" w:color="auto" w:fill="008AE9"/>
    </w:rPr>
  </w:style>
  <w:style w:type="character" w:customStyle="1" w:styleId="42">
    <w:name w:val="navb"/>
    <w:basedOn w:val="14"/>
    <w:qFormat/>
    <w:uiPriority w:val="0"/>
    <w:rPr/>
  </w:style>
  <w:style w:type="character" w:customStyle="1" w:styleId="43">
    <w:name w:val="nava"/>
    <w:basedOn w:val="14"/>
    <w:qFormat/>
    <w:uiPriority w:val="0"/>
    <w:rPr/>
  </w:style>
  <w:style w:type="character" w:customStyle="1" w:styleId="44">
    <w:name w:val="navc"/>
    <w:basedOn w:val="14"/>
    <w:qFormat/>
    <w:uiPriority w:val="0"/>
    <w:rPr/>
  </w:style>
  <w:style w:type="character" w:customStyle="1" w:styleId="45">
    <w:name w:val="navd"/>
    <w:basedOn w:val="14"/>
    <w:qFormat/>
    <w:uiPriority w:val="0"/>
    <w:rPr/>
  </w:style>
  <w:style w:type="character" w:customStyle="1" w:styleId="46">
    <w:name w:val="lanmu_more"/>
    <w:basedOn w:val="14"/>
    <w:qFormat/>
    <w:uiPriority w:val="0"/>
    <w:rPr>
      <w:rFonts w:hint="eastAsia" w:ascii="微软雅黑" w:hAnsi="微软雅黑" w:eastAsia="微软雅黑" w:cs="微软雅黑"/>
      <w:sz w:val="21"/>
      <w:szCs w:val="21"/>
    </w:rPr>
  </w:style>
  <w:style w:type="character" w:customStyle="1" w:styleId="47">
    <w:name w:val="next2"/>
    <w:basedOn w:val="14"/>
    <w:qFormat/>
    <w:uiPriority w:val="0"/>
    <w:rPr/>
  </w:style>
  <w:style w:type="character" w:customStyle="1" w:styleId="48">
    <w:name w:val="tabg"/>
    <w:basedOn w:val="14"/>
    <w:qFormat/>
    <w:uiPriority w:val="0"/>
    <w:rPr>
      <w:color w:val="FFFFFF"/>
      <w:sz w:val="27"/>
      <w:szCs w:val="27"/>
    </w:rPr>
  </w:style>
  <w:style w:type="character" w:customStyle="1" w:styleId="49">
    <w:name w:val="active&gt;i"/>
    <w:basedOn w:val="14"/>
    <w:qFormat/>
    <w:uiPriority w:val="0"/>
    <w:rPr/>
  </w:style>
  <w:style w:type="character" w:customStyle="1" w:styleId="50">
    <w:name w:val="hover14"/>
    <w:basedOn w:val="14"/>
    <w:qFormat/>
    <w:uiPriority w:val="0"/>
    <w:rPr>
      <w:color w:val="025291"/>
    </w:rPr>
  </w:style>
  <w:style w:type="character" w:customStyle="1" w:styleId="51">
    <w:name w:val="bg01"/>
    <w:basedOn w:val="14"/>
    <w:qFormat/>
    <w:uiPriority w:val="0"/>
    <w:rPr/>
  </w:style>
  <w:style w:type="character" w:customStyle="1" w:styleId="52">
    <w:name w:val="place"/>
    <w:basedOn w:val="14"/>
    <w:qFormat/>
    <w:uiPriority w:val="0"/>
    <w:rPr/>
  </w:style>
  <w:style w:type="character" w:customStyle="1" w:styleId="53">
    <w:name w:val="place1"/>
    <w:basedOn w:val="14"/>
    <w:qFormat/>
    <w:uiPriority w:val="0"/>
    <w:rPr/>
  </w:style>
  <w:style w:type="character" w:customStyle="1" w:styleId="54">
    <w:name w:val="place2"/>
    <w:basedOn w:val="14"/>
    <w:qFormat/>
    <w:uiPriority w:val="0"/>
    <w:rPr>
      <w:rFonts w:hint="eastAsia" w:ascii="宋体" w:hAnsi="宋体" w:eastAsia="宋体" w:cs="宋体"/>
      <w:color w:val="888888"/>
      <w:sz w:val="25"/>
      <w:szCs w:val="25"/>
    </w:rPr>
  </w:style>
  <w:style w:type="character" w:customStyle="1" w:styleId="55">
    <w:name w:val="place3"/>
    <w:basedOn w:val="14"/>
    <w:qFormat/>
    <w:uiPriority w:val="0"/>
    <w:rPr/>
  </w:style>
  <w:style w:type="character" w:customStyle="1" w:styleId="56">
    <w:name w:val="laypage_curr"/>
    <w:basedOn w:val="14"/>
    <w:qFormat/>
    <w:uiPriority w:val="0"/>
    <w:rPr>
      <w:color w:val="FFFDF4"/>
      <w:sz w:val="42"/>
      <w:szCs w:val="42"/>
      <w:shd w:val="clear" w:color="auto" w:fill="0B67A6"/>
    </w:rPr>
  </w:style>
  <w:style w:type="character" w:customStyle="1" w:styleId="57">
    <w:name w:val="on5"/>
    <w:basedOn w:val="14"/>
    <w:qFormat/>
    <w:uiPriority w:val="0"/>
    <w:rPr>
      <w:color w:val="FFFFFF"/>
      <w:shd w:val="clear" w:color="auto" w:fill="0B67A6"/>
    </w:rPr>
  </w:style>
  <w:style w:type="character" w:customStyle="1" w:styleId="58">
    <w:name w:val="on6"/>
    <w:basedOn w:val="14"/>
    <w:qFormat/>
    <w:uiPriority w:val="0"/>
    <w:rPr>
      <w:b/>
      <w:bCs/>
      <w:color w:val="015293"/>
    </w:rPr>
  </w:style>
  <w:style w:type="character" w:customStyle="1" w:styleId="59">
    <w:name w:val="bg02"/>
    <w:basedOn w:val="14"/>
    <w:qFormat/>
    <w:uiPriority w:val="0"/>
    <w:rPr/>
  </w:style>
  <w:style w:type="character" w:customStyle="1" w:styleId="60">
    <w:name w:val="font"/>
    <w:basedOn w:val="14"/>
    <w:qFormat/>
    <w:uiPriority w:val="0"/>
    <w:rPr/>
  </w:style>
  <w:style w:type="character" w:customStyle="1" w:styleId="61">
    <w:name w:val="font1"/>
    <w:basedOn w:val="14"/>
    <w:qFormat/>
    <w:uiPriority w:val="0"/>
    <w:rPr/>
  </w:style>
  <w:style w:type="character" w:customStyle="1" w:styleId="62">
    <w:name w:val="font-zyygwj"/>
    <w:basedOn w:val="14"/>
    <w:qFormat/>
    <w:uiPriority w:val="0"/>
    <w:rPr/>
  </w:style>
  <w:style w:type="character" w:customStyle="1" w:styleId="63">
    <w:name w:val="font-zyygwj1"/>
    <w:basedOn w:val="14"/>
    <w:qFormat/>
    <w:uiPriority w:val="0"/>
    <w:rPr/>
  </w:style>
  <w:style w:type="character" w:customStyle="1" w:styleId="64">
    <w:name w:val="noline"/>
    <w:basedOn w:val="14"/>
    <w:qFormat/>
    <w:uiPriority w:val="0"/>
    <w:rPr/>
  </w:style>
  <w:style w:type="character" w:customStyle="1" w:styleId="65">
    <w:name w:val="font_gjgzk"/>
    <w:basedOn w:val="14"/>
    <w:qFormat/>
    <w:uiPriority w:val="0"/>
    <w:rPr/>
  </w:style>
  <w:style w:type="character" w:customStyle="1" w:styleId="66">
    <w:name w:val="hover4"/>
    <w:basedOn w:val="14"/>
    <w:qFormat/>
    <w:uiPriority w:val="0"/>
    <w:rPr>
      <w:color w:val="315EFB"/>
    </w:rPr>
  </w:style>
  <w:style w:type="character" w:customStyle="1" w:styleId="67">
    <w:name w:val="hover7"/>
    <w:basedOn w:val="14"/>
    <w:qFormat/>
    <w:uiPriority w:val="0"/>
    <w:rPr>
      <w:color w:val="315EFB"/>
    </w:rPr>
  </w:style>
  <w:style w:type="character" w:customStyle="1" w:styleId="68">
    <w:name w:val="hover11"/>
    <w:basedOn w:val="14"/>
    <w:qFormat/>
    <w:uiPriority w:val="0"/>
    <w:rPr>
      <w:shd w:val="clear" w:color="auto" w:fill="929292"/>
    </w:rPr>
  </w:style>
  <w:style w:type="character" w:customStyle="1" w:styleId="69">
    <w:name w:val="active"/>
    <w:basedOn w:val="14"/>
    <w:qFormat/>
    <w:uiPriority w:val="0"/>
    <w:rPr>
      <w:shd w:val="clear" w:color="auto" w:fill="C63C4C"/>
    </w:rPr>
  </w:style>
  <w:style w:type="character" w:customStyle="1" w:styleId="70">
    <w:name w:val="article-icon"/>
    <w:basedOn w:val="14"/>
    <w:qFormat/>
    <w:uiPriority w:val="0"/>
    <w:rPr/>
  </w:style>
  <w:style w:type="character" w:customStyle="1" w:styleId="71">
    <w:name w:val="hover8"/>
    <w:basedOn w:val="14"/>
    <w:qFormat/>
    <w:uiPriority w:val="0"/>
    <w:rPr>
      <w:shd w:val="clear" w:color="auto" w:fill="929292"/>
    </w:rPr>
  </w:style>
  <w:style w:type="character" w:customStyle="1" w:styleId="72">
    <w:name w:val="big1"/>
    <w:basedOn w:val="14"/>
    <w:qFormat/>
    <w:uiPriority w:val="0"/>
    <w:rPr/>
  </w:style>
  <w:style w:type="character" w:customStyle="1" w:styleId="73">
    <w:name w:val="big"/>
    <w:basedOn w:val="14"/>
    <w:qFormat/>
    <w:uiPriority w:val="0"/>
    <w:rPr/>
  </w:style>
  <w:style w:type="character" w:customStyle="1" w:styleId="74">
    <w:name w:val="curre"/>
    <w:basedOn w:val="14"/>
    <w:qFormat/>
    <w:uiPriority w:val="0"/>
    <w:rPr>
      <w:color w:val="FFFFFF"/>
      <w:shd w:val="clear" w:color="auto" w:fill="2F6EA2"/>
    </w:rPr>
  </w:style>
  <w:style w:type="character" w:customStyle="1" w:styleId="75">
    <w:name w:val="hover30"/>
    <w:basedOn w:val="14"/>
    <w:qFormat/>
    <w:uiPriority w:val="0"/>
    <w:rPr/>
  </w:style>
  <w:style w:type="character" w:customStyle="1" w:styleId="76">
    <w:name w:val="hover31"/>
    <w:basedOn w:val="14"/>
    <w:qFormat/>
    <w:uiPriority w:val="0"/>
    <w:rPr>
      <w:color w:val="315EFB"/>
    </w:rPr>
  </w:style>
  <w:style w:type="character" w:customStyle="1" w:styleId="77">
    <w:name w:val="hover32"/>
    <w:basedOn w:val="14"/>
    <w:qFormat/>
    <w:uiPriority w:val="0"/>
    <w:rPr>
      <w:color w:val="315EFB"/>
    </w:rPr>
  </w:style>
  <w:style w:type="character" w:customStyle="1" w:styleId="78">
    <w:name w:val="hover33"/>
    <w:basedOn w:val="14"/>
    <w:qFormat/>
    <w:uiPriority w:val="0"/>
    <w:rPr>
      <w:color w:val="315EFB"/>
      <w:shd w:val="clear" w:color="auto" w:fill="F0F3FD"/>
    </w:rPr>
  </w:style>
  <w:style w:type="character" w:customStyle="1" w:styleId="79">
    <w:name w:val="c-icon32"/>
    <w:basedOn w:val="14"/>
    <w:qFormat/>
    <w:uiPriority w:val="0"/>
    <w:rPr/>
  </w:style>
  <w:style w:type="character" w:customStyle="1" w:styleId="80">
    <w:name w:val="content-right_1thtn1"/>
    <w:basedOn w:val="14"/>
    <w:qFormat/>
    <w:uiPriority w:val="0"/>
    <w:rPr/>
  </w:style>
  <w:style w:type="character" w:customStyle="1" w:styleId="81">
    <w:name w:val="c-icon"/>
    <w:basedOn w:val="14"/>
    <w:qFormat/>
    <w:uiPriority w:val="0"/>
    <w:rPr/>
  </w:style>
  <w:style w:type="character" w:customStyle="1" w:styleId="82">
    <w:name w:val="before"/>
    <w:basedOn w:val="14"/>
    <w:qFormat/>
    <w:uiPriority w:val="0"/>
    <w:rPr>
      <w:bdr w:val="single" w:color="D9D9D9" w:sz="6" w:space="0"/>
    </w:rPr>
  </w:style>
  <w:style w:type="character" w:customStyle="1" w:styleId="83">
    <w:name w:val="before1"/>
    <w:basedOn w:val="14"/>
    <w:qFormat/>
    <w:uiPriority w:val="0"/>
    <w:rPr>
      <w:bdr w:val="single" w:color="D9D9D9" w:sz="6" w:space="0"/>
    </w:rPr>
  </w:style>
  <w:style w:type="character" w:customStyle="1" w:styleId="84">
    <w:name w:val="纯文本 字符"/>
    <w:basedOn w:val="14"/>
    <w:link w:val="8"/>
    <w:qFormat/>
    <w:uiPriority w:val="99"/>
    <w:rPr>
      <w:rFonts w:ascii="宋体" w:hAnsi="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1867</Words>
  <Characters>10644</Characters>
  <Lines>88</Lines>
  <Paragraphs>24</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2024-05-12T03:04:00Z</dcterms:created>
  <dc:creator>刘甜甜</dc:creator>
  <cp:lastModifiedBy>蒋宛希</cp:lastModifiedBy>
  <cp:lastPrinted>2024-05-13T04:50:00Z</cp:lastPrinted>
  <dcterms:modified xsi:type="dcterms:W3CDTF">2024-09-05T01:27:51Z</dcterms:modified>
  <dc:title>东城区关于推进养老服务工作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814E3106197949028310A22EF8D3D177</vt:lpwstr>
  </property>
</Properties>
</file>