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4C251">
      <w:pPr>
        <w:pageBreakBefore w:val="0"/>
        <w:kinsoku/>
        <w:wordWrap/>
        <w:overflowPunct/>
        <w:topLinePunct w:val="0"/>
        <w:autoSpaceDE/>
        <w:autoSpaceDN/>
        <w:bidi w:val="0"/>
        <w:spacing w:line="560" w:lineRule="exact"/>
        <w:ind w:firstLine="0" w:firstLineChars="0"/>
        <w:jc w:val="center"/>
        <w:rPr>
          <w:rFonts w:hint="eastAsia" w:ascii="方正小标宋简体" w:hAnsi="方正小标宋简体" w:eastAsia="方正小标宋简体" w:cs="仿宋_GB2312"/>
          <w:color w:val="auto"/>
          <w:sz w:val="44"/>
          <w:szCs w:val="44"/>
          <w:highlight w:val="none"/>
        </w:rPr>
      </w:pPr>
      <w:r>
        <w:rPr>
          <w:rFonts w:hint="eastAsia" w:ascii="方正小标宋简体" w:hAnsi="方正小标宋简体" w:eastAsia="方正小标宋简体" w:cs="仿宋_GB2312"/>
          <w:color w:val="auto"/>
          <w:sz w:val="44"/>
          <w:szCs w:val="44"/>
          <w:highlight w:val="none"/>
        </w:rPr>
        <w:t>北京大兴国际机场临空经济区（北京部分）</w:t>
      </w:r>
    </w:p>
    <w:p w14:paraId="3BB6D95B">
      <w:pPr>
        <w:pageBreakBefore w:val="0"/>
        <w:kinsoku/>
        <w:wordWrap/>
        <w:overflowPunct/>
        <w:topLinePunct w:val="0"/>
        <w:autoSpaceDE/>
        <w:autoSpaceDN/>
        <w:bidi w:val="0"/>
        <w:spacing w:line="560" w:lineRule="exact"/>
        <w:ind w:firstLine="0" w:firstLineChars="0"/>
        <w:jc w:val="center"/>
        <w:rPr>
          <w:rFonts w:ascii="方正小标宋简体" w:hAnsi="方正小标宋简体" w:eastAsia="方正小标宋简体" w:cs="仿宋_GB2312"/>
          <w:color w:val="auto"/>
          <w:sz w:val="44"/>
          <w:szCs w:val="44"/>
          <w:highlight w:val="none"/>
        </w:rPr>
      </w:pPr>
      <w:r>
        <w:rPr>
          <w:rFonts w:hint="eastAsia" w:ascii="方正小标宋简体" w:hAnsi="方正小标宋简体" w:eastAsia="方正小标宋简体" w:cs="仿宋_GB2312"/>
          <w:color w:val="auto"/>
          <w:sz w:val="44"/>
          <w:szCs w:val="44"/>
          <w:highlight w:val="none"/>
        </w:rPr>
        <w:t>行政相对人信用信息归集与评价管理办法</w:t>
      </w:r>
    </w:p>
    <w:p w14:paraId="7C34B088">
      <w:pPr>
        <w:pageBreakBefore w:val="0"/>
        <w:kinsoku/>
        <w:wordWrap/>
        <w:overflowPunct/>
        <w:topLinePunct w:val="0"/>
        <w:autoSpaceDE/>
        <w:autoSpaceDN/>
        <w:bidi w:val="0"/>
        <w:spacing w:line="560" w:lineRule="exact"/>
        <w:ind w:firstLine="0" w:firstLineChars="0"/>
        <w:jc w:val="center"/>
        <w:rPr>
          <w:rFonts w:hint="eastAsia" w:ascii="楷体_GB2312" w:hAnsi="楷体_GB2312" w:eastAsia="楷体_GB2312" w:cs="楷体_GB2312"/>
          <w:snapToGrid w:val="0"/>
          <w:color w:val="auto"/>
          <w:kern w:val="0"/>
          <w:sz w:val="36"/>
          <w:szCs w:val="36"/>
          <w:highlight w:val="none"/>
        </w:rPr>
      </w:pPr>
      <w:bookmarkStart w:id="21" w:name="_GoBack"/>
      <w:bookmarkEnd w:id="21"/>
      <w:r>
        <w:rPr>
          <w:rFonts w:hint="eastAsia" w:ascii="楷体_GB2312" w:hAnsi="楷体_GB2312" w:eastAsia="楷体_GB2312" w:cs="楷体_GB2312"/>
          <w:snapToGrid w:val="0"/>
          <w:color w:val="auto"/>
          <w:kern w:val="0"/>
          <w:sz w:val="36"/>
          <w:szCs w:val="36"/>
          <w:highlight w:val="none"/>
        </w:rPr>
        <w:t>（</w:t>
      </w:r>
      <w:r>
        <w:rPr>
          <w:rFonts w:hint="eastAsia" w:ascii="楷体_GB2312" w:hAnsi="楷体_GB2312" w:eastAsia="楷体_GB2312" w:cs="楷体_GB2312"/>
          <w:snapToGrid w:val="0"/>
          <w:color w:val="auto"/>
          <w:kern w:val="0"/>
          <w:sz w:val="36"/>
          <w:szCs w:val="36"/>
          <w:highlight w:val="none"/>
          <w:lang w:val="en-US" w:eastAsia="zh-CN"/>
        </w:rPr>
        <w:t>征求意见稿</w:t>
      </w:r>
      <w:r>
        <w:rPr>
          <w:rFonts w:hint="eastAsia" w:ascii="楷体_GB2312" w:hAnsi="楷体_GB2312" w:eastAsia="楷体_GB2312" w:cs="楷体_GB2312"/>
          <w:snapToGrid w:val="0"/>
          <w:color w:val="auto"/>
          <w:kern w:val="0"/>
          <w:sz w:val="36"/>
          <w:szCs w:val="36"/>
          <w:highlight w:val="none"/>
        </w:rPr>
        <w:t>）</w:t>
      </w:r>
    </w:p>
    <w:p w14:paraId="756E4BC3">
      <w:pPr>
        <w:pStyle w:val="6"/>
        <w:pageBreakBefore w:val="0"/>
        <w:kinsoku/>
        <w:wordWrap/>
        <w:overflowPunct/>
        <w:topLinePunct w:val="0"/>
        <w:autoSpaceDE/>
        <w:autoSpaceDN/>
        <w:bidi w:val="0"/>
        <w:spacing w:after="0" w:line="560" w:lineRule="exact"/>
        <w:ind w:left="640" w:firstLine="480"/>
        <w:rPr>
          <w:color w:val="auto"/>
          <w:highlight w:val="none"/>
        </w:rPr>
      </w:pPr>
    </w:p>
    <w:p w14:paraId="6B24EE75">
      <w:pPr>
        <w:keepNext w:val="0"/>
        <w:keepLines w:val="0"/>
        <w:pageBreakBefore w:val="0"/>
        <w:widowControl w:val="0"/>
        <w:kinsoku/>
        <w:wordWrap/>
        <w:overflowPunct/>
        <w:topLinePunct w:val="0"/>
        <w:autoSpaceDE/>
        <w:autoSpaceDN/>
        <w:bidi w:val="0"/>
        <w:adjustRightInd/>
        <w:snapToGrid w:val="0"/>
        <w:spacing w:before="157" w:beforeLines="50" w:after="157" w:afterLines="50"/>
        <w:ind w:firstLine="0" w:firstLineChars="0"/>
        <w:jc w:val="center"/>
        <w:textAlignment w:val="auto"/>
        <w:rPr>
          <w:rFonts w:hint="eastAsia" w:ascii="黑体" w:hAnsi="黑体" w:eastAsia="黑体" w:cs="黑体"/>
          <w:b w:val="0"/>
          <w:bCs w:val="0"/>
          <w:color w:val="auto"/>
          <w:highlight w:val="none"/>
          <w:lang w:val="en-US" w:eastAsia="zh-CN"/>
        </w:rPr>
      </w:pPr>
      <w:bookmarkStart w:id="0" w:name="_Toc3377"/>
      <w:r>
        <w:rPr>
          <w:rFonts w:hint="eastAsia" w:ascii="黑体" w:hAnsi="黑体" w:eastAsia="黑体" w:cs="黑体"/>
          <w:b w:val="0"/>
          <w:bCs w:val="0"/>
          <w:color w:val="auto"/>
          <w:highlight w:val="none"/>
          <w:lang w:val="en-US" w:eastAsia="zh-CN"/>
        </w:rPr>
        <w:t>第一章  总则</w:t>
      </w:r>
      <w:bookmarkEnd w:id="0"/>
    </w:p>
    <w:p w14:paraId="184BDC54">
      <w:pPr>
        <w:pageBreakBefore w:val="0"/>
        <w:widowControl/>
        <w:shd w:val="clear" w:color="auto" w:fill="FFFFFF"/>
        <w:kinsoku/>
        <w:wordWrap/>
        <w:overflowPunct/>
        <w:topLinePunct w:val="0"/>
        <w:autoSpaceDE/>
        <w:autoSpaceDN/>
        <w:bidi w:val="0"/>
        <w:adjustRightInd w:val="0"/>
        <w:snapToGrid w:val="0"/>
        <w:spacing w:line="560" w:lineRule="exact"/>
        <w:ind w:firstLine="643"/>
        <w:jc w:val="both"/>
        <w:textAlignment w:val="baseline"/>
        <w:rPr>
          <w:color w:val="auto"/>
          <w:highlight w:val="none"/>
        </w:rPr>
      </w:pPr>
      <w:r>
        <w:rPr>
          <w:rFonts w:hint="eastAsia" w:ascii="楷体_GB2312" w:hAnsi="楷体_GB2312" w:eastAsia="楷体_GB2312" w:cs="楷体_GB2312"/>
          <w:b/>
          <w:bCs/>
          <w:color w:val="auto"/>
          <w:szCs w:val="32"/>
          <w:highlight w:val="none"/>
        </w:rPr>
        <w:t>第一条【目的依据】</w:t>
      </w:r>
      <w:bookmarkStart w:id="1" w:name="_Hlk86252608"/>
      <w:r>
        <w:rPr>
          <w:color w:val="auto"/>
          <w:highlight w:val="none"/>
        </w:rPr>
        <w:t>为深入推进</w:t>
      </w:r>
      <w:r>
        <w:rPr>
          <w:rFonts w:hint="eastAsia"/>
          <w:color w:val="auto"/>
          <w:highlight w:val="none"/>
          <w:lang w:eastAsia="zh-CN"/>
        </w:rPr>
        <w:t>“</w:t>
      </w:r>
      <w:r>
        <w:rPr>
          <w:color w:val="auto"/>
          <w:highlight w:val="none"/>
        </w:rPr>
        <w:t>放管服</w:t>
      </w:r>
      <w:r>
        <w:rPr>
          <w:rFonts w:hint="eastAsia"/>
          <w:color w:val="auto"/>
          <w:highlight w:val="none"/>
          <w:lang w:eastAsia="zh-CN"/>
        </w:rPr>
        <w:t>”</w:t>
      </w:r>
      <w:r>
        <w:rPr>
          <w:color w:val="auto"/>
          <w:highlight w:val="none"/>
        </w:rPr>
        <w:t>改革，充分发挥信用在新型政务服务机制中的作用，优化营商环境，促进北京大兴国际机场临空经济区</w:t>
      </w:r>
      <w:r>
        <w:rPr>
          <w:rFonts w:hint="eastAsia"/>
          <w:color w:val="auto"/>
          <w:highlight w:val="none"/>
          <w:lang w:eastAsia="zh-CN"/>
        </w:rPr>
        <w:t>（</w:t>
      </w:r>
      <w:r>
        <w:rPr>
          <w:color w:val="auto"/>
          <w:highlight w:val="none"/>
        </w:rPr>
        <w:t>北京部分</w:t>
      </w:r>
      <w:r>
        <w:rPr>
          <w:rFonts w:hint="eastAsia"/>
          <w:color w:val="auto"/>
          <w:highlight w:val="none"/>
          <w:lang w:eastAsia="zh-CN"/>
        </w:rPr>
        <w:t>）</w:t>
      </w:r>
      <w:r>
        <w:rPr>
          <w:color w:val="auto"/>
          <w:highlight w:val="none"/>
        </w:rPr>
        <w:t>（以下简称临空区）高质量发展，</w:t>
      </w:r>
      <w:bookmarkEnd w:id="1"/>
      <w:r>
        <w:rPr>
          <w:color w:val="auto"/>
          <w:highlight w:val="none"/>
        </w:rPr>
        <w:t>依据</w:t>
      </w:r>
      <w:r>
        <w:rPr>
          <w:rFonts w:hint="eastAsia"/>
          <w:color w:val="auto"/>
          <w:highlight w:val="none"/>
          <w:lang w:val="en-US" w:eastAsia="zh-CN"/>
        </w:rPr>
        <w:t>中共中央办公厅、国务院办公厅</w:t>
      </w:r>
      <w:r>
        <w:rPr>
          <w:rFonts w:hint="eastAsia"/>
          <w:color w:val="auto"/>
          <w:highlight w:val="none"/>
        </w:rPr>
        <w:t>《关于推进社会信用体系建设高质量发展促进形成新发展格局的意见</w:t>
      </w:r>
      <w:r>
        <w:rPr>
          <w:rFonts w:hint="eastAsia" w:cs="Times New Roman"/>
          <w:color w:val="auto"/>
          <w:highlight w:val="none"/>
        </w:rPr>
        <w:t>》</w:t>
      </w:r>
      <w:r>
        <w:rPr>
          <w:rFonts w:hint="eastAsia" w:cs="Times New Roman"/>
          <w:i w:val="0"/>
          <w:iCs w:val="0"/>
          <w:caps w:val="0"/>
          <w:color w:val="auto"/>
          <w:spacing w:val="0"/>
          <w:sz w:val="32"/>
          <w:szCs w:val="24"/>
          <w:highlight w:val="none"/>
          <w:shd w:val="clear" w:color="auto" w:fill="auto"/>
          <w:lang w:eastAsia="zh-CN"/>
        </w:rPr>
        <w:t>、</w:t>
      </w:r>
      <w:r>
        <w:rPr>
          <w:rFonts w:hint="eastAsia"/>
          <w:color w:val="auto"/>
          <w:highlight w:val="none"/>
          <w:lang w:val="en-US" w:eastAsia="zh-CN"/>
        </w:rPr>
        <w:t>国务院办公厅</w:t>
      </w:r>
      <w:r>
        <w:rPr>
          <w:rFonts w:hint="eastAsia" w:ascii="仿宋_GB2312" w:hAnsi="仿宋_GB2312" w:eastAsia="仿宋_GB2312" w:cs="Times New Roman"/>
          <w:i w:val="0"/>
          <w:iCs w:val="0"/>
          <w:caps w:val="0"/>
          <w:color w:val="auto"/>
          <w:spacing w:val="0"/>
          <w:sz w:val="32"/>
          <w:szCs w:val="24"/>
          <w:highlight w:val="none"/>
          <w:shd w:val="clear" w:color="auto" w:fill="auto"/>
        </w:rPr>
        <w:t>《关于加快推进社会信用体系建设构建以信用为基础的新型监管机制的指导意见</w:t>
      </w:r>
      <w:r>
        <w:rPr>
          <w:rFonts w:hint="eastAsia" w:ascii="仿宋_GB2312" w:hAnsi="仿宋_GB2312" w:cs="Times New Roman"/>
          <w:i w:val="0"/>
          <w:iCs w:val="0"/>
          <w:caps w:val="0"/>
          <w:color w:val="auto"/>
          <w:spacing w:val="0"/>
          <w:sz w:val="32"/>
          <w:szCs w:val="24"/>
          <w:highlight w:val="none"/>
          <w:shd w:val="clear" w:color="auto" w:fill="auto"/>
          <w:lang w:eastAsia="zh-CN"/>
        </w:rPr>
        <w:t>》《</w:t>
      </w:r>
      <w:r>
        <w:rPr>
          <w:rFonts w:hint="eastAsia"/>
          <w:color w:val="auto"/>
          <w:highlight w:val="none"/>
        </w:rPr>
        <w:t>北京市优化营商环境条例</w:t>
      </w:r>
      <w:r>
        <w:rPr>
          <w:rFonts w:hint="eastAsia"/>
          <w:color w:val="auto"/>
          <w:highlight w:val="none"/>
          <w:lang w:eastAsia="zh-CN"/>
        </w:rPr>
        <w:t>》《</w:t>
      </w:r>
      <w:r>
        <w:rPr>
          <w:color w:val="auto"/>
          <w:highlight w:val="none"/>
        </w:rPr>
        <w:t>北京市公共信用信息管理办法》等法规和政策文件</w:t>
      </w:r>
      <w:bookmarkStart w:id="2" w:name="_Hlk86252641"/>
      <w:r>
        <w:rPr>
          <w:rFonts w:hint="eastAsia"/>
          <w:color w:val="auto"/>
          <w:highlight w:val="none"/>
          <w:lang w:eastAsia="zh-CN"/>
        </w:rPr>
        <w:t>，</w:t>
      </w:r>
      <w:r>
        <w:rPr>
          <w:color w:val="auto"/>
          <w:highlight w:val="none"/>
        </w:rPr>
        <w:t>结合</w:t>
      </w:r>
      <w:bookmarkEnd w:id="2"/>
      <w:r>
        <w:rPr>
          <w:color w:val="auto"/>
          <w:highlight w:val="none"/>
        </w:rPr>
        <w:t>临空区实际，制定本办法。</w:t>
      </w:r>
    </w:p>
    <w:p w14:paraId="414973CD">
      <w:pPr>
        <w:keepNext w:val="0"/>
        <w:keepLines w:val="0"/>
        <w:widowControl/>
        <w:suppressLineNumbers w:val="0"/>
        <w:spacing w:beforeLines="0" w:afterLines="0" w:line="560" w:lineRule="exact"/>
        <w:ind w:firstLine="643" w:firstLineChars="200"/>
        <w:jc w:val="left"/>
        <w:rPr>
          <w:rFonts w:hint="eastAsia" w:ascii="仿宋_GB2312" w:hAnsi="仿宋_GB2312" w:eastAsia="仿宋_GB2312" w:cs="仿宋_GB2312"/>
          <w:color w:val="auto"/>
          <w:szCs w:val="32"/>
          <w:highlight w:val="none"/>
          <w:lang w:val="en-US" w:eastAsia="zh-CN"/>
        </w:rPr>
      </w:pPr>
      <w:r>
        <w:rPr>
          <w:rFonts w:hint="eastAsia" w:ascii="楷体_GB2312" w:hAnsi="楷体_GB2312" w:eastAsia="楷体_GB2312" w:cs="楷体_GB2312"/>
          <w:b/>
          <w:bCs/>
          <w:color w:val="auto"/>
          <w:szCs w:val="32"/>
          <w:highlight w:val="none"/>
        </w:rPr>
        <w:t>第二条【适用范围】</w:t>
      </w:r>
      <w:r>
        <w:rPr>
          <w:rFonts w:hint="eastAsia" w:ascii="仿宋_GB2312" w:hAnsi="仿宋_GB2312" w:eastAsia="仿宋_GB2312" w:cs="仿宋_GB2312"/>
          <w:b w:val="0"/>
          <w:bCs w:val="0"/>
          <w:color w:val="auto"/>
          <w:kern w:val="2"/>
          <w:sz w:val="32"/>
          <w:szCs w:val="32"/>
          <w:highlight w:val="none"/>
          <w:lang w:val="en-US" w:eastAsia="zh-CN" w:bidi="ar"/>
        </w:rPr>
        <w:t>北京大兴国际机场临空经济区管理委员会（以下简称</w:t>
      </w:r>
      <w:r>
        <w:rPr>
          <w:rFonts w:hint="eastAsia" w:ascii="仿宋_GB2312" w:hAnsi="仿宋_GB2312" w:eastAsia="仿宋_GB2312" w:cs="仿宋_GB2312"/>
          <w:b w:val="0"/>
          <w:bCs w:val="0"/>
          <w:color w:val="auto"/>
          <w:kern w:val="2"/>
          <w:sz w:val="32"/>
          <w:szCs w:val="32"/>
          <w:highlight w:val="none"/>
          <w:lang w:bidi="ar"/>
        </w:rPr>
        <w:t>临空区大兴</w:t>
      </w:r>
      <w:r>
        <w:rPr>
          <w:rFonts w:hint="eastAsia" w:cs="仿宋_GB2312"/>
          <w:b w:val="0"/>
          <w:bCs w:val="0"/>
          <w:color w:val="auto"/>
          <w:kern w:val="2"/>
          <w:sz w:val="32"/>
          <w:szCs w:val="32"/>
          <w:highlight w:val="none"/>
          <w:lang w:val="en-US" w:eastAsia="zh-CN" w:bidi="ar"/>
        </w:rPr>
        <w:t>片区</w:t>
      </w:r>
      <w:r>
        <w:rPr>
          <w:rFonts w:hint="eastAsia" w:ascii="仿宋_GB2312" w:hAnsi="仿宋_GB2312" w:eastAsia="仿宋_GB2312" w:cs="仿宋_GB2312"/>
          <w:b w:val="0"/>
          <w:bCs w:val="0"/>
          <w:color w:val="auto"/>
          <w:kern w:val="2"/>
          <w:sz w:val="32"/>
          <w:szCs w:val="32"/>
          <w:highlight w:val="none"/>
          <w:lang w:bidi="ar"/>
        </w:rPr>
        <w:t>管委会</w:t>
      </w:r>
      <w:r>
        <w:rPr>
          <w:rFonts w:hint="eastAsia" w:cs="仿宋_GB2312"/>
          <w:b w:val="0"/>
          <w:bCs w:val="0"/>
          <w:color w:val="auto"/>
          <w:kern w:val="2"/>
          <w:sz w:val="32"/>
          <w:szCs w:val="32"/>
          <w:highlight w:val="none"/>
          <w:lang w:eastAsia="zh-CN" w:bidi="ar"/>
        </w:rPr>
        <w:t>）</w:t>
      </w:r>
      <w:r>
        <w:rPr>
          <w:rFonts w:hint="eastAsia" w:ascii="仿宋_GB2312" w:hAnsi="仿宋_GB2312" w:cs="仿宋_GB2312"/>
          <w:b w:val="0"/>
          <w:bCs w:val="0"/>
          <w:color w:val="auto"/>
          <w:kern w:val="2"/>
          <w:sz w:val="32"/>
          <w:szCs w:val="32"/>
          <w:highlight w:val="none"/>
          <w:lang w:val="en-US" w:eastAsia="zh-CN" w:bidi="ar"/>
        </w:rPr>
        <w:t>在</w:t>
      </w:r>
      <w:r>
        <w:rPr>
          <w:rFonts w:hint="eastAsia" w:ascii="仿宋_GB2312" w:hAnsi="仿宋_GB2312" w:cs="仿宋_GB2312"/>
          <w:snapToGrid w:val="0"/>
          <w:color w:val="auto"/>
          <w:kern w:val="0"/>
          <w:sz w:val="32"/>
          <w:szCs w:val="32"/>
          <w:highlight w:val="none"/>
          <w:lang w:val="en-US" w:eastAsia="zh-CN" w:bidi="ar"/>
        </w:rPr>
        <w:t>依法履行职责和提供服务过程中，</w:t>
      </w:r>
      <w:r>
        <w:rPr>
          <w:rFonts w:hint="eastAsia" w:ascii="仿宋_GB2312" w:hAnsi="仿宋_GB2312" w:eastAsia="仿宋_GB2312" w:cs="仿宋_GB2312"/>
          <w:b w:val="0"/>
          <w:bCs w:val="0"/>
          <w:color w:val="auto"/>
          <w:kern w:val="0"/>
          <w:sz w:val="32"/>
          <w:szCs w:val="32"/>
          <w:highlight w:val="none"/>
          <w:lang w:bidi="ar"/>
        </w:rPr>
        <w:t>对</w:t>
      </w:r>
      <w:r>
        <w:rPr>
          <w:rFonts w:hint="eastAsia" w:ascii="仿宋_GB2312" w:hAnsi="仿宋_GB2312" w:cs="仿宋_GB2312"/>
          <w:b w:val="0"/>
          <w:bCs w:val="0"/>
          <w:color w:val="auto"/>
          <w:kern w:val="0"/>
          <w:sz w:val="32"/>
          <w:szCs w:val="32"/>
          <w:highlight w:val="none"/>
          <w:lang w:val="en-US" w:eastAsia="zh-CN" w:bidi="ar"/>
        </w:rPr>
        <w:t>行</w:t>
      </w:r>
      <w:r>
        <w:rPr>
          <w:rFonts w:hint="eastAsia" w:ascii="仿宋_GB2312" w:hAnsi="仿宋_GB2312" w:eastAsia="仿宋_GB2312" w:cs="仿宋_GB2312"/>
          <w:b w:val="0"/>
          <w:bCs w:val="0"/>
          <w:color w:val="auto"/>
          <w:kern w:val="0"/>
          <w:sz w:val="32"/>
          <w:szCs w:val="32"/>
          <w:highlight w:val="none"/>
          <w:lang w:bidi="ar"/>
        </w:rPr>
        <w:t>政相对人</w:t>
      </w:r>
      <w:r>
        <w:rPr>
          <w:rFonts w:hint="eastAsia" w:ascii="仿宋_GB2312" w:hAnsi="仿宋_GB2312" w:cs="仿宋_GB2312"/>
          <w:b w:val="0"/>
          <w:bCs w:val="0"/>
          <w:color w:val="auto"/>
          <w:kern w:val="0"/>
          <w:sz w:val="32"/>
          <w:szCs w:val="32"/>
          <w:highlight w:val="none"/>
          <w:lang w:val="en-US" w:eastAsia="zh-CN" w:bidi="ar"/>
        </w:rPr>
        <w:t>开展</w:t>
      </w:r>
      <w:r>
        <w:rPr>
          <w:rFonts w:hint="eastAsia" w:ascii="仿宋_GB2312" w:hAnsi="仿宋_GB2312" w:eastAsia="仿宋_GB2312" w:cs="仿宋_GB2312"/>
          <w:b w:val="0"/>
          <w:bCs w:val="0"/>
          <w:color w:val="auto"/>
          <w:kern w:val="0"/>
          <w:sz w:val="32"/>
          <w:szCs w:val="32"/>
          <w:highlight w:val="none"/>
          <w:lang w:bidi="ar"/>
        </w:rPr>
        <w:t>信用信息归集、信用分级评价、信用分级分类管理、信用评价结果应用及信用权益保护</w:t>
      </w:r>
      <w:r>
        <w:rPr>
          <w:rFonts w:hint="eastAsia" w:cs="仿宋_GB2312"/>
          <w:b w:val="0"/>
          <w:bCs w:val="0"/>
          <w:color w:val="auto"/>
          <w:kern w:val="0"/>
          <w:sz w:val="32"/>
          <w:szCs w:val="32"/>
          <w:highlight w:val="none"/>
          <w:lang w:val="en-US" w:eastAsia="zh-CN" w:bidi="ar"/>
        </w:rPr>
        <w:t>等</w:t>
      </w:r>
      <w:r>
        <w:rPr>
          <w:rFonts w:hint="eastAsia" w:ascii="仿宋_GB2312" w:hAnsi="仿宋_GB2312" w:cs="仿宋_GB2312"/>
          <w:b w:val="0"/>
          <w:bCs w:val="0"/>
          <w:color w:val="auto"/>
          <w:kern w:val="0"/>
          <w:sz w:val="32"/>
          <w:szCs w:val="32"/>
          <w:highlight w:val="none"/>
          <w:lang w:val="en-US" w:eastAsia="zh-CN" w:bidi="ar"/>
        </w:rPr>
        <w:t>工作，适用本办法。</w:t>
      </w:r>
    </w:p>
    <w:p w14:paraId="759BDDE4">
      <w:pPr>
        <w:pageBreakBefore w:val="0"/>
        <w:kinsoku/>
        <w:wordWrap/>
        <w:overflowPunct/>
        <w:topLinePunct w:val="0"/>
        <w:autoSpaceDE/>
        <w:autoSpaceDN/>
        <w:bidi w:val="0"/>
        <w:spacing w:after="0" w:line="560" w:lineRule="exact"/>
        <w:ind w:left="0" w:leftChars="0" w:firstLine="643"/>
        <w:rPr>
          <w:rFonts w:hint="default"/>
          <w:color w:val="auto"/>
          <w:highlight w:val="none"/>
          <w:lang w:val="en-US" w:eastAsia="zh-CN"/>
        </w:rPr>
      </w:pPr>
      <w:r>
        <w:rPr>
          <w:rFonts w:hint="eastAsia" w:ascii="楷体_GB2312" w:hAnsi="楷体_GB2312" w:eastAsia="楷体_GB2312" w:cs="楷体_GB2312"/>
          <w:b/>
          <w:bCs/>
          <w:color w:val="auto"/>
          <w:szCs w:val="32"/>
          <w:highlight w:val="none"/>
        </w:rPr>
        <w:t>第</w:t>
      </w:r>
      <w:r>
        <w:rPr>
          <w:rFonts w:hint="eastAsia" w:ascii="楷体_GB2312" w:hAnsi="楷体_GB2312" w:eastAsia="楷体_GB2312" w:cs="楷体_GB2312"/>
          <w:b/>
          <w:bCs/>
          <w:color w:val="auto"/>
          <w:szCs w:val="32"/>
          <w:highlight w:val="none"/>
          <w:lang w:val="en-US" w:eastAsia="zh-CN"/>
        </w:rPr>
        <w:t>三</w:t>
      </w:r>
      <w:r>
        <w:rPr>
          <w:rFonts w:hint="eastAsia" w:ascii="楷体_GB2312" w:hAnsi="楷体_GB2312" w:eastAsia="楷体_GB2312" w:cs="楷体_GB2312"/>
          <w:b/>
          <w:bCs/>
          <w:color w:val="auto"/>
          <w:szCs w:val="32"/>
          <w:highlight w:val="none"/>
        </w:rPr>
        <w:t>条【适用</w:t>
      </w:r>
      <w:bookmarkStart w:id="3" w:name="_Hlk86255175"/>
      <w:r>
        <w:rPr>
          <w:rFonts w:hint="eastAsia" w:ascii="楷体_GB2312" w:hAnsi="楷体_GB2312" w:eastAsia="楷体_GB2312" w:cs="楷体_GB2312"/>
          <w:b/>
          <w:bCs/>
          <w:color w:val="auto"/>
          <w:szCs w:val="32"/>
          <w:highlight w:val="none"/>
          <w:lang w:val="en-US" w:eastAsia="zh-CN"/>
        </w:rPr>
        <w:t>对象</w:t>
      </w:r>
      <w:r>
        <w:rPr>
          <w:rFonts w:hint="eastAsia" w:ascii="楷体_GB2312" w:hAnsi="楷体_GB2312" w:eastAsia="楷体_GB2312" w:cs="楷体_GB2312"/>
          <w:b/>
          <w:bCs/>
          <w:color w:val="auto"/>
          <w:szCs w:val="32"/>
          <w:highlight w:val="none"/>
        </w:rPr>
        <w:t>】</w:t>
      </w:r>
      <w:r>
        <w:rPr>
          <w:rFonts w:hint="eastAsia"/>
          <w:color w:val="auto"/>
          <w:highlight w:val="none"/>
        </w:rPr>
        <w:t>本办法所称</w:t>
      </w:r>
      <w:r>
        <w:rPr>
          <w:rFonts w:hint="eastAsia"/>
          <w:color w:val="auto"/>
          <w:highlight w:val="none"/>
          <w:lang w:val="en-US" w:eastAsia="zh-CN"/>
        </w:rPr>
        <w:t>的</w:t>
      </w:r>
      <w:r>
        <w:rPr>
          <w:rFonts w:hint="eastAsia"/>
          <w:color w:val="auto"/>
          <w:highlight w:val="none"/>
        </w:rPr>
        <w:t>行政相对人</w:t>
      </w:r>
      <w:r>
        <w:rPr>
          <w:rFonts w:hint="eastAsia"/>
          <w:color w:val="auto"/>
          <w:highlight w:val="none"/>
          <w:lang w:val="en-US" w:eastAsia="zh-CN"/>
        </w:rPr>
        <w:t>是指</w:t>
      </w:r>
      <w:r>
        <w:rPr>
          <w:rFonts w:hint="eastAsia"/>
          <w:color w:val="auto"/>
          <w:highlight w:val="none"/>
        </w:rPr>
        <w:t>在临空区</w:t>
      </w:r>
      <w:r>
        <w:rPr>
          <w:rFonts w:hint="eastAsia"/>
          <w:color w:val="auto"/>
          <w:highlight w:val="none"/>
          <w:lang w:val="en-US" w:eastAsia="zh-CN"/>
        </w:rPr>
        <w:t>范围</w:t>
      </w:r>
      <w:r>
        <w:rPr>
          <w:rFonts w:hint="eastAsia"/>
          <w:color w:val="auto"/>
          <w:highlight w:val="none"/>
        </w:rPr>
        <w:t>内</w:t>
      </w:r>
      <w:r>
        <w:rPr>
          <w:rFonts w:hint="eastAsia"/>
          <w:color w:val="auto"/>
          <w:highlight w:val="none"/>
          <w:lang w:val="en-US" w:eastAsia="zh-CN"/>
        </w:rPr>
        <w:t>依法</w:t>
      </w:r>
      <w:r>
        <w:rPr>
          <w:rFonts w:hint="eastAsia"/>
          <w:color w:val="auto"/>
          <w:highlight w:val="none"/>
        </w:rPr>
        <w:t>登记注册</w:t>
      </w:r>
      <w:r>
        <w:rPr>
          <w:rFonts w:hint="eastAsia"/>
          <w:color w:val="auto"/>
          <w:highlight w:val="none"/>
          <w:lang w:val="en-US" w:eastAsia="zh-CN"/>
        </w:rPr>
        <w:t>，以及在</w:t>
      </w:r>
      <w:r>
        <w:rPr>
          <w:rFonts w:hint="eastAsia"/>
          <w:color w:val="auto"/>
          <w:highlight w:val="none"/>
        </w:rPr>
        <w:t>临空区</w:t>
      </w:r>
      <w:r>
        <w:rPr>
          <w:rFonts w:hint="eastAsia"/>
          <w:color w:val="auto"/>
          <w:highlight w:val="none"/>
          <w:lang w:val="en-US" w:eastAsia="zh-CN"/>
        </w:rPr>
        <w:t>(</w:t>
      </w:r>
      <w:r>
        <w:rPr>
          <w:rFonts w:hint="eastAsia"/>
          <w:color w:val="auto"/>
          <w:highlight w:val="none"/>
        </w:rPr>
        <w:t>大兴</w:t>
      </w:r>
      <w:r>
        <w:rPr>
          <w:rFonts w:hint="eastAsia"/>
          <w:color w:val="auto"/>
          <w:highlight w:val="none"/>
          <w:lang w:eastAsia="zh-CN"/>
        </w:rPr>
        <w:t>）</w:t>
      </w:r>
      <w:r>
        <w:rPr>
          <w:rFonts w:hint="eastAsia"/>
          <w:color w:val="auto"/>
          <w:highlight w:val="none"/>
        </w:rPr>
        <w:t>管委会</w:t>
      </w:r>
      <w:r>
        <w:rPr>
          <w:rFonts w:hint="eastAsia"/>
          <w:color w:val="auto"/>
          <w:highlight w:val="none"/>
          <w:lang w:val="en-US" w:eastAsia="zh-CN"/>
        </w:rPr>
        <w:t>申请</w:t>
      </w:r>
      <w:r>
        <w:rPr>
          <w:rFonts w:hint="eastAsia"/>
          <w:color w:val="auto"/>
          <w:highlight w:val="none"/>
        </w:rPr>
        <w:t>办理行政审批事项的</w:t>
      </w:r>
      <w:r>
        <w:rPr>
          <w:rFonts w:hint="eastAsia"/>
          <w:color w:val="auto"/>
          <w:highlight w:val="none"/>
          <w:lang w:val="en-US" w:eastAsia="zh-CN"/>
        </w:rPr>
        <w:t>营利法人（有限责任公司、股份有限公司或其他企业法人）及非法人组织（个人独资企业、合伙企业、不具有法人资格的专业服务机构）。</w:t>
      </w:r>
    </w:p>
    <w:bookmarkEnd w:id="3"/>
    <w:p w14:paraId="078C52CD">
      <w:pPr>
        <w:pageBreakBefore w:val="0"/>
        <w:kinsoku/>
        <w:wordWrap/>
        <w:overflowPunct/>
        <w:topLinePunct w:val="0"/>
        <w:autoSpaceDE/>
        <w:autoSpaceDN/>
        <w:bidi w:val="0"/>
        <w:spacing w:line="560" w:lineRule="exact"/>
        <w:ind w:firstLine="643" w:firstLineChars="200"/>
        <w:jc w:val="both"/>
        <w:rPr>
          <w:rFonts w:hint="eastAsia" w:ascii="楷体_GB2312" w:hAnsi="楷体_GB2312" w:eastAsia="楷体_GB2312" w:cs="楷体_GB2312"/>
          <w:b/>
          <w:bCs/>
          <w:snapToGrid/>
          <w:color w:val="auto"/>
          <w:kern w:val="2"/>
          <w:sz w:val="32"/>
          <w:szCs w:val="32"/>
          <w:highlight w:val="none"/>
        </w:rPr>
      </w:pPr>
      <w:r>
        <w:rPr>
          <w:rFonts w:hint="eastAsia" w:ascii="楷体_GB2312" w:hAnsi="楷体_GB2312" w:eastAsia="楷体_GB2312" w:cs="楷体_GB2312"/>
          <w:b/>
          <w:bCs/>
          <w:snapToGrid/>
          <w:color w:val="auto"/>
          <w:kern w:val="2"/>
          <w:sz w:val="32"/>
          <w:szCs w:val="32"/>
          <w:highlight w:val="none"/>
        </w:rPr>
        <w:t>第四条【工作原则】</w:t>
      </w:r>
    </w:p>
    <w:p w14:paraId="511F453A">
      <w:pPr>
        <w:pageBreakBefore w:val="0"/>
        <w:widowControl/>
        <w:kinsoku/>
        <w:wordWrap/>
        <w:overflowPunct/>
        <w:topLinePunct w:val="0"/>
        <w:autoSpaceDE/>
        <w:autoSpaceDN/>
        <w:bidi w:val="0"/>
        <w:spacing w:line="560" w:lineRule="exact"/>
        <w:ind w:firstLine="640"/>
        <w:jc w:val="left"/>
        <w:rPr>
          <w:rFonts w:hint="eastAsia"/>
          <w:color w:val="auto"/>
          <w:highlight w:val="none"/>
        </w:rPr>
      </w:pPr>
      <w:r>
        <w:rPr>
          <w:rFonts w:hint="eastAsia"/>
          <w:color w:val="auto"/>
          <w:highlight w:val="none"/>
          <w:lang w:val="en-US" w:eastAsia="zh-CN"/>
        </w:rPr>
        <w:t>行政相对人的信用信息归集评价管理工作应遵循以下</w:t>
      </w:r>
      <w:r>
        <w:rPr>
          <w:rFonts w:hint="eastAsia"/>
          <w:color w:val="auto"/>
          <w:highlight w:val="none"/>
        </w:rPr>
        <w:t>原则</w:t>
      </w:r>
      <w:r>
        <w:rPr>
          <w:rFonts w:hint="eastAsia"/>
          <w:color w:val="auto"/>
          <w:highlight w:val="none"/>
          <w:lang w:eastAsia="zh-CN"/>
        </w:rPr>
        <w:t>：</w:t>
      </w:r>
    </w:p>
    <w:p w14:paraId="50CCA717">
      <w:pPr>
        <w:pageBreakBefore w:val="0"/>
        <w:widowControl/>
        <w:numPr>
          <w:ilvl w:val="0"/>
          <w:numId w:val="0"/>
        </w:numPr>
        <w:kinsoku/>
        <w:wordWrap/>
        <w:overflowPunct/>
        <w:topLinePunct w:val="0"/>
        <w:autoSpaceDE/>
        <w:autoSpaceDN/>
        <w:bidi w:val="0"/>
        <w:spacing w:line="560" w:lineRule="exact"/>
        <w:ind w:firstLine="640" w:firstLineChars="200"/>
        <w:jc w:val="left"/>
        <w:rPr>
          <w:color w:val="auto"/>
          <w:highlight w:val="none"/>
        </w:rPr>
      </w:pP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lang w:val="en-US" w:eastAsia="zh-CN"/>
        </w:rPr>
        <w:t>一）</w:t>
      </w:r>
      <w:r>
        <w:rPr>
          <w:rFonts w:hint="eastAsia" w:ascii="楷体_GB2312" w:hAnsi="楷体_GB2312" w:eastAsia="楷体_GB2312" w:cs="楷体_GB2312"/>
          <w:color w:val="auto"/>
          <w:highlight w:val="none"/>
        </w:rPr>
        <w:t>依法依规、公开公平</w:t>
      </w:r>
      <w:r>
        <w:rPr>
          <w:rFonts w:hint="eastAsia" w:ascii="楷体_GB2312" w:hAnsi="楷体_GB2312" w:eastAsia="楷体_GB2312" w:cs="楷体_GB2312"/>
          <w:color w:val="auto"/>
          <w:highlight w:val="none"/>
          <w:lang w:eastAsia="zh-CN"/>
        </w:rPr>
        <w:t>。</w:t>
      </w:r>
      <w:r>
        <w:rPr>
          <w:rFonts w:hint="eastAsia"/>
          <w:color w:val="auto"/>
          <w:highlight w:val="none"/>
        </w:rPr>
        <w:t>严格依照法律法规实施行政相对人信用信息归集评价管理，依法公开相关规则、标准、结果，依法保护行政相对人的合法权益，确保权利公平、机会公平、规则公平。</w:t>
      </w:r>
    </w:p>
    <w:p w14:paraId="5883F957">
      <w:pPr>
        <w:pageBreakBefore w:val="0"/>
        <w:widowControl/>
        <w:numPr>
          <w:ilvl w:val="0"/>
          <w:numId w:val="0"/>
        </w:numPr>
        <w:kinsoku/>
        <w:wordWrap/>
        <w:overflowPunct/>
        <w:topLinePunct w:val="0"/>
        <w:autoSpaceDE/>
        <w:autoSpaceDN/>
        <w:bidi w:val="0"/>
        <w:spacing w:line="560" w:lineRule="exact"/>
        <w:ind w:firstLine="640" w:firstLineChars="200"/>
        <w:jc w:val="left"/>
        <w:rPr>
          <w:rFonts w:hint="eastAsia"/>
          <w:color w:val="auto"/>
          <w:highlight w:val="none"/>
        </w:rPr>
      </w:pP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lang w:val="en-US" w:eastAsia="zh-CN"/>
        </w:rPr>
        <w:t>二）科学规范</w:t>
      </w: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lang w:val="en-US" w:eastAsia="zh-CN"/>
        </w:rPr>
        <w:t>注重实效。</w:t>
      </w:r>
      <w:r>
        <w:rPr>
          <w:rFonts w:hint="eastAsia"/>
          <w:color w:val="auto"/>
          <w:highlight w:val="none"/>
          <w:lang w:val="en-US" w:eastAsia="zh-CN"/>
        </w:rPr>
        <w:t>基于真实、可靠、权威的信用数据信息，设置科学合理的评价</w:t>
      </w:r>
      <w:r>
        <w:rPr>
          <w:rFonts w:hint="eastAsia"/>
          <w:color w:val="auto"/>
          <w:highlight w:val="none"/>
        </w:rPr>
        <w:t>指标，</w:t>
      </w:r>
      <w:r>
        <w:rPr>
          <w:rFonts w:hint="eastAsia"/>
          <w:color w:val="auto"/>
          <w:highlight w:val="none"/>
          <w:lang w:val="en-US" w:eastAsia="zh-CN"/>
        </w:rPr>
        <w:t>规范评价体系</w:t>
      </w:r>
      <w:r>
        <w:rPr>
          <w:rFonts w:hint="eastAsia"/>
          <w:color w:val="auto"/>
          <w:highlight w:val="none"/>
        </w:rPr>
        <w:t>，</w:t>
      </w:r>
      <w:r>
        <w:rPr>
          <w:rFonts w:hint="eastAsia"/>
          <w:color w:val="auto"/>
          <w:highlight w:val="none"/>
          <w:lang w:val="en-US" w:eastAsia="zh-CN"/>
        </w:rPr>
        <w:t>精准、</w:t>
      </w:r>
      <w:r>
        <w:rPr>
          <w:rFonts w:hint="eastAsia"/>
          <w:color w:val="auto"/>
          <w:highlight w:val="none"/>
        </w:rPr>
        <w:t>综合反映</w:t>
      </w:r>
      <w:r>
        <w:rPr>
          <w:rFonts w:hint="eastAsia"/>
          <w:color w:val="auto"/>
          <w:highlight w:val="none"/>
          <w:lang w:val="en-US" w:eastAsia="zh-CN"/>
        </w:rPr>
        <w:t>行政相对人真实的</w:t>
      </w:r>
      <w:r>
        <w:rPr>
          <w:rFonts w:hint="eastAsia"/>
          <w:color w:val="auto"/>
          <w:highlight w:val="none"/>
        </w:rPr>
        <w:t>信用水平</w:t>
      </w:r>
      <w:r>
        <w:rPr>
          <w:rFonts w:hint="eastAsia"/>
          <w:color w:val="auto"/>
          <w:highlight w:val="none"/>
          <w:lang w:eastAsia="zh-CN"/>
        </w:rPr>
        <w:t>。</w:t>
      </w:r>
    </w:p>
    <w:p w14:paraId="79110126">
      <w:pPr>
        <w:pageBreakBefore w:val="0"/>
        <w:kinsoku/>
        <w:wordWrap/>
        <w:overflowPunct/>
        <w:topLinePunct w:val="0"/>
        <w:autoSpaceDE/>
        <w:autoSpaceDN/>
        <w:bidi w:val="0"/>
        <w:spacing w:line="560" w:lineRule="exact"/>
        <w:ind w:firstLine="640"/>
        <w:rPr>
          <w:rFonts w:hint="eastAsia"/>
          <w:color w:val="auto"/>
          <w:highlight w:val="none"/>
        </w:rPr>
      </w:pP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lang w:val="en-US" w:eastAsia="zh-CN"/>
        </w:rPr>
        <w:t>三</w:t>
      </w:r>
      <w:r>
        <w:rPr>
          <w:rFonts w:hint="eastAsia" w:ascii="楷体_GB2312" w:hAnsi="楷体_GB2312" w:eastAsia="楷体_GB2312" w:cs="楷体_GB2312"/>
          <w:color w:val="auto"/>
          <w:highlight w:val="none"/>
          <w:lang w:eastAsia="zh-CN"/>
        </w:rPr>
        <w:t>）包容审慎、协同共治。</w:t>
      </w:r>
      <w:r>
        <w:rPr>
          <w:rFonts w:hint="eastAsia"/>
          <w:color w:val="auto"/>
          <w:highlight w:val="none"/>
        </w:rPr>
        <w:t>在坚守质量和安全底线的同时，建立宽严相济、诚信自律、</w:t>
      </w:r>
      <w:r>
        <w:rPr>
          <w:rFonts w:hint="eastAsia"/>
          <w:color w:val="auto"/>
          <w:highlight w:val="none"/>
          <w:lang w:val="en-US" w:eastAsia="zh-CN"/>
        </w:rPr>
        <w:t>符合临空区高质量发展要求</w:t>
      </w:r>
      <w:r>
        <w:rPr>
          <w:rFonts w:hint="eastAsia"/>
          <w:color w:val="auto"/>
          <w:highlight w:val="none"/>
        </w:rPr>
        <w:t>的信用管理机制。建立与市区</w:t>
      </w:r>
      <w:r>
        <w:rPr>
          <w:rFonts w:hint="eastAsia"/>
          <w:color w:val="auto"/>
          <w:highlight w:val="none"/>
          <w:lang w:val="en-US" w:eastAsia="zh-CN"/>
        </w:rPr>
        <w:t>社会</w:t>
      </w:r>
      <w:r>
        <w:rPr>
          <w:rFonts w:hint="eastAsia"/>
          <w:color w:val="auto"/>
          <w:highlight w:val="none"/>
        </w:rPr>
        <w:t>信用主管部门</w:t>
      </w:r>
      <w:r>
        <w:rPr>
          <w:rFonts w:hint="eastAsia"/>
          <w:color w:val="auto"/>
          <w:highlight w:val="none"/>
          <w:lang w:val="en-US" w:eastAsia="zh-CN"/>
        </w:rPr>
        <w:t>、其他相关部门</w:t>
      </w:r>
      <w:r>
        <w:rPr>
          <w:rFonts w:hint="eastAsia"/>
          <w:color w:val="auto"/>
          <w:highlight w:val="none"/>
        </w:rPr>
        <w:t>之间的数据互联互通和业务联动协作机制，构建信用协同治理格局。</w:t>
      </w:r>
    </w:p>
    <w:p w14:paraId="3259C349">
      <w:pPr>
        <w:pageBreakBefore w:val="0"/>
        <w:kinsoku/>
        <w:wordWrap/>
        <w:overflowPunct/>
        <w:topLinePunct w:val="0"/>
        <w:autoSpaceDE/>
        <w:autoSpaceDN/>
        <w:bidi w:val="0"/>
        <w:spacing w:line="560" w:lineRule="exact"/>
        <w:ind w:firstLine="640"/>
        <w:jc w:val="both"/>
        <w:rPr>
          <w:color w:val="auto"/>
          <w:highlight w:val="none"/>
        </w:rPr>
      </w:pPr>
      <w:r>
        <w:rPr>
          <w:rFonts w:hint="eastAsia" w:ascii="楷体_GB2312" w:hAnsi="楷体_GB2312" w:eastAsia="楷体_GB2312" w:cs="楷体_GB2312"/>
          <w:b/>
          <w:bCs/>
          <w:snapToGrid/>
          <w:color w:val="auto"/>
          <w:kern w:val="2"/>
          <w:sz w:val="32"/>
          <w:szCs w:val="32"/>
          <w:highlight w:val="none"/>
        </w:rPr>
        <w:t>第五条【</w:t>
      </w:r>
      <w:r>
        <w:rPr>
          <w:rFonts w:hint="eastAsia" w:ascii="楷体_GB2312" w:hAnsi="楷体_GB2312" w:eastAsia="楷体_GB2312" w:cs="楷体_GB2312"/>
          <w:b/>
          <w:bCs/>
          <w:snapToGrid/>
          <w:color w:val="auto"/>
          <w:kern w:val="2"/>
          <w:sz w:val="32"/>
          <w:szCs w:val="32"/>
          <w:highlight w:val="none"/>
          <w:lang w:val="en-US" w:eastAsia="zh-CN"/>
        </w:rPr>
        <w:t>职责分工</w:t>
      </w:r>
      <w:r>
        <w:rPr>
          <w:rFonts w:hint="eastAsia" w:ascii="楷体_GB2312" w:hAnsi="楷体_GB2312" w:eastAsia="楷体_GB2312" w:cs="楷体_GB2312"/>
          <w:b/>
          <w:bCs/>
          <w:snapToGrid/>
          <w:color w:val="auto"/>
          <w:kern w:val="2"/>
          <w:sz w:val="32"/>
          <w:szCs w:val="32"/>
          <w:highlight w:val="none"/>
        </w:rPr>
        <w:t>】</w:t>
      </w:r>
      <w:r>
        <w:rPr>
          <w:color w:val="auto"/>
          <w:highlight w:val="none"/>
        </w:rPr>
        <w:t>临空区大兴</w:t>
      </w:r>
      <w:r>
        <w:rPr>
          <w:rFonts w:hint="eastAsia"/>
          <w:color w:val="auto"/>
          <w:highlight w:val="none"/>
          <w:lang w:val="en-US" w:eastAsia="zh-CN"/>
        </w:rPr>
        <w:t>片区</w:t>
      </w:r>
      <w:r>
        <w:rPr>
          <w:color w:val="auto"/>
          <w:highlight w:val="none"/>
        </w:rPr>
        <w:t>管委会</w:t>
      </w:r>
      <w:r>
        <w:rPr>
          <w:rFonts w:hint="eastAsia"/>
          <w:color w:val="auto"/>
          <w:highlight w:val="none"/>
          <w:lang w:val="en-US" w:eastAsia="zh-CN"/>
        </w:rPr>
        <w:t>综合审批部</w:t>
      </w:r>
      <w:r>
        <w:rPr>
          <w:color w:val="auto"/>
          <w:highlight w:val="none"/>
        </w:rPr>
        <w:t>，是临空区行政相对人信用信息归集与评价的</w:t>
      </w:r>
      <w:r>
        <w:rPr>
          <w:rFonts w:hint="eastAsia"/>
          <w:color w:val="auto"/>
          <w:highlight w:val="none"/>
          <w:lang w:val="en-US" w:eastAsia="zh-CN"/>
        </w:rPr>
        <w:t>主管</w:t>
      </w:r>
      <w:r>
        <w:rPr>
          <w:color w:val="auto"/>
          <w:highlight w:val="none"/>
        </w:rPr>
        <w:t>部门，负责</w:t>
      </w:r>
      <w:r>
        <w:rPr>
          <w:rFonts w:hint="eastAsia"/>
          <w:color w:val="auto"/>
          <w:highlight w:val="none"/>
          <w:lang w:val="en-US" w:eastAsia="zh-CN"/>
        </w:rPr>
        <w:t>统筹</w:t>
      </w:r>
      <w:r>
        <w:rPr>
          <w:color w:val="auto"/>
          <w:highlight w:val="none"/>
        </w:rPr>
        <w:t>组织开展行政相对人信用信息的</w:t>
      </w:r>
      <w:r>
        <w:rPr>
          <w:rFonts w:hint="eastAsia"/>
          <w:color w:val="auto"/>
          <w:highlight w:val="none"/>
          <w:lang w:val="en-US" w:eastAsia="zh-CN"/>
        </w:rPr>
        <w:t>归</w:t>
      </w:r>
      <w:r>
        <w:rPr>
          <w:color w:val="auto"/>
          <w:highlight w:val="none"/>
        </w:rPr>
        <w:t>集、评价和管理工作；</w:t>
      </w:r>
      <w:r>
        <w:rPr>
          <w:rFonts w:hint="eastAsia"/>
          <w:color w:val="auto"/>
          <w:highlight w:val="none"/>
          <w:lang w:val="en-US" w:eastAsia="zh-CN"/>
        </w:rPr>
        <w:t>负责统筹制定行政相对人信用评价评分细则，</w:t>
      </w:r>
      <w:r>
        <w:rPr>
          <w:color w:val="auto"/>
          <w:highlight w:val="none"/>
        </w:rPr>
        <w:t>负责依托临空区综窗受理系统，建设信用信息归集管理平台（以下简称信用信息平台）以及后续运营和管理工作；负责</w:t>
      </w:r>
      <w:r>
        <w:rPr>
          <w:rFonts w:hint="eastAsia"/>
          <w:color w:val="auto"/>
          <w:highlight w:val="none"/>
          <w:lang w:val="en-US" w:eastAsia="zh-CN"/>
        </w:rPr>
        <w:t>统筹</w:t>
      </w:r>
      <w:r>
        <w:rPr>
          <w:color w:val="auto"/>
          <w:highlight w:val="none"/>
        </w:rPr>
        <w:t>信用教育宣传、信息推送共享、</w:t>
      </w:r>
      <w:r>
        <w:rPr>
          <w:rFonts w:hint="eastAsia"/>
          <w:color w:val="auto"/>
          <w:highlight w:val="none"/>
          <w:lang w:val="en-US" w:eastAsia="zh-CN"/>
        </w:rPr>
        <w:t>信用奖惩</w:t>
      </w:r>
      <w:r>
        <w:rPr>
          <w:rFonts w:hint="eastAsia"/>
          <w:color w:val="auto"/>
          <w:highlight w:val="none"/>
          <w:lang w:eastAsia="zh-CN"/>
        </w:rPr>
        <w:t>、</w:t>
      </w:r>
      <w:r>
        <w:rPr>
          <w:rFonts w:hint="eastAsia"/>
          <w:color w:val="auto"/>
          <w:highlight w:val="none"/>
          <w:lang w:val="en-US" w:eastAsia="zh-CN"/>
        </w:rPr>
        <w:t>权益保护</w:t>
      </w:r>
      <w:r>
        <w:rPr>
          <w:color w:val="auto"/>
          <w:highlight w:val="none"/>
        </w:rPr>
        <w:t>等相关工作。</w:t>
      </w:r>
    </w:p>
    <w:p w14:paraId="194BCA5C">
      <w:pPr>
        <w:spacing w:beforeLines="0" w:afterLines="0" w:line="560" w:lineRule="exact"/>
        <w:ind w:firstLine="640" w:firstLineChars="200"/>
        <w:rPr>
          <w:rFonts w:hint="eastAsia" w:ascii="仿宋_GB2312" w:hAnsi="仿宋_GB2312" w:cs="仿宋_GB2312"/>
          <w:color w:val="auto"/>
          <w:szCs w:val="32"/>
          <w:highlight w:val="none"/>
          <w:lang w:bidi="ar"/>
        </w:rPr>
      </w:pPr>
      <w:r>
        <w:rPr>
          <w:rFonts w:hint="eastAsia" w:ascii="仿宋_GB2312" w:hAnsi="仿宋_GB2312" w:eastAsia="仿宋_GB2312" w:cs="仿宋_GB2312"/>
          <w:b w:val="0"/>
          <w:bCs w:val="0"/>
          <w:color w:val="auto"/>
          <w:sz w:val="32"/>
          <w:szCs w:val="32"/>
          <w:highlight w:val="none"/>
          <w:lang w:bidi="ar"/>
        </w:rPr>
        <w:t>临空区大兴</w:t>
      </w:r>
      <w:r>
        <w:rPr>
          <w:rFonts w:hint="eastAsia" w:cs="仿宋_GB2312"/>
          <w:b w:val="0"/>
          <w:bCs w:val="0"/>
          <w:color w:val="auto"/>
          <w:sz w:val="32"/>
          <w:szCs w:val="32"/>
          <w:highlight w:val="none"/>
          <w:lang w:val="en-US" w:eastAsia="zh-CN" w:bidi="ar"/>
        </w:rPr>
        <w:t>片区</w:t>
      </w:r>
      <w:r>
        <w:rPr>
          <w:rFonts w:hint="eastAsia" w:ascii="仿宋_GB2312" w:hAnsi="仿宋_GB2312" w:eastAsia="仿宋_GB2312" w:cs="仿宋_GB2312"/>
          <w:b w:val="0"/>
          <w:bCs w:val="0"/>
          <w:color w:val="auto"/>
          <w:sz w:val="32"/>
          <w:szCs w:val="32"/>
          <w:highlight w:val="none"/>
          <w:lang w:bidi="ar"/>
        </w:rPr>
        <w:t>管委会</w:t>
      </w:r>
      <w:r>
        <w:rPr>
          <w:rFonts w:hint="eastAsia" w:ascii="仿宋_GB2312" w:hAnsi="仿宋_GB2312" w:cs="仿宋_GB2312"/>
          <w:b w:val="0"/>
          <w:bCs w:val="0"/>
          <w:color w:val="auto"/>
          <w:sz w:val="32"/>
          <w:szCs w:val="32"/>
          <w:highlight w:val="none"/>
          <w:lang w:val="en-US" w:eastAsia="zh-CN" w:bidi="ar"/>
        </w:rPr>
        <w:t>相关内设</w:t>
      </w:r>
      <w:r>
        <w:rPr>
          <w:rFonts w:hint="eastAsia" w:ascii="仿宋_GB2312" w:hAnsi="仿宋_GB2312" w:eastAsia="仿宋_GB2312" w:cs="仿宋_GB2312"/>
          <w:i w:val="0"/>
          <w:iCs w:val="0"/>
          <w:caps w:val="0"/>
          <w:color w:val="auto"/>
          <w:spacing w:val="0"/>
          <w:sz w:val="32"/>
          <w:szCs w:val="32"/>
          <w:highlight w:val="none"/>
          <w:shd w:val="clear" w:color="auto" w:fill="auto"/>
          <w:lang w:bidi="ar"/>
        </w:rPr>
        <w:t>部门依照各自职责，配合做好</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bidi="ar"/>
        </w:rPr>
        <w:t>行政相对人</w:t>
      </w:r>
      <w:r>
        <w:rPr>
          <w:rFonts w:hint="eastAsia" w:ascii="仿宋_GB2312" w:hAnsi="仿宋_GB2312" w:eastAsia="仿宋_GB2312" w:cs="仿宋_GB2312"/>
          <w:i w:val="0"/>
          <w:iCs w:val="0"/>
          <w:caps w:val="0"/>
          <w:color w:val="auto"/>
          <w:spacing w:val="0"/>
          <w:sz w:val="32"/>
          <w:szCs w:val="32"/>
          <w:highlight w:val="none"/>
          <w:shd w:val="clear" w:color="auto" w:fill="auto"/>
          <w:lang w:bidi="ar"/>
        </w:rPr>
        <w:t>信用</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bidi="ar"/>
        </w:rPr>
        <w:t>归集</w:t>
      </w:r>
      <w:r>
        <w:rPr>
          <w:rFonts w:hint="eastAsia" w:ascii="仿宋_GB2312" w:hAnsi="仿宋_GB2312" w:eastAsia="仿宋_GB2312" w:cs="仿宋_GB2312"/>
          <w:i w:val="0"/>
          <w:iCs w:val="0"/>
          <w:caps w:val="0"/>
          <w:color w:val="auto"/>
          <w:spacing w:val="0"/>
          <w:sz w:val="32"/>
          <w:szCs w:val="32"/>
          <w:highlight w:val="none"/>
          <w:shd w:val="clear" w:color="auto" w:fill="auto"/>
          <w:lang w:bidi="ar"/>
        </w:rPr>
        <w:t>评价</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bidi="ar"/>
        </w:rPr>
        <w:t>管理</w:t>
      </w:r>
      <w:r>
        <w:rPr>
          <w:rFonts w:hint="eastAsia" w:ascii="仿宋_GB2312" w:hAnsi="仿宋_GB2312" w:eastAsia="仿宋_GB2312" w:cs="仿宋_GB2312"/>
          <w:i w:val="0"/>
          <w:iCs w:val="0"/>
          <w:caps w:val="0"/>
          <w:color w:val="auto"/>
          <w:spacing w:val="0"/>
          <w:sz w:val="32"/>
          <w:szCs w:val="32"/>
          <w:highlight w:val="none"/>
          <w:shd w:val="clear" w:color="auto" w:fill="auto"/>
          <w:lang w:bidi="ar"/>
        </w:rPr>
        <w:t>工作。</w:t>
      </w:r>
    </w:p>
    <w:p w14:paraId="62A65056">
      <w:pPr>
        <w:keepNext w:val="0"/>
        <w:keepLines w:val="0"/>
        <w:pageBreakBefore w:val="0"/>
        <w:widowControl w:val="0"/>
        <w:numPr>
          <w:ilvl w:val="-1"/>
          <w:numId w:val="0"/>
        </w:numPr>
        <w:kinsoku/>
        <w:wordWrap/>
        <w:overflowPunct/>
        <w:topLinePunct w:val="0"/>
        <w:autoSpaceDE/>
        <w:autoSpaceDN/>
        <w:bidi w:val="0"/>
        <w:adjustRightInd/>
        <w:snapToGrid w:val="0"/>
        <w:spacing w:before="157" w:beforeLines="50" w:after="157" w:afterLines="50" w:line="560" w:lineRule="exact"/>
        <w:jc w:val="center"/>
        <w:textAlignment w:val="auto"/>
        <w:rPr>
          <w:rFonts w:hint="eastAsia" w:ascii="黑体" w:hAnsi="黑体" w:eastAsia="黑体" w:cs="黑体"/>
          <w:b w:val="0"/>
          <w:bCs w:val="0"/>
          <w:color w:val="auto"/>
          <w:highlight w:val="none"/>
          <w:lang w:val="en-US" w:eastAsia="zh-CN"/>
        </w:rPr>
      </w:pPr>
      <w:r>
        <w:rPr>
          <w:rFonts w:hint="eastAsia" w:ascii="黑体" w:hAnsi="黑体" w:eastAsia="黑体" w:cs="黑体"/>
          <w:b w:val="0"/>
          <w:bCs w:val="0"/>
          <w:color w:val="auto"/>
          <w:highlight w:val="none"/>
          <w:lang w:val="en-US" w:eastAsia="zh-CN"/>
        </w:rPr>
        <w:t xml:space="preserve">第二章 </w:t>
      </w:r>
      <w:bookmarkStart w:id="4" w:name="_Toc3902"/>
      <w:r>
        <w:rPr>
          <w:rFonts w:hint="eastAsia" w:ascii="黑体" w:hAnsi="黑体" w:eastAsia="黑体" w:cs="黑体"/>
          <w:b w:val="0"/>
          <w:bCs w:val="0"/>
          <w:color w:val="auto"/>
          <w:highlight w:val="none"/>
          <w:lang w:val="en-US" w:eastAsia="zh-CN"/>
        </w:rPr>
        <w:t>信用信息归集管理</w:t>
      </w:r>
      <w:bookmarkEnd w:id="4"/>
    </w:p>
    <w:p w14:paraId="4FFAA6FE">
      <w:pPr>
        <w:pageBreakBefore w:val="0"/>
        <w:kinsoku/>
        <w:wordWrap/>
        <w:overflowPunct/>
        <w:topLinePunct w:val="0"/>
        <w:autoSpaceDE/>
        <w:autoSpaceDN/>
        <w:bidi w:val="0"/>
        <w:spacing w:line="560" w:lineRule="exact"/>
        <w:ind w:firstLine="640"/>
        <w:jc w:val="both"/>
        <w:rPr>
          <w:color w:val="auto"/>
          <w:highlight w:val="none"/>
        </w:rPr>
      </w:pPr>
      <w:r>
        <w:rPr>
          <w:rFonts w:hint="eastAsia" w:ascii="楷体_GB2312" w:hAnsi="楷体_GB2312" w:eastAsia="楷体_GB2312" w:cs="楷体_GB2312"/>
          <w:b/>
          <w:bCs/>
          <w:snapToGrid/>
          <w:color w:val="auto"/>
          <w:kern w:val="2"/>
          <w:sz w:val="32"/>
          <w:szCs w:val="32"/>
          <w:highlight w:val="none"/>
        </w:rPr>
        <w:t>第六条【信息内容】</w:t>
      </w:r>
      <w:r>
        <w:rPr>
          <w:color w:val="auto"/>
          <w:highlight w:val="none"/>
        </w:rPr>
        <w:t>本办法所称行政相对人信用信息，</w:t>
      </w:r>
      <w:r>
        <w:rPr>
          <w:rFonts w:hint="eastAsia"/>
          <w:color w:val="auto"/>
          <w:highlight w:val="none"/>
          <w:lang w:val="en-US" w:eastAsia="zh-CN"/>
        </w:rPr>
        <w:t>包含</w:t>
      </w:r>
      <w:r>
        <w:rPr>
          <w:color w:val="auto"/>
          <w:highlight w:val="none"/>
        </w:rPr>
        <w:t>行政相对人的公共信用信息</w:t>
      </w:r>
      <w:r>
        <w:rPr>
          <w:rFonts w:hint="eastAsia"/>
          <w:color w:val="auto"/>
          <w:highlight w:val="none"/>
          <w:lang w:val="en-US" w:eastAsia="zh-CN"/>
        </w:rPr>
        <w:t>和临空区特色</w:t>
      </w:r>
      <w:r>
        <w:rPr>
          <w:color w:val="auto"/>
          <w:highlight w:val="none"/>
        </w:rPr>
        <w:t>信用信息，</w:t>
      </w:r>
      <w:r>
        <w:rPr>
          <w:rFonts w:hint="eastAsia"/>
          <w:color w:val="auto"/>
          <w:highlight w:val="none"/>
          <w:lang w:val="en-US" w:eastAsia="zh-CN"/>
        </w:rPr>
        <w:t>用于精准识别、分析、判断行政相对人的信用状况</w:t>
      </w:r>
      <w:r>
        <w:rPr>
          <w:color w:val="auto"/>
          <w:highlight w:val="none"/>
        </w:rPr>
        <w:t>。</w:t>
      </w:r>
    </w:p>
    <w:p w14:paraId="141F3E56">
      <w:pPr>
        <w:pageBreakBefore w:val="0"/>
        <w:numPr>
          <w:ilvl w:val="0"/>
          <w:numId w:val="0"/>
        </w:numPr>
        <w:kinsoku/>
        <w:wordWrap/>
        <w:overflowPunct/>
        <w:topLinePunct w:val="0"/>
        <w:autoSpaceDE/>
        <w:autoSpaceDN/>
        <w:bidi w:val="0"/>
        <w:spacing w:line="560" w:lineRule="exact"/>
        <w:ind w:firstLine="640" w:firstLineChars="200"/>
        <w:rPr>
          <w:rFonts w:hint="eastAsia" w:ascii="仿宋_GB2312" w:hAnsi="仿宋_GB2312" w:eastAsia="仿宋_GB2312" w:cs="Times New Roman"/>
          <w:color w:val="auto"/>
          <w:kern w:val="2"/>
          <w:sz w:val="32"/>
          <w:szCs w:val="24"/>
          <w:highlight w:val="none"/>
          <w:lang w:val="en-US" w:eastAsia="zh-CN" w:bidi="ar-SA"/>
        </w:rPr>
      </w:pPr>
      <w:r>
        <w:rPr>
          <w:rFonts w:hint="eastAsia"/>
          <w:color w:val="auto"/>
          <w:highlight w:val="none"/>
        </w:rPr>
        <w:t>本办法所称公共</w:t>
      </w:r>
      <w:r>
        <w:rPr>
          <w:color w:val="auto"/>
          <w:highlight w:val="none"/>
        </w:rPr>
        <w:t>信用</w:t>
      </w:r>
      <w:r>
        <w:rPr>
          <w:rFonts w:hint="eastAsia"/>
          <w:color w:val="auto"/>
          <w:highlight w:val="none"/>
          <w:lang w:val="en-US" w:eastAsia="zh-CN"/>
        </w:rPr>
        <w:t>信息</w:t>
      </w:r>
      <w:r>
        <w:rPr>
          <w:rFonts w:hint="eastAsia"/>
          <w:color w:val="auto"/>
          <w:highlight w:val="none"/>
          <w:lang w:eastAsia="zh-CN"/>
        </w:rPr>
        <w:t>，</w:t>
      </w:r>
      <w:r>
        <w:rPr>
          <w:rFonts w:hint="eastAsia" w:ascii="仿宋_GB2312" w:hAnsi="仿宋_GB2312" w:eastAsia="仿宋_GB2312" w:cs="Times New Roman"/>
          <w:color w:val="auto"/>
          <w:kern w:val="2"/>
          <w:sz w:val="32"/>
          <w:szCs w:val="24"/>
          <w:highlight w:val="none"/>
          <w:lang w:val="en-US" w:eastAsia="zh-CN" w:bidi="ar-SA"/>
        </w:rPr>
        <w:t>是指国家机关和法律、法规授权的具有管理公共事务职能的在履行法定职责、提供公共服务过程中产生和获取的信用信息。</w:t>
      </w:r>
    </w:p>
    <w:p w14:paraId="53A7BE00">
      <w:pPr>
        <w:widowControl/>
        <w:spacing w:line="560" w:lineRule="exact"/>
        <w:ind w:firstLine="640"/>
        <w:rPr>
          <w:rFonts w:hint="eastAsia"/>
          <w:color w:val="auto"/>
          <w:highlight w:val="none"/>
        </w:rPr>
      </w:pPr>
      <w:r>
        <w:rPr>
          <w:rFonts w:hint="eastAsia"/>
          <w:color w:val="auto"/>
          <w:highlight w:val="none"/>
          <w:lang w:val="en-US" w:eastAsia="zh-CN"/>
        </w:rPr>
        <w:t>本办法所称临空区特色信用信息，是指</w:t>
      </w:r>
      <w:r>
        <w:rPr>
          <w:rFonts w:hint="eastAsia"/>
          <w:color w:val="auto"/>
          <w:highlight w:val="none"/>
        </w:rPr>
        <w:t>临空区大兴</w:t>
      </w:r>
      <w:r>
        <w:rPr>
          <w:rFonts w:hint="eastAsia"/>
          <w:color w:val="auto"/>
          <w:highlight w:val="none"/>
          <w:lang w:val="en-US" w:eastAsia="zh-CN"/>
        </w:rPr>
        <w:t>片区</w:t>
      </w:r>
      <w:r>
        <w:rPr>
          <w:rFonts w:hint="eastAsia"/>
          <w:color w:val="auto"/>
          <w:highlight w:val="none"/>
        </w:rPr>
        <w:t>管委会</w:t>
      </w:r>
      <w:r>
        <w:rPr>
          <w:rFonts w:hint="eastAsia"/>
          <w:color w:val="auto"/>
          <w:highlight w:val="none"/>
          <w:lang w:val="en-US" w:eastAsia="zh-CN"/>
        </w:rPr>
        <w:t>在对本办法第三条所规定的</w:t>
      </w:r>
      <w:r>
        <w:rPr>
          <w:rFonts w:hint="eastAsia"/>
          <w:color w:val="auto"/>
          <w:highlight w:val="none"/>
        </w:rPr>
        <w:t>行政相对人</w:t>
      </w:r>
      <w:r>
        <w:rPr>
          <w:rFonts w:hint="eastAsia"/>
          <w:color w:val="auto"/>
          <w:highlight w:val="none"/>
          <w:lang w:val="en-US" w:eastAsia="zh-CN"/>
        </w:rPr>
        <w:t>服务管理过程中依法归集和企业自主申报的</w:t>
      </w:r>
      <w:r>
        <w:rPr>
          <w:rFonts w:hint="eastAsia"/>
          <w:color w:val="auto"/>
          <w:highlight w:val="none"/>
        </w:rPr>
        <w:t>信用信息</w:t>
      </w:r>
      <w:r>
        <w:rPr>
          <w:rFonts w:hint="eastAsia"/>
          <w:color w:val="auto"/>
          <w:highlight w:val="none"/>
          <w:lang w:eastAsia="zh-CN"/>
        </w:rPr>
        <w:t>。</w:t>
      </w:r>
    </w:p>
    <w:p w14:paraId="0A005EE8">
      <w:pPr>
        <w:pageBreakBefore w:val="0"/>
        <w:widowControl/>
        <w:kinsoku/>
        <w:wordWrap/>
        <w:overflowPunct/>
        <w:topLinePunct w:val="0"/>
        <w:autoSpaceDE/>
        <w:autoSpaceDN/>
        <w:bidi w:val="0"/>
        <w:spacing w:line="560" w:lineRule="exact"/>
        <w:ind w:firstLine="643" w:firstLineChars="200"/>
        <w:jc w:val="left"/>
        <w:rPr>
          <w:rFonts w:hint="eastAsia"/>
          <w:color w:val="auto"/>
          <w:highlight w:val="none"/>
          <w:lang w:val="en-US" w:eastAsia="zh-CN"/>
        </w:rPr>
      </w:pPr>
      <w:r>
        <w:rPr>
          <w:rFonts w:hint="eastAsia" w:ascii="楷体_GB2312" w:hAnsi="楷体_GB2312" w:eastAsia="楷体_GB2312" w:cs="楷体_GB2312"/>
          <w:b/>
          <w:bCs/>
          <w:color w:val="auto"/>
          <w:szCs w:val="32"/>
          <w:highlight w:val="none"/>
        </w:rPr>
        <w:t>第七条【</w:t>
      </w:r>
      <w:r>
        <w:rPr>
          <w:rFonts w:hint="eastAsia" w:ascii="楷体_GB2312" w:hAnsi="楷体_GB2312" w:eastAsia="楷体_GB2312" w:cs="楷体_GB2312"/>
          <w:b/>
          <w:bCs/>
          <w:color w:val="auto"/>
          <w:szCs w:val="32"/>
          <w:highlight w:val="none"/>
          <w:lang w:val="en-US" w:eastAsia="zh-CN"/>
        </w:rPr>
        <w:t>信息归集</w:t>
      </w:r>
      <w:r>
        <w:rPr>
          <w:rFonts w:hint="eastAsia" w:ascii="楷体_GB2312" w:hAnsi="楷体_GB2312" w:eastAsia="楷体_GB2312" w:cs="楷体_GB2312"/>
          <w:b/>
          <w:bCs/>
          <w:color w:val="auto"/>
          <w:szCs w:val="32"/>
          <w:highlight w:val="none"/>
        </w:rPr>
        <w:t>】</w:t>
      </w:r>
      <w:r>
        <w:rPr>
          <w:rFonts w:hint="eastAsia"/>
          <w:color w:val="auto"/>
          <w:highlight w:val="none"/>
          <w:lang w:val="en-US" w:eastAsia="zh-CN"/>
        </w:rPr>
        <w:t>临空区大兴片区管委会</w:t>
      </w:r>
      <w:r>
        <w:rPr>
          <w:rFonts w:hint="eastAsia"/>
          <w:color w:val="auto"/>
          <w:highlight w:val="none"/>
        </w:rPr>
        <w:t>应</w:t>
      </w:r>
      <w:r>
        <w:rPr>
          <w:color w:val="auto"/>
          <w:highlight w:val="none"/>
        </w:rPr>
        <w:t>严格</w:t>
      </w:r>
      <w:r>
        <w:rPr>
          <w:rFonts w:hint="eastAsia"/>
          <w:color w:val="auto"/>
          <w:highlight w:val="none"/>
          <w:lang w:val="en-US" w:eastAsia="zh-CN"/>
        </w:rPr>
        <w:t>按照</w:t>
      </w:r>
      <w:r>
        <w:rPr>
          <w:rFonts w:hint="eastAsia"/>
          <w:color w:val="auto"/>
          <w:highlight w:val="none"/>
          <w:lang w:eastAsia="zh-CN"/>
        </w:rPr>
        <w:t>《</w:t>
      </w:r>
      <w:r>
        <w:rPr>
          <w:rFonts w:hint="eastAsia"/>
          <w:color w:val="auto"/>
          <w:highlight w:val="none"/>
          <w:lang w:val="en-US" w:eastAsia="zh-CN"/>
        </w:rPr>
        <w:t>北京市</w:t>
      </w:r>
      <w:r>
        <w:rPr>
          <w:rFonts w:hint="eastAsia"/>
          <w:color w:val="auto"/>
          <w:highlight w:val="none"/>
        </w:rPr>
        <w:t>公共信用信息目录</w:t>
      </w:r>
      <w:r>
        <w:rPr>
          <w:rFonts w:hint="eastAsia"/>
          <w:color w:val="auto"/>
          <w:highlight w:val="none"/>
          <w:lang w:eastAsia="zh-CN"/>
        </w:rPr>
        <w:t>》</w:t>
      </w:r>
      <w:r>
        <w:rPr>
          <w:color w:val="auto"/>
          <w:highlight w:val="none"/>
        </w:rPr>
        <w:t>规定的范围、</w:t>
      </w:r>
      <w:r>
        <w:rPr>
          <w:rFonts w:hint="eastAsia"/>
          <w:color w:val="auto"/>
          <w:highlight w:val="none"/>
        </w:rPr>
        <w:t>内容</w:t>
      </w:r>
      <w:r>
        <w:rPr>
          <w:rFonts w:hint="eastAsia"/>
          <w:color w:val="auto"/>
          <w:highlight w:val="none"/>
          <w:lang w:val="en-US" w:eastAsia="zh-CN"/>
        </w:rPr>
        <w:t>开展信息归集工作。</w:t>
      </w:r>
    </w:p>
    <w:p w14:paraId="1C491ED7">
      <w:pPr>
        <w:pageBreakBefore w:val="0"/>
        <w:widowControl/>
        <w:numPr>
          <w:ilvl w:val="0"/>
          <w:numId w:val="0"/>
        </w:numPr>
        <w:kinsoku/>
        <w:wordWrap/>
        <w:overflowPunct/>
        <w:topLinePunct w:val="0"/>
        <w:autoSpaceDE/>
        <w:autoSpaceDN/>
        <w:bidi w:val="0"/>
        <w:spacing w:line="560" w:lineRule="exact"/>
        <w:ind w:firstLine="640" w:firstLineChars="200"/>
        <w:jc w:val="left"/>
        <w:rPr>
          <w:rFonts w:hint="eastAsia"/>
          <w:color w:val="auto"/>
          <w:highlight w:val="none"/>
          <w:lang w:val="en-US" w:eastAsia="zh-CN"/>
        </w:rPr>
      </w:pPr>
      <w:r>
        <w:rPr>
          <w:color w:val="auto"/>
          <w:highlight w:val="none"/>
        </w:rPr>
        <w:t>信用信息归集工作以</w:t>
      </w:r>
      <w:r>
        <w:rPr>
          <w:rFonts w:hint="eastAsia"/>
          <w:color w:val="auto"/>
          <w:highlight w:val="none"/>
          <w:lang w:eastAsia="zh-CN"/>
        </w:rPr>
        <w:t>“</w:t>
      </w:r>
      <w:r>
        <w:rPr>
          <w:color w:val="auto"/>
          <w:highlight w:val="none"/>
        </w:rPr>
        <w:t>系统对接为主、人工录入结合</w:t>
      </w:r>
      <w:r>
        <w:rPr>
          <w:rFonts w:hint="eastAsia"/>
          <w:color w:val="auto"/>
          <w:highlight w:val="none"/>
          <w:lang w:eastAsia="zh-CN"/>
        </w:rPr>
        <w:t>”</w:t>
      </w:r>
      <w:r>
        <w:rPr>
          <w:color w:val="auto"/>
          <w:highlight w:val="none"/>
        </w:rPr>
        <w:t>的方式开展。临空区</w:t>
      </w:r>
      <w:r>
        <w:rPr>
          <w:rFonts w:hint="eastAsia"/>
          <w:color w:val="auto"/>
          <w:highlight w:val="none"/>
        </w:rPr>
        <w:t>大兴片区</w:t>
      </w:r>
      <w:r>
        <w:rPr>
          <w:color w:val="auto"/>
          <w:highlight w:val="none"/>
        </w:rPr>
        <w:t>管委会行政职权</w:t>
      </w:r>
      <w:r>
        <w:rPr>
          <w:rFonts w:hint="eastAsia"/>
          <w:color w:val="auto"/>
          <w:highlight w:val="none"/>
          <w:lang w:val="en-US" w:eastAsia="zh-CN"/>
        </w:rPr>
        <w:t>及服务</w:t>
      </w:r>
      <w:r>
        <w:rPr>
          <w:color w:val="auto"/>
          <w:highlight w:val="none"/>
        </w:rPr>
        <w:t>范围内产生的信用信息由</w:t>
      </w:r>
      <w:r>
        <w:rPr>
          <w:rFonts w:hint="eastAsia"/>
          <w:color w:val="auto"/>
          <w:highlight w:val="none"/>
          <w:lang w:val="en-US" w:eastAsia="zh-CN"/>
        </w:rPr>
        <w:t>产生信息的相关部门</w:t>
      </w:r>
      <w:r>
        <w:rPr>
          <w:color w:val="auto"/>
          <w:highlight w:val="none"/>
        </w:rPr>
        <w:t>负责归集录入</w:t>
      </w:r>
      <w:r>
        <w:rPr>
          <w:rFonts w:hint="eastAsia"/>
          <w:color w:val="auto"/>
          <w:highlight w:val="none"/>
          <w:lang w:val="en-US" w:eastAsia="zh-CN"/>
        </w:rPr>
        <w:t>信用信息平台</w:t>
      </w:r>
      <w:r>
        <w:rPr>
          <w:color w:val="auto"/>
          <w:highlight w:val="none"/>
        </w:rPr>
        <w:t>；临空区</w:t>
      </w:r>
      <w:r>
        <w:rPr>
          <w:rFonts w:hint="eastAsia"/>
          <w:color w:val="auto"/>
          <w:highlight w:val="none"/>
        </w:rPr>
        <w:t>大兴片区</w:t>
      </w:r>
      <w:r>
        <w:rPr>
          <w:color w:val="auto"/>
          <w:highlight w:val="none"/>
        </w:rPr>
        <w:t>管委会行政职权范围外</w:t>
      </w:r>
      <w:r>
        <w:rPr>
          <w:rFonts w:hint="eastAsia"/>
          <w:color w:val="auto"/>
          <w:highlight w:val="none"/>
          <w:lang w:val="en-US" w:eastAsia="zh-CN"/>
        </w:rPr>
        <w:t>可</w:t>
      </w:r>
      <w:r>
        <w:rPr>
          <w:color w:val="auto"/>
          <w:highlight w:val="none"/>
        </w:rPr>
        <w:t>通过对接市</w:t>
      </w:r>
      <w:r>
        <w:rPr>
          <w:rFonts w:hint="eastAsia"/>
          <w:color w:val="auto"/>
          <w:highlight w:val="none"/>
        </w:rPr>
        <w:t>区</w:t>
      </w:r>
      <w:r>
        <w:rPr>
          <w:color w:val="auto"/>
          <w:highlight w:val="none"/>
        </w:rPr>
        <w:t>大数据平台、</w:t>
      </w:r>
      <w:r>
        <w:rPr>
          <w:rFonts w:hint="eastAsia"/>
          <w:color w:val="auto"/>
          <w:highlight w:val="none"/>
        </w:rPr>
        <w:t>行业管理</w:t>
      </w:r>
      <w:r>
        <w:rPr>
          <w:color w:val="auto"/>
          <w:highlight w:val="none"/>
        </w:rPr>
        <w:t>部门业务相关系统等方式获取</w:t>
      </w:r>
      <w:r>
        <w:rPr>
          <w:rFonts w:hint="eastAsia"/>
          <w:color w:val="auto"/>
          <w:highlight w:val="none"/>
          <w:lang w:val="en-US" w:eastAsia="zh-CN"/>
        </w:rPr>
        <w:t>的信息（包括但不限于</w:t>
      </w:r>
      <w:r>
        <w:rPr>
          <w:color w:val="auto"/>
          <w:highlight w:val="none"/>
        </w:rPr>
        <w:t>公共信用信息、</w:t>
      </w:r>
      <w:r>
        <w:rPr>
          <w:rFonts w:hint="eastAsia"/>
          <w:color w:val="auto"/>
          <w:highlight w:val="none"/>
          <w:lang w:val="en-US" w:eastAsia="zh-CN"/>
        </w:rPr>
        <w:t>遵纪守法</w:t>
      </w:r>
      <w:r>
        <w:rPr>
          <w:color w:val="auto"/>
          <w:highlight w:val="none"/>
        </w:rPr>
        <w:t>信息、信用修复信息</w:t>
      </w:r>
      <w:r>
        <w:rPr>
          <w:rFonts w:hint="eastAsia"/>
          <w:color w:val="auto"/>
          <w:highlight w:val="none"/>
          <w:lang w:val="en-US" w:eastAsia="zh-CN"/>
        </w:rPr>
        <w:t>等），由系统对接</w:t>
      </w:r>
      <w:r>
        <w:rPr>
          <w:rFonts w:hint="eastAsia"/>
          <w:color w:val="auto"/>
          <w:highlight w:val="none"/>
        </w:rPr>
        <w:t>录入</w:t>
      </w:r>
      <w:r>
        <w:rPr>
          <w:color w:val="auto"/>
          <w:highlight w:val="none"/>
        </w:rPr>
        <w:t>。</w:t>
      </w:r>
      <w:r>
        <w:rPr>
          <w:rFonts w:hint="eastAsia"/>
          <w:color w:val="auto"/>
          <w:highlight w:val="none"/>
          <w:lang w:val="en-US" w:eastAsia="zh-CN"/>
        </w:rPr>
        <w:t>社会责任信息等需行政相对人自主申报的信息，由临空区大兴片区管委会相关内设部门审核通过后录入。</w:t>
      </w:r>
    </w:p>
    <w:p w14:paraId="27B73E38">
      <w:pPr>
        <w:pStyle w:val="2"/>
        <w:spacing w:line="560" w:lineRule="exact"/>
        <w:ind w:firstLine="643" w:firstLineChars="200"/>
        <w:rPr>
          <w:rFonts w:hint="eastAsia" w:eastAsia="仿宋_GB2312" w:cs="Times New Roman"/>
          <w:color w:val="auto"/>
          <w:sz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第八条</w:t>
      </w:r>
      <w:r>
        <w:rPr>
          <w:rFonts w:hint="eastAsia" w:ascii="楷体_GB2312" w:hAnsi="楷体_GB2312" w:eastAsia="楷体_GB2312" w:cs="楷体_GB2312"/>
          <w:b/>
          <w:bCs/>
          <w:color w:val="auto"/>
          <w:sz w:val="32"/>
          <w:szCs w:val="32"/>
          <w:highlight w:val="none"/>
        </w:rPr>
        <w:t>【</w:t>
      </w:r>
      <w:r>
        <w:rPr>
          <w:rFonts w:hint="eastAsia" w:ascii="楷体_GB2312" w:hAnsi="楷体_GB2312" w:eastAsia="楷体_GB2312" w:cs="楷体_GB2312"/>
          <w:b/>
          <w:bCs/>
          <w:color w:val="auto"/>
          <w:sz w:val="32"/>
          <w:szCs w:val="32"/>
          <w:highlight w:val="none"/>
          <w:lang w:val="en-US" w:eastAsia="zh-CN"/>
        </w:rPr>
        <w:t>跨区域信息共享联动</w:t>
      </w:r>
      <w:r>
        <w:rPr>
          <w:rFonts w:hint="eastAsia" w:ascii="楷体_GB2312" w:hAnsi="楷体_GB2312" w:eastAsia="楷体_GB2312" w:cs="楷体_GB2312"/>
          <w:b/>
          <w:bCs/>
          <w:color w:val="auto"/>
          <w:sz w:val="32"/>
          <w:szCs w:val="32"/>
          <w:highlight w:val="none"/>
        </w:rPr>
        <w:t>】</w:t>
      </w:r>
      <w:r>
        <w:rPr>
          <w:rFonts w:hint="eastAsia" w:eastAsia="仿宋_GB2312" w:cs="Times New Roman"/>
          <w:color w:val="auto"/>
          <w:sz w:val="32"/>
          <w:highlight w:val="none"/>
          <w:lang w:val="en-US" w:eastAsia="zh-CN"/>
        </w:rPr>
        <w:t>落实京津冀晋公共信用数据跨区域共享</w:t>
      </w:r>
      <w:r>
        <w:rPr>
          <w:rFonts w:hint="eastAsia" w:eastAsia="仿宋_GB2312" w:cs="Times New Roman"/>
          <w:color w:val="auto"/>
          <w:sz w:val="32"/>
          <w:highlight w:val="none"/>
        </w:rPr>
        <w:t>机制</w:t>
      </w:r>
      <w:r>
        <w:rPr>
          <w:rFonts w:hint="eastAsia" w:eastAsia="仿宋_GB2312" w:cs="Times New Roman"/>
          <w:color w:val="auto"/>
          <w:sz w:val="32"/>
          <w:highlight w:val="none"/>
          <w:lang w:eastAsia="zh-CN"/>
        </w:rPr>
        <w:t>，</w:t>
      </w:r>
      <w:r>
        <w:rPr>
          <w:rFonts w:hint="eastAsia" w:eastAsia="仿宋_GB2312" w:cs="Times New Roman"/>
          <w:color w:val="auto"/>
          <w:sz w:val="32"/>
          <w:highlight w:val="none"/>
          <w:lang w:val="en-US" w:eastAsia="zh-CN"/>
        </w:rPr>
        <w:t>依照相关法律法规文件规定，临空区大兴片区管委会对津冀晋企业公共信用综合评价结果等信息实行跨区域互认，与</w:t>
      </w:r>
      <w:r>
        <w:rPr>
          <w:rFonts w:hint="eastAsia" w:eastAsia="仿宋_GB2312" w:cs="Times New Roman"/>
          <w:color w:val="auto"/>
          <w:sz w:val="32"/>
          <w:highlight w:val="none"/>
        </w:rPr>
        <w:t>北京大兴国际机场临空经济区</w:t>
      </w:r>
      <w:r>
        <w:rPr>
          <w:rFonts w:hint="eastAsia" w:eastAsia="仿宋_GB2312" w:cs="Times New Roman"/>
          <w:color w:val="auto"/>
          <w:sz w:val="32"/>
          <w:highlight w:val="none"/>
          <w:lang w:val="en-US" w:eastAsia="zh-CN"/>
        </w:rPr>
        <w:t>廊坊片区管理委员会实行信用信息共享联动。</w:t>
      </w:r>
    </w:p>
    <w:p w14:paraId="4D6F1C11">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firstLine="0" w:firstLineChars="0"/>
        <w:jc w:val="center"/>
        <w:textAlignment w:val="auto"/>
        <w:rPr>
          <w:rFonts w:hint="eastAsia" w:ascii="黑体" w:hAnsi="黑体" w:eastAsia="黑体" w:cs="黑体"/>
          <w:b w:val="0"/>
          <w:bCs w:val="0"/>
          <w:color w:val="auto"/>
          <w:highlight w:val="none"/>
        </w:rPr>
      </w:pPr>
      <w:bookmarkStart w:id="5" w:name="_Toc27934"/>
      <w:r>
        <w:rPr>
          <w:rFonts w:hint="eastAsia" w:ascii="黑体" w:hAnsi="黑体" w:eastAsia="黑体" w:cs="黑体"/>
          <w:b w:val="0"/>
          <w:bCs w:val="0"/>
          <w:color w:val="auto"/>
          <w:highlight w:val="none"/>
        </w:rPr>
        <w:t>信用分级评价</w:t>
      </w:r>
      <w:bookmarkEnd w:id="5"/>
    </w:p>
    <w:p w14:paraId="6019D2F0">
      <w:pPr>
        <w:widowControl/>
        <w:spacing w:line="560" w:lineRule="exact"/>
        <w:ind w:firstLine="643" w:firstLineChars="200"/>
        <w:jc w:val="left"/>
        <w:rPr>
          <w:rFonts w:hint="eastAsia" w:ascii="楷体_GB2312" w:hAnsi="楷体_GB2312" w:eastAsia="楷体_GB2312" w:cs="楷体_GB2312"/>
          <w:b/>
          <w:bCs/>
          <w:color w:val="auto"/>
          <w:szCs w:val="32"/>
          <w:highlight w:val="none"/>
        </w:rPr>
      </w:pPr>
      <w:r>
        <w:rPr>
          <w:rFonts w:hint="eastAsia" w:ascii="楷体_GB2312" w:hAnsi="楷体_GB2312" w:eastAsia="楷体_GB2312" w:cs="楷体_GB2312"/>
          <w:b/>
          <w:bCs/>
          <w:color w:val="auto"/>
          <w:szCs w:val="32"/>
          <w:highlight w:val="none"/>
        </w:rPr>
        <w:t>第</w:t>
      </w:r>
      <w:r>
        <w:rPr>
          <w:rFonts w:hint="eastAsia" w:ascii="楷体_GB2312" w:hAnsi="楷体_GB2312" w:eastAsia="楷体_GB2312" w:cs="楷体_GB2312"/>
          <w:b/>
          <w:bCs/>
          <w:color w:val="auto"/>
          <w:szCs w:val="32"/>
          <w:highlight w:val="none"/>
          <w:lang w:val="en-US" w:eastAsia="zh-CN"/>
        </w:rPr>
        <w:t>九</w:t>
      </w:r>
      <w:r>
        <w:rPr>
          <w:rFonts w:hint="eastAsia" w:ascii="楷体_GB2312" w:hAnsi="楷体_GB2312" w:eastAsia="楷体_GB2312" w:cs="楷体_GB2312"/>
          <w:b/>
          <w:bCs/>
          <w:color w:val="auto"/>
          <w:szCs w:val="32"/>
          <w:highlight w:val="none"/>
        </w:rPr>
        <w:t>条【评价</w:t>
      </w:r>
      <w:r>
        <w:rPr>
          <w:rFonts w:hint="eastAsia" w:ascii="楷体_GB2312" w:hAnsi="楷体_GB2312" w:eastAsia="楷体_GB2312" w:cs="楷体_GB2312"/>
          <w:b/>
          <w:bCs/>
          <w:color w:val="auto"/>
          <w:szCs w:val="32"/>
          <w:highlight w:val="none"/>
          <w:lang w:val="en-US" w:eastAsia="zh-CN"/>
        </w:rPr>
        <w:t>标准</w:t>
      </w:r>
      <w:r>
        <w:rPr>
          <w:rFonts w:hint="eastAsia" w:ascii="楷体_GB2312" w:hAnsi="楷体_GB2312" w:eastAsia="楷体_GB2312" w:cs="楷体_GB2312"/>
          <w:b/>
          <w:bCs/>
          <w:color w:val="auto"/>
          <w:szCs w:val="32"/>
          <w:highlight w:val="none"/>
        </w:rPr>
        <w:t>】</w:t>
      </w:r>
      <w:r>
        <w:rPr>
          <w:rFonts w:ascii="仿宋_GB2312" w:hAnsi="宋体" w:eastAsia="仿宋_GB2312" w:cs="仿宋_GB2312"/>
          <w:color w:val="auto"/>
          <w:kern w:val="0"/>
          <w:sz w:val="32"/>
          <w:szCs w:val="32"/>
          <w:highlight w:val="none"/>
          <w:lang w:val="en-US" w:eastAsia="zh-CN" w:bidi="ar"/>
        </w:rPr>
        <w:t>行政相对人信用评价</w:t>
      </w:r>
      <w:r>
        <w:rPr>
          <w:rFonts w:hint="eastAsia" w:hAnsi="宋体" w:cs="仿宋_GB2312"/>
          <w:color w:val="auto"/>
          <w:kern w:val="0"/>
          <w:sz w:val="32"/>
          <w:szCs w:val="32"/>
          <w:highlight w:val="none"/>
          <w:lang w:val="en-US" w:eastAsia="zh-CN" w:bidi="ar"/>
        </w:rPr>
        <w:t>采用加减</w:t>
      </w:r>
      <w:r>
        <w:rPr>
          <w:rFonts w:ascii="仿宋_GB2312" w:hAnsi="宋体" w:eastAsia="仿宋_GB2312" w:cs="仿宋_GB2312"/>
          <w:color w:val="auto"/>
          <w:kern w:val="0"/>
          <w:sz w:val="32"/>
          <w:szCs w:val="32"/>
          <w:highlight w:val="none"/>
          <w:lang w:val="en-US" w:eastAsia="zh-CN" w:bidi="ar"/>
        </w:rPr>
        <w:t>计分制</w:t>
      </w:r>
      <w:r>
        <w:rPr>
          <w:rFonts w:hint="eastAsia" w:ascii="仿宋_GB2312" w:hAnsi="宋体" w:eastAsia="仿宋_GB2312" w:cs="仿宋_GB2312"/>
          <w:color w:val="auto"/>
          <w:kern w:val="0"/>
          <w:sz w:val="32"/>
          <w:szCs w:val="32"/>
          <w:highlight w:val="none"/>
          <w:lang w:val="en-US" w:eastAsia="zh-CN" w:bidi="ar"/>
        </w:rPr>
        <w:t>，评价标准包括评价指标和分值。</w:t>
      </w:r>
    </w:p>
    <w:p w14:paraId="1AE5B10F">
      <w:pPr>
        <w:keepNext w:val="0"/>
        <w:keepLines w:val="0"/>
        <w:widowControl/>
        <w:numPr>
          <w:ilvl w:val="0"/>
          <w:numId w:val="2"/>
        </w:numPr>
        <w:suppressLineNumbers w:val="0"/>
        <w:spacing w:line="560" w:lineRule="exact"/>
        <w:ind w:firstLine="640" w:firstLineChars="200"/>
        <w:jc w:val="left"/>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 xml:space="preserve">指标构成 </w:t>
      </w:r>
    </w:p>
    <w:p w14:paraId="47364283">
      <w:pPr>
        <w:keepNext w:val="0"/>
        <w:keepLines w:val="0"/>
        <w:widowControl/>
        <w:numPr>
          <w:ilvl w:val="0"/>
          <w:numId w:val="0"/>
        </w:numPr>
        <w:suppressLineNumbers w:val="0"/>
        <w:spacing w:line="560" w:lineRule="exact"/>
        <w:ind w:firstLine="640" w:firstLineChars="200"/>
        <w:jc w:val="left"/>
        <w:rPr>
          <w:rFonts w:hint="eastAsia" w:hAnsi="宋体"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信用评价指标体系由公共信用、</w:t>
      </w:r>
      <w:r>
        <w:rPr>
          <w:rFonts w:hint="eastAsia" w:hAnsi="宋体" w:cs="仿宋_GB2312"/>
          <w:color w:val="auto"/>
          <w:kern w:val="0"/>
          <w:sz w:val="32"/>
          <w:szCs w:val="32"/>
          <w:highlight w:val="none"/>
          <w:lang w:val="en-US" w:eastAsia="zh-CN" w:bidi="ar"/>
        </w:rPr>
        <w:t>临空区特色</w:t>
      </w:r>
      <w:r>
        <w:rPr>
          <w:rFonts w:hint="eastAsia" w:ascii="仿宋_GB2312" w:hAnsi="宋体" w:eastAsia="仿宋_GB2312" w:cs="仿宋_GB2312"/>
          <w:color w:val="auto"/>
          <w:kern w:val="0"/>
          <w:sz w:val="32"/>
          <w:szCs w:val="32"/>
          <w:highlight w:val="none"/>
          <w:lang w:val="en-US" w:eastAsia="zh-CN" w:bidi="ar"/>
        </w:rPr>
        <w:t>信用两个部分构成</w:t>
      </w:r>
      <w:r>
        <w:rPr>
          <w:rFonts w:hint="eastAsia" w:hAnsi="宋体" w:cs="仿宋_GB2312"/>
          <w:color w:val="auto"/>
          <w:kern w:val="0"/>
          <w:sz w:val="32"/>
          <w:szCs w:val="32"/>
          <w:highlight w:val="none"/>
          <w:lang w:val="en-US" w:eastAsia="zh-CN" w:bidi="ar"/>
        </w:rPr>
        <w:t>。</w:t>
      </w:r>
    </w:p>
    <w:p w14:paraId="0ECBDDA7">
      <w:pPr>
        <w:keepNext w:val="0"/>
        <w:keepLines w:val="0"/>
        <w:widowControl/>
        <w:numPr>
          <w:ilvl w:val="0"/>
          <w:numId w:val="2"/>
        </w:numPr>
        <w:suppressLineNumbers w:val="0"/>
        <w:spacing w:line="560" w:lineRule="exact"/>
        <w:ind w:firstLine="640" w:firstLineChars="200"/>
        <w:jc w:val="left"/>
        <w:rPr>
          <w:rFonts w:hint="eastAsia" w:hAnsi="宋体" w:cs="仿宋_GB2312"/>
          <w:color w:val="auto"/>
          <w:kern w:val="0"/>
          <w:sz w:val="32"/>
          <w:szCs w:val="32"/>
          <w:highlight w:val="none"/>
          <w:lang w:val="en-US" w:eastAsia="zh-CN" w:bidi="ar"/>
        </w:rPr>
      </w:pPr>
      <w:r>
        <w:rPr>
          <w:rFonts w:hint="eastAsia" w:hAnsi="宋体" w:cs="仿宋_GB2312"/>
          <w:color w:val="auto"/>
          <w:kern w:val="0"/>
          <w:sz w:val="32"/>
          <w:szCs w:val="32"/>
          <w:highlight w:val="none"/>
          <w:lang w:val="en-US" w:eastAsia="zh-CN" w:bidi="ar"/>
        </w:rPr>
        <w:t>分值构成</w:t>
      </w:r>
    </w:p>
    <w:p w14:paraId="75A3A6F8">
      <w:pPr>
        <w:keepNext w:val="0"/>
        <w:keepLines w:val="0"/>
        <w:widowControl/>
        <w:numPr>
          <w:ilvl w:val="0"/>
          <w:numId w:val="0"/>
        </w:numPr>
        <w:suppressLineNumbers w:val="0"/>
        <w:spacing w:line="560" w:lineRule="exact"/>
        <w:ind w:firstLine="640" w:firstLineChars="200"/>
        <w:jc w:val="left"/>
        <w:rPr>
          <w:rFonts w:hint="eastAsia" w:hAnsi="宋体"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信用评价分值范围为[350，950]分，信用评价得分=基础分值+公共信用分值+</w:t>
      </w:r>
      <w:r>
        <w:rPr>
          <w:rFonts w:hint="eastAsia" w:hAnsi="宋体" w:cs="仿宋_GB2312"/>
          <w:color w:val="auto"/>
          <w:kern w:val="0"/>
          <w:sz w:val="32"/>
          <w:szCs w:val="32"/>
          <w:highlight w:val="none"/>
          <w:lang w:val="en-US" w:eastAsia="zh-CN" w:bidi="ar"/>
        </w:rPr>
        <w:t>临空区特色</w:t>
      </w:r>
      <w:r>
        <w:rPr>
          <w:rFonts w:hint="eastAsia" w:ascii="仿宋_GB2312" w:hAnsi="宋体" w:eastAsia="仿宋_GB2312" w:cs="仿宋_GB2312"/>
          <w:color w:val="auto"/>
          <w:kern w:val="0"/>
          <w:sz w:val="32"/>
          <w:szCs w:val="32"/>
          <w:highlight w:val="none"/>
          <w:lang w:val="en-US" w:eastAsia="zh-CN" w:bidi="ar"/>
        </w:rPr>
        <w:t>信用分值。</w:t>
      </w:r>
    </w:p>
    <w:p w14:paraId="36EDCBCA">
      <w:pPr>
        <w:keepNext w:val="0"/>
        <w:keepLines w:val="0"/>
        <w:widowControl/>
        <w:numPr>
          <w:ilvl w:val="0"/>
          <w:numId w:val="0"/>
        </w:numPr>
        <w:suppressLineNumbers w:val="0"/>
        <w:spacing w:line="560" w:lineRule="exact"/>
        <w:ind w:firstLine="640" w:firstLineChars="200"/>
        <w:jc w:val="left"/>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其中，基础信用分值为350分，是指行政相对人的初始信用分值。公共信用分值根据北京市统一的企业公共信用综合评价结果乘以系数转化得出。临空区特色信用分值根据各项指标所归集信用信息的分值计算得出。</w:t>
      </w:r>
    </w:p>
    <w:p w14:paraId="304FC67A">
      <w:pPr>
        <w:keepNext w:val="0"/>
        <w:keepLines w:val="0"/>
        <w:widowControl/>
        <w:numPr>
          <w:ilvl w:val="0"/>
          <w:numId w:val="0"/>
        </w:numPr>
        <w:suppressLineNumbers w:val="0"/>
        <w:spacing w:line="560" w:lineRule="exact"/>
        <w:ind w:firstLine="64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0"/>
          <w:sz w:val="32"/>
          <w:szCs w:val="32"/>
          <w:highlight w:val="none"/>
          <w:lang w:val="en-US" w:eastAsia="zh-CN" w:bidi="ar"/>
        </w:rPr>
        <w:t>具体指标构成、计分方法依据《北京大兴国际机场临空经济区（北京部分）行政相对人信用评价评分细则》（详见附件1）、《北京大兴国际机场临空经济区（北京部分）行政相对人信用评价指标》（详见附件2）执行。具体分值由信用信息平台基于归</w:t>
      </w:r>
      <w:r>
        <w:rPr>
          <w:rFonts w:hint="eastAsia" w:ascii="仿宋_GB2312" w:hAnsi="仿宋_GB2312" w:eastAsia="仿宋_GB2312" w:cs="仿宋_GB2312"/>
          <w:color w:val="auto"/>
          <w:highlight w:val="none"/>
          <w:lang w:val="en-US" w:eastAsia="zh-CN"/>
        </w:rPr>
        <w:t>集的信息进行</w:t>
      </w:r>
      <w:r>
        <w:rPr>
          <w:rFonts w:hint="eastAsia" w:ascii="仿宋_GB2312" w:hAnsi="仿宋_GB2312" w:eastAsia="仿宋_GB2312" w:cs="仿宋_GB2312"/>
          <w:color w:val="auto"/>
          <w:highlight w:val="none"/>
        </w:rPr>
        <w:t>自动计算</w:t>
      </w:r>
      <w:r>
        <w:rPr>
          <w:rFonts w:hint="eastAsia" w:ascii="仿宋_GB2312" w:hAnsi="仿宋_GB2312" w:eastAsia="仿宋_GB2312" w:cs="仿宋_GB2312"/>
          <w:color w:val="auto"/>
          <w:highlight w:val="none"/>
          <w:lang w:val="en-US" w:eastAsia="zh-CN"/>
        </w:rPr>
        <w:t>及人工辅助计算校核</w:t>
      </w:r>
      <w:r>
        <w:rPr>
          <w:rFonts w:hint="eastAsia" w:ascii="仿宋_GB2312" w:hAnsi="仿宋_GB2312" w:eastAsia="仿宋_GB2312" w:cs="仿宋_GB2312"/>
          <w:color w:val="auto"/>
          <w:highlight w:val="none"/>
        </w:rPr>
        <w:t>。</w:t>
      </w:r>
    </w:p>
    <w:p w14:paraId="5F5F8551">
      <w:pPr>
        <w:widowControl/>
        <w:numPr>
          <w:ilvl w:val="0"/>
          <w:numId w:val="0"/>
        </w:numPr>
        <w:snapToGrid/>
        <w:spacing w:beforeLines="0" w:afterLines="0" w:line="560" w:lineRule="exact"/>
        <w:ind w:firstLine="643" w:firstLineChars="200"/>
        <w:rPr>
          <w:color w:val="auto"/>
          <w:sz w:val="20"/>
          <w:szCs w:val="16"/>
          <w:highlight w:val="none"/>
        </w:rPr>
      </w:pPr>
      <w:r>
        <w:rPr>
          <w:rFonts w:hint="eastAsia" w:ascii="楷体_GB2312" w:hAnsi="楷体_GB2312" w:eastAsia="楷体_GB2312" w:cs="楷体_GB2312"/>
          <w:b/>
          <w:bCs/>
          <w:snapToGrid/>
          <w:color w:val="auto"/>
          <w:kern w:val="2"/>
          <w:szCs w:val="32"/>
          <w:highlight w:val="none"/>
        </w:rPr>
        <w:t>第</w:t>
      </w:r>
      <w:r>
        <w:rPr>
          <w:rFonts w:hint="eastAsia" w:ascii="楷体_GB2312" w:hAnsi="楷体_GB2312" w:eastAsia="楷体_GB2312" w:cs="楷体_GB2312"/>
          <w:b/>
          <w:bCs/>
          <w:snapToGrid/>
          <w:color w:val="auto"/>
          <w:kern w:val="2"/>
          <w:szCs w:val="32"/>
          <w:highlight w:val="none"/>
          <w:lang w:val="en-US" w:eastAsia="zh-CN"/>
        </w:rPr>
        <w:t>十</w:t>
      </w:r>
      <w:r>
        <w:rPr>
          <w:rFonts w:hint="eastAsia" w:ascii="楷体_GB2312" w:hAnsi="楷体_GB2312" w:eastAsia="楷体_GB2312" w:cs="楷体_GB2312"/>
          <w:b/>
          <w:bCs/>
          <w:snapToGrid/>
          <w:color w:val="auto"/>
          <w:kern w:val="2"/>
          <w:szCs w:val="32"/>
          <w:highlight w:val="none"/>
        </w:rPr>
        <w:t>条【评价等级】</w:t>
      </w:r>
      <w:r>
        <w:rPr>
          <w:rFonts w:hint="eastAsia" w:ascii="仿宋_GB2312" w:hAnsi="仿宋_GB2312" w:cs="仿宋_GB2312"/>
          <w:color w:val="auto"/>
          <w:szCs w:val="32"/>
          <w:highlight w:val="none"/>
        </w:rPr>
        <w:t>根据信用分值划定信用等级</w:t>
      </w:r>
      <w:r>
        <w:rPr>
          <w:rFonts w:hint="eastAsia" w:ascii="仿宋_GB2312" w:hAnsi="仿宋_GB2312" w:eastAsia="仿宋_GB2312" w:cs="仿宋_GB2312"/>
          <w:color w:val="auto"/>
          <w:sz w:val="32"/>
          <w:szCs w:val="32"/>
          <w:highlight w:val="none"/>
        </w:rPr>
        <w:t>为四</w:t>
      </w:r>
      <w:r>
        <w:rPr>
          <w:rFonts w:hint="eastAsia" w:ascii="仿宋_GB2312" w:hAnsi="仿宋_GB2312" w:cs="仿宋_GB2312"/>
          <w:color w:val="auto"/>
          <w:sz w:val="32"/>
          <w:szCs w:val="32"/>
          <w:highlight w:val="none"/>
          <w:lang w:val="en-US" w:eastAsia="zh-CN"/>
        </w:rPr>
        <w:t>级九等</w:t>
      </w:r>
      <w:r>
        <w:rPr>
          <w:rFonts w:hint="eastAsia" w:cs="仿宋_GB2312"/>
          <w:color w:val="auto"/>
          <w:sz w:val="32"/>
          <w:szCs w:val="32"/>
          <w:highlight w:val="none"/>
          <w:lang w:val="en-US" w:eastAsia="zh-CN"/>
        </w:rPr>
        <w:t>：即</w:t>
      </w:r>
      <w:r>
        <w:rPr>
          <w:rFonts w:hint="eastAsia" w:ascii="仿宋_GB2312" w:hAnsi="仿宋_GB2312" w:cs="仿宋_GB2312"/>
          <w:color w:val="auto"/>
          <w:sz w:val="32"/>
          <w:szCs w:val="32"/>
          <w:highlight w:val="none"/>
          <w:lang w:val="en-US" w:eastAsia="zh-CN"/>
        </w:rPr>
        <w:t>A级（A、A-等次）、B级（</w:t>
      </w:r>
      <w:r>
        <w:rPr>
          <w:rFonts w:hint="eastAsia" w:ascii="仿宋_GB2312" w:hAnsi="仿宋_GB2312" w:eastAsia="仿宋_GB2312" w:cs="仿宋_GB2312"/>
          <w:color w:val="auto"/>
          <w:sz w:val="32"/>
          <w:szCs w:val="32"/>
          <w:highlight w:val="none"/>
        </w:rPr>
        <w:t>B</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val="en-US" w:eastAsia="zh-CN"/>
        </w:rPr>
        <w:t>B、B-等次）、C级（</w:t>
      </w:r>
      <w:r>
        <w:rPr>
          <w:rFonts w:hint="eastAsia" w:ascii="仿宋_GB2312" w:hAnsi="仿宋_GB2312" w:eastAsia="仿宋_GB2312" w:cs="仿宋_GB2312"/>
          <w:color w:val="auto"/>
          <w:sz w:val="32"/>
          <w:szCs w:val="32"/>
          <w:highlight w:val="none"/>
        </w:rPr>
        <w:t>C</w:t>
      </w:r>
      <w:r>
        <w:rPr>
          <w:rFonts w:hint="eastAsia" w:ascii="仿宋_GB2312" w:hAnsi="仿宋_GB2312" w:cs="仿宋_GB2312"/>
          <w:color w:val="auto"/>
          <w:sz w:val="32"/>
          <w:szCs w:val="32"/>
          <w:highlight w:val="none"/>
          <w:lang w:val="en-US" w:eastAsia="zh-CN"/>
        </w:rPr>
        <w:t>+、C、C-等次）、</w:t>
      </w:r>
      <w:r>
        <w:rPr>
          <w:rFonts w:hint="eastAsia" w:ascii="仿宋_GB2312" w:hAnsi="仿宋_GB2312" w:eastAsia="仿宋_GB2312" w:cs="仿宋_GB2312"/>
          <w:color w:val="auto"/>
          <w:sz w:val="32"/>
          <w:szCs w:val="32"/>
          <w:highlight w:val="none"/>
        </w:rPr>
        <w:t>D</w:t>
      </w:r>
      <w:r>
        <w:rPr>
          <w:rFonts w:hint="eastAsia" w:ascii="仿宋_GB2312" w:hAnsi="仿宋_GB2312" w:cs="仿宋_GB2312"/>
          <w:color w:val="auto"/>
          <w:sz w:val="32"/>
          <w:szCs w:val="32"/>
          <w:highlight w:val="none"/>
          <w:lang w:val="en-US" w:eastAsia="zh-CN"/>
        </w:rPr>
        <w:t>级（D等次）</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shd w:val="clear" w:color="auto" w:fill="auto"/>
        </w:rPr>
        <w:t>并分别用绿、黄、橙、红颜色进行标识、区别</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rPr>
        <w:t>具体等级划分及释义如下</w:t>
      </w:r>
      <w:r>
        <w:rPr>
          <w:rFonts w:ascii="Times New Roman" w:hAnsi="Times New Roman" w:eastAsia="仿宋_GB2312"/>
          <w:color w:val="auto"/>
          <w:sz w:val="32"/>
          <w:szCs w:val="32"/>
          <w:highlight w:val="none"/>
        </w:rPr>
        <w:t>：</w:t>
      </w:r>
    </w:p>
    <w:tbl>
      <w:tblPr>
        <w:tblStyle w:val="11"/>
        <w:tblW w:w="9164"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895"/>
        <w:gridCol w:w="1646"/>
        <w:gridCol w:w="3960"/>
        <w:gridCol w:w="1640"/>
      </w:tblGrid>
      <w:tr w14:paraId="2BFB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noWrap w:val="0"/>
            <w:vAlign w:val="center"/>
          </w:tcPr>
          <w:p w14:paraId="21FCF5A5">
            <w:pPr>
              <w:widowControl/>
              <w:snapToGrid w:val="0"/>
              <w:spacing w:beforeLines="0" w:afterLines="0" w:line="240" w:lineRule="auto"/>
              <w:ind w:firstLine="0" w:firstLineChars="0"/>
              <w:contextualSpacing/>
              <w:jc w:val="center"/>
              <w:rPr>
                <w:rFonts w:ascii="Times New Roman" w:hAnsi="Times New Roman" w:eastAsia="仿宋_GB2312"/>
                <w:b/>
                <w:bCs/>
                <w:color w:val="auto"/>
                <w:sz w:val="32"/>
                <w:szCs w:val="32"/>
                <w:highlight w:val="none"/>
              </w:rPr>
            </w:pPr>
            <w:r>
              <w:rPr>
                <w:rFonts w:ascii="Times New Roman" w:hAnsi="Times New Roman" w:eastAsia="仿宋_GB2312"/>
                <w:b/>
                <w:bCs/>
                <w:color w:val="auto"/>
                <w:sz w:val="32"/>
                <w:szCs w:val="32"/>
                <w:highlight w:val="none"/>
              </w:rPr>
              <w:t>序号</w:t>
            </w:r>
          </w:p>
        </w:tc>
        <w:tc>
          <w:tcPr>
            <w:tcW w:w="895" w:type="dxa"/>
            <w:noWrap w:val="0"/>
            <w:vAlign w:val="center"/>
          </w:tcPr>
          <w:p w14:paraId="7130746E">
            <w:pPr>
              <w:widowControl/>
              <w:snapToGrid w:val="0"/>
              <w:spacing w:beforeLines="0" w:afterLines="0" w:line="240" w:lineRule="auto"/>
              <w:ind w:firstLine="0" w:firstLineChars="0"/>
              <w:contextualSpacing/>
              <w:jc w:val="center"/>
              <w:rPr>
                <w:rFonts w:hint="eastAsia" w:ascii="Times New Roman" w:hAnsi="Times New Roman" w:eastAsia="仿宋_GB2312"/>
                <w:b/>
                <w:bCs/>
                <w:color w:val="auto"/>
                <w:sz w:val="32"/>
                <w:szCs w:val="32"/>
                <w:highlight w:val="none"/>
                <w:lang w:eastAsia="zh-CN"/>
              </w:rPr>
            </w:pPr>
            <w:r>
              <w:rPr>
                <w:rFonts w:ascii="Times New Roman" w:hAnsi="Times New Roman" w:eastAsia="仿宋_GB2312"/>
                <w:b/>
                <w:bCs/>
                <w:color w:val="auto"/>
                <w:sz w:val="32"/>
                <w:szCs w:val="32"/>
                <w:highlight w:val="none"/>
              </w:rPr>
              <w:t>等</w:t>
            </w:r>
            <w:r>
              <w:rPr>
                <w:rFonts w:hint="eastAsia" w:ascii="Times New Roman" w:hAnsi="Times New Roman"/>
                <w:b/>
                <w:bCs/>
                <w:color w:val="auto"/>
                <w:sz w:val="32"/>
                <w:szCs w:val="32"/>
                <w:highlight w:val="none"/>
                <w:lang w:val="en-US" w:eastAsia="zh-CN"/>
              </w:rPr>
              <w:t>次</w:t>
            </w:r>
          </w:p>
        </w:tc>
        <w:tc>
          <w:tcPr>
            <w:tcW w:w="1646" w:type="dxa"/>
            <w:noWrap w:val="0"/>
            <w:vAlign w:val="center"/>
          </w:tcPr>
          <w:p w14:paraId="5D2089B1">
            <w:pPr>
              <w:widowControl/>
              <w:snapToGrid w:val="0"/>
              <w:spacing w:beforeLines="0" w:afterLines="0" w:line="240" w:lineRule="auto"/>
              <w:ind w:firstLine="0" w:firstLineChars="0"/>
              <w:contextualSpacing/>
              <w:jc w:val="center"/>
              <w:rPr>
                <w:rFonts w:ascii="Times New Roman" w:hAnsi="Times New Roman" w:eastAsia="仿宋_GB2312"/>
                <w:b/>
                <w:bCs/>
                <w:color w:val="auto"/>
                <w:sz w:val="32"/>
                <w:szCs w:val="32"/>
                <w:highlight w:val="none"/>
              </w:rPr>
            </w:pPr>
            <w:r>
              <w:rPr>
                <w:rFonts w:ascii="Times New Roman" w:hAnsi="Times New Roman" w:eastAsia="仿宋_GB2312"/>
                <w:b/>
                <w:bCs/>
                <w:color w:val="auto"/>
                <w:sz w:val="32"/>
                <w:szCs w:val="32"/>
                <w:highlight w:val="none"/>
              </w:rPr>
              <w:t>得分</w:t>
            </w:r>
          </w:p>
        </w:tc>
        <w:tc>
          <w:tcPr>
            <w:tcW w:w="3960" w:type="dxa"/>
            <w:noWrap w:val="0"/>
            <w:vAlign w:val="center"/>
          </w:tcPr>
          <w:p w14:paraId="746C403E">
            <w:pPr>
              <w:widowControl/>
              <w:snapToGrid w:val="0"/>
              <w:spacing w:beforeLines="0" w:afterLines="0" w:line="240" w:lineRule="auto"/>
              <w:ind w:firstLine="0" w:firstLineChars="0"/>
              <w:contextualSpacing/>
              <w:jc w:val="center"/>
              <w:rPr>
                <w:rFonts w:ascii="Times New Roman" w:hAnsi="Times New Roman" w:eastAsia="仿宋_GB2312"/>
                <w:b/>
                <w:bCs/>
                <w:color w:val="auto"/>
                <w:sz w:val="32"/>
                <w:szCs w:val="32"/>
                <w:highlight w:val="none"/>
              </w:rPr>
            </w:pPr>
            <w:r>
              <w:rPr>
                <w:rFonts w:ascii="Times New Roman" w:hAnsi="Times New Roman" w:eastAsia="仿宋_GB2312"/>
                <w:b/>
                <w:bCs/>
                <w:color w:val="auto"/>
                <w:sz w:val="32"/>
                <w:szCs w:val="32"/>
                <w:highlight w:val="none"/>
              </w:rPr>
              <w:t>释义</w:t>
            </w:r>
          </w:p>
        </w:tc>
        <w:tc>
          <w:tcPr>
            <w:tcW w:w="1640" w:type="dxa"/>
            <w:noWrap w:val="0"/>
            <w:vAlign w:val="center"/>
          </w:tcPr>
          <w:p w14:paraId="3CA96381">
            <w:pPr>
              <w:widowControl/>
              <w:snapToGrid w:val="0"/>
              <w:spacing w:beforeLines="0" w:afterLines="0" w:line="240" w:lineRule="auto"/>
              <w:ind w:firstLine="0" w:firstLineChars="0"/>
              <w:contextualSpacing/>
              <w:jc w:val="center"/>
              <w:rPr>
                <w:rFonts w:hint="default" w:ascii="Times New Roman" w:hAnsi="Times New Roman" w:eastAsia="仿宋_GB2312"/>
                <w:b/>
                <w:bCs/>
                <w:color w:val="auto"/>
                <w:sz w:val="32"/>
                <w:szCs w:val="32"/>
                <w:highlight w:val="none"/>
                <w:lang w:val="en-US" w:eastAsia="zh-CN"/>
              </w:rPr>
            </w:pPr>
            <w:r>
              <w:rPr>
                <w:rFonts w:hint="eastAsia" w:ascii="Times New Roman" w:hAnsi="Times New Roman"/>
                <w:b/>
                <w:bCs/>
                <w:color w:val="auto"/>
                <w:sz w:val="32"/>
                <w:szCs w:val="32"/>
                <w:highlight w:val="none"/>
                <w:lang w:val="en-US" w:eastAsia="zh-CN"/>
              </w:rPr>
              <w:t>颜色</w:t>
            </w:r>
          </w:p>
        </w:tc>
      </w:tr>
      <w:tr w14:paraId="39FC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023" w:type="dxa"/>
            <w:noWrap w:val="0"/>
            <w:vAlign w:val="center"/>
          </w:tcPr>
          <w:p w14:paraId="5CC435E1">
            <w:pPr>
              <w:widowControl/>
              <w:snapToGrid w:val="0"/>
              <w:spacing w:beforeLines="0" w:afterLines="0" w:line="240" w:lineRule="auto"/>
              <w:ind w:firstLine="0" w:firstLineChars="0"/>
              <w:contextualSpacing/>
              <w:jc w:val="center"/>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w:t>
            </w:r>
          </w:p>
        </w:tc>
        <w:tc>
          <w:tcPr>
            <w:tcW w:w="895" w:type="dxa"/>
            <w:noWrap w:val="0"/>
            <w:vAlign w:val="center"/>
          </w:tcPr>
          <w:p w14:paraId="161FF2A0">
            <w:pPr>
              <w:widowControl/>
              <w:snapToGrid w:val="0"/>
              <w:spacing w:beforeLines="0" w:afterLines="0" w:line="240" w:lineRule="auto"/>
              <w:ind w:firstLine="0" w:firstLineChars="0"/>
              <w:contextualSpacing/>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A</w:t>
            </w:r>
          </w:p>
        </w:tc>
        <w:tc>
          <w:tcPr>
            <w:tcW w:w="1646" w:type="dxa"/>
            <w:noWrap w:val="0"/>
            <w:vAlign w:val="center"/>
          </w:tcPr>
          <w:p w14:paraId="0D48C8D5">
            <w:pPr>
              <w:widowControl/>
              <w:snapToGrid w:val="0"/>
              <w:spacing w:beforeLines="0" w:afterLines="0" w:line="240" w:lineRule="auto"/>
              <w:ind w:firstLine="0" w:firstLineChars="0"/>
              <w:contextualSpacing/>
              <w:jc w:val="center"/>
              <w:rPr>
                <w:rFonts w:hint="eastAsia" w:ascii="仿宋_GB2312" w:hAnsi="仿宋_GB2312" w:eastAsia="仿宋_GB2312" w:cs="仿宋_GB2312"/>
                <w:color w:val="auto"/>
                <w:sz w:val="32"/>
                <w:szCs w:val="32"/>
                <w:highlight w:val="none"/>
                <w:lang w:val="en-US" w:eastAsia="zh-CN"/>
              </w:rPr>
            </w:pPr>
            <w:r>
              <w:rPr>
                <w:rFonts w:hint="default" w:ascii="仿宋_GB2312" w:hAnsi="仿宋_GB2312" w:cs="仿宋_GB2312"/>
                <w:color w:val="auto"/>
                <w:szCs w:val="32"/>
                <w:highlight w:val="none"/>
                <w:lang w:val="en-US" w:eastAsia="zh-CN"/>
              </w:rPr>
              <w:t>876</w:t>
            </w:r>
            <w:r>
              <w:rPr>
                <w:rFonts w:hint="eastAsia" w:ascii="仿宋_GB2312" w:hAnsi="仿宋_GB2312" w:cs="仿宋_GB2312"/>
                <w:color w:val="auto"/>
                <w:szCs w:val="32"/>
                <w:highlight w:val="none"/>
                <w:lang w:val="en-US" w:eastAsia="zh-CN"/>
              </w:rPr>
              <w:t>-950</w:t>
            </w:r>
          </w:p>
        </w:tc>
        <w:tc>
          <w:tcPr>
            <w:tcW w:w="3960" w:type="dxa"/>
            <w:noWrap w:val="0"/>
            <w:vAlign w:val="center"/>
          </w:tcPr>
          <w:p w14:paraId="0290E575">
            <w:pPr>
              <w:widowControl/>
              <w:snapToGrid w:val="0"/>
              <w:spacing w:beforeLines="0" w:afterLines="0" w:line="240" w:lineRule="auto"/>
              <w:ind w:firstLine="0" w:firstLineChars="0"/>
              <w:contextualSpacing/>
              <w:jc w:val="both"/>
              <w:rPr>
                <w:rFonts w:hint="default" w:ascii="Times New Roman" w:hAnsi="Times New Roman" w:eastAsia="仿宋_GB2312"/>
                <w:color w:val="auto"/>
                <w:sz w:val="32"/>
                <w:szCs w:val="32"/>
                <w:highlight w:val="none"/>
                <w:lang w:val="en-US" w:eastAsia="zh-CN"/>
              </w:rPr>
            </w:pPr>
            <w:r>
              <w:rPr>
                <w:rFonts w:hint="eastAsia" w:ascii="Times New Roman" w:hAnsi="Times New Roman"/>
                <w:color w:val="auto"/>
                <w:sz w:val="32"/>
                <w:szCs w:val="32"/>
                <w:highlight w:val="none"/>
                <w:lang w:val="en-US" w:eastAsia="zh-CN"/>
              </w:rPr>
              <w:t>信用极好，几乎无风险</w:t>
            </w:r>
          </w:p>
        </w:tc>
        <w:tc>
          <w:tcPr>
            <w:tcW w:w="1640" w:type="dxa"/>
            <w:noWrap w:val="0"/>
            <w:vAlign w:val="center"/>
          </w:tcPr>
          <w:p w14:paraId="09D3E52B">
            <w:pPr>
              <w:widowControl/>
              <w:snapToGrid w:val="0"/>
              <w:spacing w:beforeLines="0" w:afterLines="0" w:line="240" w:lineRule="auto"/>
              <w:ind w:firstLine="0" w:firstLineChars="0"/>
              <w:contextualSpacing/>
              <w:jc w:val="center"/>
              <w:rPr>
                <w:rFonts w:hint="default" w:ascii="Times New Roman" w:hAnsi="Times New Roman"/>
                <w:color w:val="auto"/>
                <w:sz w:val="32"/>
                <w:szCs w:val="32"/>
                <w:highlight w:val="none"/>
                <w:lang w:val="en-US" w:eastAsia="zh-CN"/>
              </w:rPr>
            </w:pPr>
            <w:r>
              <w:rPr>
                <w:rFonts w:hint="eastAsia" w:ascii="Times New Roman" w:hAnsi="Times New Roman"/>
                <w:color w:val="auto"/>
                <w:sz w:val="32"/>
                <w:szCs w:val="32"/>
                <w:highlight w:val="none"/>
                <w:lang w:val="en-US" w:eastAsia="zh-CN"/>
              </w:rPr>
              <w:t>绿色</w:t>
            </w:r>
          </w:p>
        </w:tc>
      </w:tr>
      <w:tr w14:paraId="5701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noWrap w:val="0"/>
            <w:vAlign w:val="center"/>
          </w:tcPr>
          <w:p w14:paraId="45F56488">
            <w:pPr>
              <w:widowControl/>
              <w:snapToGrid w:val="0"/>
              <w:spacing w:beforeLines="0" w:afterLines="0" w:line="240" w:lineRule="auto"/>
              <w:ind w:firstLine="0" w:firstLineChars="0"/>
              <w:contextualSpacing/>
              <w:jc w:val="center"/>
              <w:rPr>
                <w:rFonts w:hint="default" w:ascii="Times New Roman" w:hAnsi="Times New Roman" w:eastAsia="仿宋_GB2312"/>
                <w:color w:val="auto"/>
                <w:sz w:val="32"/>
                <w:szCs w:val="32"/>
                <w:highlight w:val="none"/>
                <w:lang w:val="en-US" w:eastAsia="zh-CN"/>
              </w:rPr>
            </w:pPr>
            <w:r>
              <w:rPr>
                <w:rFonts w:hint="eastAsia" w:ascii="Times New Roman" w:hAnsi="Times New Roman"/>
                <w:color w:val="auto"/>
                <w:sz w:val="32"/>
                <w:szCs w:val="32"/>
                <w:highlight w:val="none"/>
                <w:lang w:val="en-US" w:eastAsia="zh-CN"/>
              </w:rPr>
              <w:t>2</w:t>
            </w:r>
          </w:p>
        </w:tc>
        <w:tc>
          <w:tcPr>
            <w:tcW w:w="895" w:type="dxa"/>
            <w:noWrap w:val="0"/>
            <w:vAlign w:val="center"/>
          </w:tcPr>
          <w:p w14:paraId="33F12D16">
            <w:pPr>
              <w:widowControl/>
              <w:snapToGrid w:val="0"/>
              <w:spacing w:beforeLines="0" w:afterLines="0" w:line="240" w:lineRule="auto"/>
              <w:ind w:firstLine="0" w:firstLineChars="0"/>
              <w:contextualSpacing/>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 xml:space="preserve"> A-</w:t>
            </w:r>
          </w:p>
        </w:tc>
        <w:tc>
          <w:tcPr>
            <w:tcW w:w="1646" w:type="dxa"/>
            <w:noWrap w:val="0"/>
            <w:vAlign w:val="center"/>
          </w:tcPr>
          <w:p w14:paraId="1FD647DA">
            <w:pPr>
              <w:widowControl/>
              <w:snapToGrid w:val="0"/>
              <w:spacing w:beforeLines="0" w:afterLines="0" w:line="240" w:lineRule="auto"/>
              <w:ind w:firstLine="0" w:firstLineChars="0"/>
              <w:contextualSpacing/>
              <w:jc w:val="center"/>
              <w:rPr>
                <w:rFonts w:hint="default" w:ascii="仿宋_GB2312" w:hAnsi="仿宋_GB2312" w:cs="仿宋_GB2312"/>
                <w:color w:val="auto"/>
                <w:szCs w:val="32"/>
                <w:highlight w:val="none"/>
                <w:lang w:val="en-US"/>
              </w:rPr>
            </w:pPr>
            <w:r>
              <w:rPr>
                <w:rFonts w:hint="eastAsia" w:ascii="仿宋_GB2312" w:hAnsi="仿宋_GB2312" w:cs="仿宋_GB2312"/>
                <w:color w:val="auto"/>
                <w:szCs w:val="32"/>
                <w:highlight w:val="none"/>
              </w:rPr>
              <w:t>80</w:t>
            </w:r>
            <w:r>
              <w:rPr>
                <w:rFonts w:hint="eastAsia" w:ascii="仿宋_GB2312" w:hAnsi="仿宋_GB2312" w:cs="仿宋_GB2312"/>
                <w:color w:val="auto"/>
                <w:szCs w:val="32"/>
                <w:highlight w:val="none"/>
                <w:lang w:val="en-US" w:eastAsia="zh-CN"/>
              </w:rPr>
              <w:t>1-</w:t>
            </w:r>
            <w:r>
              <w:rPr>
                <w:rFonts w:hint="default" w:ascii="仿宋_GB2312" w:hAnsi="仿宋_GB2312" w:cs="仿宋_GB2312"/>
                <w:color w:val="auto"/>
                <w:szCs w:val="32"/>
                <w:highlight w:val="none"/>
                <w:lang w:val="en-US" w:eastAsia="zh-CN"/>
              </w:rPr>
              <w:t>875</w:t>
            </w:r>
          </w:p>
        </w:tc>
        <w:tc>
          <w:tcPr>
            <w:tcW w:w="3960" w:type="dxa"/>
            <w:noWrap w:val="0"/>
            <w:vAlign w:val="center"/>
          </w:tcPr>
          <w:p w14:paraId="3541F79B">
            <w:pPr>
              <w:widowControl/>
              <w:snapToGrid w:val="0"/>
              <w:spacing w:beforeLines="0" w:afterLines="0" w:line="240" w:lineRule="auto"/>
              <w:ind w:firstLine="0" w:firstLineChars="0"/>
              <w:contextualSpacing/>
              <w:jc w:val="both"/>
              <w:rPr>
                <w:rFonts w:hint="default" w:ascii="Times New Roman" w:hAnsi="Times New Roman" w:eastAsia="仿宋_GB2312"/>
                <w:color w:val="auto"/>
                <w:sz w:val="32"/>
                <w:szCs w:val="32"/>
                <w:highlight w:val="none"/>
                <w:lang w:val="en-US" w:eastAsia="zh-CN"/>
              </w:rPr>
            </w:pPr>
            <w:r>
              <w:rPr>
                <w:rFonts w:hint="eastAsia" w:ascii="Times New Roman" w:hAnsi="Times New Roman"/>
                <w:color w:val="auto"/>
                <w:sz w:val="32"/>
                <w:szCs w:val="32"/>
                <w:highlight w:val="none"/>
                <w:lang w:val="en-US" w:eastAsia="zh-CN"/>
              </w:rPr>
              <w:t>信用很好，基本无风险</w:t>
            </w:r>
          </w:p>
        </w:tc>
        <w:tc>
          <w:tcPr>
            <w:tcW w:w="1640" w:type="dxa"/>
            <w:noWrap w:val="0"/>
            <w:vAlign w:val="center"/>
          </w:tcPr>
          <w:p w14:paraId="096A249B">
            <w:pPr>
              <w:widowControl/>
              <w:snapToGrid w:val="0"/>
              <w:spacing w:beforeLines="0" w:afterLines="0" w:line="240" w:lineRule="auto"/>
              <w:ind w:firstLine="0" w:firstLineChars="0"/>
              <w:contextualSpacing/>
              <w:jc w:val="center"/>
              <w:rPr>
                <w:rFonts w:hint="default" w:ascii="Times New Roman" w:hAnsi="Times New Roman"/>
                <w:color w:val="auto"/>
                <w:sz w:val="32"/>
                <w:szCs w:val="32"/>
                <w:highlight w:val="none"/>
                <w:lang w:val="en-US" w:eastAsia="zh-CN"/>
              </w:rPr>
            </w:pPr>
            <w:r>
              <w:rPr>
                <w:rFonts w:hint="eastAsia" w:ascii="Times New Roman" w:hAnsi="Times New Roman"/>
                <w:color w:val="auto"/>
                <w:sz w:val="32"/>
                <w:szCs w:val="32"/>
                <w:highlight w:val="none"/>
                <w:lang w:val="en-US" w:eastAsia="zh-CN"/>
              </w:rPr>
              <w:t>绿色</w:t>
            </w:r>
          </w:p>
        </w:tc>
      </w:tr>
      <w:tr w14:paraId="3CF8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noWrap w:val="0"/>
            <w:vAlign w:val="center"/>
          </w:tcPr>
          <w:p w14:paraId="26133AF7">
            <w:pPr>
              <w:widowControl/>
              <w:snapToGrid w:val="0"/>
              <w:spacing w:beforeLines="0" w:afterLines="0" w:line="240" w:lineRule="auto"/>
              <w:ind w:firstLine="0" w:firstLineChars="0"/>
              <w:contextualSpacing/>
              <w:jc w:val="center"/>
              <w:rPr>
                <w:rFonts w:ascii="Times New Roman" w:hAnsi="Times New Roman" w:eastAsia="仿宋_GB2312"/>
                <w:color w:val="auto"/>
                <w:sz w:val="32"/>
                <w:szCs w:val="32"/>
                <w:highlight w:val="none"/>
              </w:rPr>
            </w:pPr>
            <w:r>
              <w:rPr>
                <w:rFonts w:hint="eastAsia" w:ascii="Times New Roman" w:hAnsi="Times New Roman"/>
                <w:color w:val="auto"/>
                <w:sz w:val="32"/>
                <w:szCs w:val="32"/>
                <w:highlight w:val="none"/>
                <w:lang w:val="en-US" w:eastAsia="zh-CN"/>
              </w:rPr>
              <w:t>3</w:t>
            </w:r>
          </w:p>
        </w:tc>
        <w:tc>
          <w:tcPr>
            <w:tcW w:w="895" w:type="dxa"/>
            <w:noWrap w:val="0"/>
            <w:vAlign w:val="center"/>
          </w:tcPr>
          <w:p w14:paraId="3DCF39F1">
            <w:pPr>
              <w:widowControl/>
              <w:snapToGrid w:val="0"/>
              <w:spacing w:beforeLines="0" w:afterLines="0" w:line="240" w:lineRule="auto"/>
              <w:ind w:firstLine="0" w:firstLineChars="0"/>
              <w:contextualSpacing/>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B</w:t>
            </w:r>
            <w:r>
              <w:rPr>
                <w:rFonts w:hint="eastAsia" w:ascii="仿宋_GB2312" w:hAnsi="仿宋_GB2312" w:cs="仿宋_GB2312"/>
                <w:color w:val="auto"/>
                <w:sz w:val="32"/>
                <w:szCs w:val="32"/>
                <w:highlight w:val="none"/>
                <w:lang w:val="en-US" w:eastAsia="zh-CN"/>
              </w:rPr>
              <w:t>+</w:t>
            </w:r>
          </w:p>
        </w:tc>
        <w:tc>
          <w:tcPr>
            <w:tcW w:w="1646" w:type="dxa"/>
            <w:noWrap w:val="0"/>
            <w:vAlign w:val="center"/>
          </w:tcPr>
          <w:p w14:paraId="46C0B670">
            <w:pPr>
              <w:widowControl/>
              <w:snapToGrid w:val="0"/>
              <w:spacing w:beforeLines="0" w:afterLines="0" w:line="240" w:lineRule="auto"/>
              <w:ind w:firstLine="0" w:firstLineChars="0"/>
              <w:contextualSpacing/>
              <w:jc w:val="center"/>
              <w:rPr>
                <w:rFonts w:ascii="Times New Roman" w:hAnsi="Times New Roman" w:eastAsia="仿宋_GB2312"/>
                <w:color w:val="auto"/>
                <w:sz w:val="32"/>
                <w:szCs w:val="32"/>
                <w:highlight w:val="none"/>
              </w:rPr>
            </w:pPr>
            <w:r>
              <w:rPr>
                <w:rFonts w:hint="eastAsia" w:ascii="仿宋_GB2312" w:hAnsi="仿宋_GB2312" w:cs="仿宋_GB2312"/>
                <w:color w:val="auto"/>
                <w:szCs w:val="32"/>
                <w:highlight w:val="none"/>
              </w:rPr>
              <w:t>751—800</w:t>
            </w:r>
          </w:p>
        </w:tc>
        <w:tc>
          <w:tcPr>
            <w:tcW w:w="3960" w:type="dxa"/>
            <w:noWrap w:val="0"/>
            <w:vAlign w:val="center"/>
          </w:tcPr>
          <w:p w14:paraId="1AA7FDED">
            <w:pPr>
              <w:widowControl/>
              <w:snapToGrid w:val="0"/>
              <w:spacing w:beforeLines="0" w:afterLines="0" w:line="240" w:lineRule="auto"/>
              <w:ind w:firstLine="0" w:firstLineChars="0"/>
              <w:contextualSpacing/>
              <w:jc w:val="both"/>
              <w:rPr>
                <w:rFonts w:hint="default" w:ascii="Times New Roman" w:hAnsi="Times New Roman" w:eastAsia="仿宋_GB2312"/>
                <w:color w:val="auto"/>
                <w:sz w:val="32"/>
                <w:szCs w:val="32"/>
                <w:highlight w:val="none"/>
                <w:lang w:val="en-US" w:eastAsia="zh-CN"/>
              </w:rPr>
            </w:pPr>
            <w:r>
              <w:rPr>
                <w:rFonts w:hint="eastAsia" w:ascii="Times New Roman" w:hAnsi="Times New Roman"/>
                <w:color w:val="auto"/>
                <w:sz w:val="32"/>
                <w:szCs w:val="32"/>
                <w:highlight w:val="none"/>
                <w:lang w:val="en-US" w:eastAsia="zh-CN"/>
              </w:rPr>
              <w:t>信用较好，风险很小</w:t>
            </w:r>
          </w:p>
        </w:tc>
        <w:tc>
          <w:tcPr>
            <w:tcW w:w="1640" w:type="dxa"/>
            <w:noWrap w:val="0"/>
            <w:vAlign w:val="center"/>
          </w:tcPr>
          <w:p w14:paraId="632E78F0">
            <w:pPr>
              <w:widowControl/>
              <w:snapToGrid w:val="0"/>
              <w:spacing w:beforeLines="0" w:afterLines="0" w:line="240" w:lineRule="auto"/>
              <w:ind w:firstLine="0" w:firstLineChars="0"/>
              <w:contextualSpacing/>
              <w:jc w:val="center"/>
              <w:rPr>
                <w:rFonts w:hint="default" w:ascii="Times New Roman" w:hAnsi="Times New Roman"/>
                <w:color w:val="auto"/>
                <w:sz w:val="32"/>
                <w:szCs w:val="32"/>
                <w:highlight w:val="none"/>
                <w:lang w:val="en-US" w:eastAsia="zh-CN"/>
              </w:rPr>
            </w:pPr>
            <w:r>
              <w:rPr>
                <w:rFonts w:hint="eastAsia" w:ascii="Times New Roman" w:hAnsi="Times New Roman"/>
                <w:color w:val="auto"/>
                <w:sz w:val="32"/>
                <w:szCs w:val="32"/>
                <w:highlight w:val="none"/>
                <w:lang w:val="en-US" w:eastAsia="zh-CN"/>
              </w:rPr>
              <w:t>黄色</w:t>
            </w:r>
          </w:p>
        </w:tc>
      </w:tr>
      <w:tr w14:paraId="57B4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3" w:type="dxa"/>
            <w:noWrap w:val="0"/>
            <w:vAlign w:val="center"/>
          </w:tcPr>
          <w:p w14:paraId="2F460444">
            <w:pPr>
              <w:widowControl/>
              <w:snapToGrid w:val="0"/>
              <w:spacing w:beforeLines="0" w:afterLines="0" w:line="240" w:lineRule="auto"/>
              <w:ind w:firstLine="0" w:firstLineChars="0"/>
              <w:contextualSpacing/>
              <w:jc w:val="center"/>
              <w:rPr>
                <w:rFonts w:hint="default" w:ascii="Times New Roman" w:hAnsi="Times New Roman"/>
                <w:color w:val="auto"/>
                <w:sz w:val="32"/>
                <w:szCs w:val="32"/>
                <w:highlight w:val="none"/>
                <w:lang w:val="en-US" w:eastAsia="zh-CN"/>
              </w:rPr>
            </w:pPr>
            <w:r>
              <w:rPr>
                <w:rFonts w:hint="eastAsia" w:ascii="Times New Roman" w:hAnsi="Times New Roman"/>
                <w:color w:val="auto"/>
                <w:sz w:val="32"/>
                <w:szCs w:val="32"/>
                <w:highlight w:val="none"/>
                <w:lang w:val="en-US" w:eastAsia="zh-CN"/>
              </w:rPr>
              <w:t>4</w:t>
            </w:r>
          </w:p>
        </w:tc>
        <w:tc>
          <w:tcPr>
            <w:tcW w:w="895" w:type="dxa"/>
            <w:noWrap w:val="0"/>
            <w:vAlign w:val="center"/>
          </w:tcPr>
          <w:p w14:paraId="481245C1">
            <w:pPr>
              <w:widowControl/>
              <w:snapToGrid w:val="0"/>
              <w:spacing w:beforeLines="0" w:afterLines="0" w:line="240" w:lineRule="auto"/>
              <w:ind w:firstLine="0" w:firstLineChars="0"/>
              <w:contextualSpacing/>
              <w:jc w:val="center"/>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B</w:t>
            </w:r>
          </w:p>
        </w:tc>
        <w:tc>
          <w:tcPr>
            <w:tcW w:w="1646" w:type="dxa"/>
            <w:noWrap w:val="0"/>
            <w:vAlign w:val="center"/>
          </w:tcPr>
          <w:p w14:paraId="270F9B2E">
            <w:pPr>
              <w:widowControl/>
              <w:snapToGrid w:val="0"/>
              <w:spacing w:beforeLines="0" w:afterLines="0" w:line="240" w:lineRule="auto"/>
              <w:ind w:firstLine="0" w:firstLineChars="0"/>
              <w:contextualSpacing/>
              <w:jc w:val="center"/>
              <w:rPr>
                <w:rFonts w:hint="eastAsia" w:ascii="仿宋_GB2312" w:hAnsi="仿宋_GB2312" w:cs="仿宋_GB2312"/>
                <w:color w:val="auto"/>
                <w:szCs w:val="32"/>
                <w:highlight w:val="none"/>
              </w:rPr>
            </w:pPr>
            <w:r>
              <w:rPr>
                <w:rFonts w:hint="eastAsia" w:ascii="仿宋_GB2312" w:hAnsi="仿宋_GB2312" w:cs="仿宋_GB2312"/>
                <w:color w:val="auto"/>
                <w:szCs w:val="32"/>
                <w:highlight w:val="none"/>
              </w:rPr>
              <w:t>701—750</w:t>
            </w:r>
          </w:p>
        </w:tc>
        <w:tc>
          <w:tcPr>
            <w:tcW w:w="3960" w:type="dxa"/>
            <w:noWrap w:val="0"/>
            <w:vAlign w:val="center"/>
          </w:tcPr>
          <w:p w14:paraId="24D00FFD">
            <w:pPr>
              <w:widowControl/>
              <w:snapToGrid w:val="0"/>
              <w:spacing w:beforeLines="0" w:afterLines="0" w:line="240" w:lineRule="auto"/>
              <w:ind w:firstLine="0" w:firstLineChars="0"/>
              <w:contextualSpacing/>
              <w:jc w:val="both"/>
              <w:rPr>
                <w:rFonts w:hint="default" w:ascii="Times New Roman" w:hAnsi="Times New Roman" w:eastAsia="仿宋_GB2312"/>
                <w:color w:val="auto"/>
                <w:sz w:val="32"/>
                <w:szCs w:val="32"/>
                <w:highlight w:val="none"/>
                <w:lang w:val="en-US" w:eastAsia="zh-CN"/>
              </w:rPr>
            </w:pPr>
            <w:r>
              <w:rPr>
                <w:rFonts w:hint="eastAsia" w:ascii="Times New Roman" w:hAnsi="Times New Roman"/>
                <w:color w:val="auto"/>
                <w:sz w:val="32"/>
                <w:szCs w:val="32"/>
                <w:highlight w:val="none"/>
                <w:lang w:val="en-US" w:eastAsia="zh-CN"/>
              </w:rPr>
              <w:t>信用尚好，风险小</w:t>
            </w:r>
          </w:p>
        </w:tc>
        <w:tc>
          <w:tcPr>
            <w:tcW w:w="1640" w:type="dxa"/>
            <w:noWrap w:val="0"/>
            <w:vAlign w:val="center"/>
          </w:tcPr>
          <w:p w14:paraId="774F385F">
            <w:pPr>
              <w:widowControl/>
              <w:snapToGrid w:val="0"/>
              <w:spacing w:beforeLines="0" w:afterLines="0" w:line="240" w:lineRule="auto"/>
              <w:ind w:firstLine="0" w:firstLineChars="0"/>
              <w:contextualSpacing/>
              <w:jc w:val="center"/>
              <w:rPr>
                <w:rFonts w:hint="default" w:ascii="Times New Roman" w:hAnsi="Times New Roman"/>
                <w:color w:val="auto"/>
                <w:sz w:val="32"/>
                <w:szCs w:val="32"/>
                <w:highlight w:val="none"/>
                <w:lang w:val="en-US" w:eastAsia="zh-CN"/>
              </w:rPr>
            </w:pPr>
            <w:r>
              <w:rPr>
                <w:rFonts w:hint="eastAsia" w:ascii="Times New Roman" w:hAnsi="Times New Roman"/>
                <w:color w:val="auto"/>
                <w:sz w:val="32"/>
                <w:szCs w:val="32"/>
                <w:highlight w:val="none"/>
                <w:lang w:val="en-US" w:eastAsia="zh-CN"/>
              </w:rPr>
              <w:t>黄色</w:t>
            </w:r>
          </w:p>
        </w:tc>
      </w:tr>
      <w:tr w14:paraId="4B73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noWrap w:val="0"/>
            <w:vAlign w:val="center"/>
          </w:tcPr>
          <w:p w14:paraId="26081294">
            <w:pPr>
              <w:widowControl/>
              <w:snapToGrid w:val="0"/>
              <w:spacing w:beforeLines="0" w:afterLines="0" w:line="240" w:lineRule="auto"/>
              <w:ind w:firstLine="0" w:firstLineChars="0"/>
              <w:contextualSpacing/>
              <w:jc w:val="center"/>
              <w:rPr>
                <w:rFonts w:hint="default" w:ascii="Times New Roman" w:hAnsi="Times New Roman" w:eastAsia="仿宋_GB2312"/>
                <w:color w:val="auto"/>
                <w:sz w:val="32"/>
                <w:szCs w:val="32"/>
                <w:highlight w:val="none"/>
                <w:lang w:val="en-US" w:eastAsia="zh-CN"/>
              </w:rPr>
            </w:pPr>
            <w:r>
              <w:rPr>
                <w:rFonts w:hint="eastAsia" w:ascii="Times New Roman" w:hAnsi="Times New Roman"/>
                <w:color w:val="auto"/>
                <w:sz w:val="32"/>
                <w:szCs w:val="32"/>
                <w:highlight w:val="none"/>
                <w:lang w:val="en-US" w:eastAsia="zh-CN"/>
              </w:rPr>
              <w:t>5</w:t>
            </w:r>
          </w:p>
        </w:tc>
        <w:tc>
          <w:tcPr>
            <w:tcW w:w="895" w:type="dxa"/>
            <w:noWrap w:val="0"/>
            <w:vAlign w:val="center"/>
          </w:tcPr>
          <w:p w14:paraId="3EB03F52">
            <w:pPr>
              <w:widowControl/>
              <w:snapToGrid w:val="0"/>
              <w:spacing w:beforeLines="0" w:afterLines="0" w:line="240" w:lineRule="auto"/>
              <w:ind w:firstLine="0" w:firstLineChars="0"/>
              <w:contextualSpacing/>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 xml:space="preserve"> B-</w:t>
            </w:r>
          </w:p>
        </w:tc>
        <w:tc>
          <w:tcPr>
            <w:tcW w:w="1646" w:type="dxa"/>
            <w:noWrap w:val="0"/>
            <w:vAlign w:val="center"/>
          </w:tcPr>
          <w:p w14:paraId="7D77AA70">
            <w:pPr>
              <w:widowControl/>
              <w:snapToGrid w:val="0"/>
              <w:spacing w:beforeLines="0" w:afterLines="0" w:line="240" w:lineRule="auto"/>
              <w:ind w:firstLine="0" w:firstLineChars="0"/>
              <w:contextualSpacing/>
              <w:jc w:val="center"/>
              <w:rPr>
                <w:rFonts w:hint="eastAsia" w:ascii="仿宋_GB2312" w:hAnsi="仿宋_GB2312" w:cs="仿宋_GB2312"/>
                <w:color w:val="auto"/>
                <w:szCs w:val="32"/>
                <w:highlight w:val="none"/>
              </w:rPr>
            </w:pPr>
            <w:r>
              <w:rPr>
                <w:rFonts w:hint="eastAsia" w:ascii="仿宋_GB2312" w:hAnsi="仿宋_GB2312" w:cs="仿宋_GB2312"/>
                <w:color w:val="auto"/>
                <w:szCs w:val="32"/>
                <w:highlight w:val="none"/>
              </w:rPr>
              <w:t>651—700</w:t>
            </w:r>
          </w:p>
        </w:tc>
        <w:tc>
          <w:tcPr>
            <w:tcW w:w="3960" w:type="dxa"/>
            <w:noWrap w:val="0"/>
            <w:vAlign w:val="center"/>
          </w:tcPr>
          <w:p w14:paraId="67BE6B75">
            <w:pPr>
              <w:widowControl/>
              <w:snapToGrid w:val="0"/>
              <w:spacing w:beforeLines="0" w:afterLines="0" w:line="240" w:lineRule="auto"/>
              <w:ind w:firstLine="0" w:firstLineChars="0"/>
              <w:contextualSpacing/>
              <w:jc w:val="both"/>
              <w:rPr>
                <w:rFonts w:hint="default" w:ascii="Times New Roman" w:hAnsi="Times New Roman" w:eastAsia="仿宋_GB2312"/>
                <w:color w:val="auto"/>
                <w:sz w:val="32"/>
                <w:szCs w:val="32"/>
                <w:highlight w:val="none"/>
                <w:lang w:val="en-US" w:eastAsia="zh-CN"/>
              </w:rPr>
            </w:pPr>
            <w:r>
              <w:rPr>
                <w:rFonts w:hint="eastAsia" w:ascii="Times New Roman" w:hAnsi="Times New Roman"/>
                <w:color w:val="auto"/>
                <w:sz w:val="32"/>
                <w:szCs w:val="32"/>
                <w:highlight w:val="none"/>
                <w:lang w:val="en-US" w:eastAsia="zh-CN"/>
              </w:rPr>
              <w:t>信用一般，稍有风险</w:t>
            </w:r>
          </w:p>
        </w:tc>
        <w:tc>
          <w:tcPr>
            <w:tcW w:w="1640" w:type="dxa"/>
            <w:noWrap w:val="0"/>
            <w:vAlign w:val="center"/>
          </w:tcPr>
          <w:p w14:paraId="65298FD6">
            <w:pPr>
              <w:widowControl/>
              <w:snapToGrid w:val="0"/>
              <w:spacing w:beforeLines="0" w:afterLines="0" w:line="240" w:lineRule="auto"/>
              <w:ind w:firstLine="0" w:firstLineChars="0"/>
              <w:contextualSpacing/>
              <w:jc w:val="center"/>
              <w:rPr>
                <w:rFonts w:hint="default" w:ascii="Times New Roman" w:hAnsi="Times New Roman"/>
                <w:color w:val="auto"/>
                <w:sz w:val="32"/>
                <w:szCs w:val="32"/>
                <w:highlight w:val="none"/>
                <w:lang w:val="en-US" w:eastAsia="zh-CN"/>
              </w:rPr>
            </w:pPr>
            <w:r>
              <w:rPr>
                <w:rFonts w:hint="eastAsia" w:ascii="Times New Roman" w:hAnsi="Times New Roman"/>
                <w:color w:val="auto"/>
                <w:sz w:val="32"/>
                <w:szCs w:val="32"/>
                <w:highlight w:val="none"/>
                <w:lang w:val="en-US" w:eastAsia="zh-CN"/>
              </w:rPr>
              <w:t>黄色</w:t>
            </w:r>
          </w:p>
        </w:tc>
      </w:tr>
      <w:tr w14:paraId="43DC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noWrap w:val="0"/>
            <w:vAlign w:val="center"/>
          </w:tcPr>
          <w:p w14:paraId="1F7CBEFA">
            <w:pPr>
              <w:widowControl/>
              <w:snapToGrid w:val="0"/>
              <w:spacing w:beforeLines="0" w:afterLines="0" w:line="240" w:lineRule="auto"/>
              <w:ind w:firstLine="0" w:firstLineChars="0"/>
              <w:contextualSpacing/>
              <w:jc w:val="center"/>
              <w:rPr>
                <w:rFonts w:hint="default" w:ascii="Times New Roman" w:hAnsi="Times New Roman"/>
                <w:color w:val="auto"/>
                <w:sz w:val="32"/>
                <w:szCs w:val="32"/>
                <w:highlight w:val="none"/>
                <w:lang w:val="en-US" w:eastAsia="zh-CN"/>
              </w:rPr>
            </w:pPr>
            <w:r>
              <w:rPr>
                <w:rFonts w:hint="eastAsia" w:ascii="Times New Roman" w:hAnsi="Times New Roman"/>
                <w:color w:val="auto"/>
                <w:sz w:val="32"/>
                <w:szCs w:val="32"/>
                <w:highlight w:val="none"/>
                <w:lang w:val="en-US" w:eastAsia="zh-CN"/>
              </w:rPr>
              <w:t>6</w:t>
            </w:r>
          </w:p>
        </w:tc>
        <w:tc>
          <w:tcPr>
            <w:tcW w:w="895" w:type="dxa"/>
            <w:noWrap w:val="0"/>
            <w:vAlign w:val="center"/>
          </w:tcPr>
          <w:p w14:paraId="4F8E6B4A">
            <w:pPr>
              <w:widowControl/>
              <w:snapToGrid w:val="0"/>
              <w:spacing w:beforeLines="0" w:afterLines="0" w:line="240" w:lineRule="auto"/>
              <w:ind w:firstLine="0" w:firstLineChars="0"/>
              <w:contextualSpacing/>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 xml:space="preserve"> C+</w:t>
            </w:r>
          </w:p>
        </w:tc>
        <w:tc>
          <w:tcPr>
            <w:tcW w:w="1646" w:type="dxa"/>
            <w:noWrap w:val="0"/>
            <w:vAlign w:val="center"/>
          </w:tcPr>
          <w:p w14:paraId="775D85DF">
            <w:pPr>
              <w:widowControl/>
              <w:snapToGrid w:val="0"/>
              <w:spacing w:beforeLines="0" w:afterLines="0" w:line="240" w:lineRule="auto"/>
              <w:ind w:firstLine="0" w:firstLineChars="0"/>
              <w:contextualSpacing/>
              <w:jc w:val="center"/>
              <w:rPr>
                <w:rFonts w:hint="eastAsia" w:ascii="仿宋_GB2312" w:hAnsi="仿宋_GB2312" w:cs="仿宋_GB2312"/>
                <w:color w:val="auto"/>
                <w:szCs w:val="32"/>
                <w:highlight w:val="none"/>
              </w:rPr>
            </w:pPr>
            <w:r>
              <w:rPr>
                <w:rFonts w:hint="eastAsia" w:ascii="仿宋_GB2312" w:hAnsi="仿宋_GB2312" w:cs="仿宋_GB2312"/>
                <w:color w:val="auto"/>
                <w:szCs w:val="32"/>
                <w:highlight w:val="none"/>
              </w:rPr>
              <w:t>601—650</w:t>
            </w:r>
          </w:p>
        </w:tc>
        <w:tc>
          <w:tcPr>
            <w:tcW w:w="3960" w:type="dxa"/>
            <w:noWrap w:val="0"/>
            <w:vAlign w:val="center"/>
          </w:tcPr>
          <w:p w14:paraId="0EC83DDE">
            <w:pPr>
              <w:widowControl/>
              <w:snapToGrid w:val="0"/>
              <w:spacing w:beforeLines="0" w:afterLines="0" w:line="240" w:lineRule="auto"/>
              <w:ind w:firstLine="0" w:firstLineChars="0"/>
              <w:contextualSpacing/>
              <w:jc w:val="both"/>
              <w:rPr>
                <w:rFonts w:hint="default" w:ascii="Times New Roman" w:hAnsi="Times New Roman" w:eastAsia="仿宋_GB2312"/>
                <w:color w:val="auto"/>
                <w:sz w:val="32"/>
                <w:szCs w:val="32"/>
                <w:highlight w:val="none"/>
                <w:lang w:val="en-US" w:eastAsia="zh-CN"/>
              </w:rPr>
            </w:pPr>
            <w:r>
              <w:rPr>
                <w:rFonts w:hint="eastAsia" w:ascii="Times New Roman" w:hAnsi="Times New Roman"/>
                <w:color w:val="auto"/>
                <w:sz w:val="32"/>
                <w:szCs w:val="32"/>
                <w:highlight w:val="none"/>
                <w:lang w:val="en-US" w:eastAsia="zh-CN"/>
              </w:rPr>
              <w:t>信用欠佳，有一定风险</w:t>
            </w:r>
          </w:p>
        </w:tc>
        <w:tc>
          <w:tcPr>
            <w:tcW w:w="1640" w:type="dxa"/>
            <w:noWrap w:val="0"/>
            <w:vAlign w:val="center"/>
          </w:tcPr>
          <w:p w14:paraId="557F9F8B">
            <w:pPr>
              <w:widowControl/>
              <w:snapToGrid w:val="0"/>
              <w:spacing w:beforeLines="0" w:afterLines="0" w:line="240" w:lineRule="auto"/>
              <w:ind w:firstLine="0" w:firstLineChars="0"/>
              <w:contextualSpacing/>
              <w:jc w:val="center"/>
              <w:rPr>
                <w:rFonts w:hint="default" w:ascii="Times New Roman" w:hAnsi="Times New Roman"/>
                <w:color w:val="auto"/>
                <w:sz w:val="32"/>
                <w:szCs w:val="32"/>
                <w:highlight w:val="none"/>
                <w:lang w:val="en-US" w:eastAsia="zh-CN"/>
              </w:rPr>
            </w:pPr>
            <w:r>
              <w:rPr>
                <w:rFonts w:hint="eastAsia" w:ascii="Times New Roman" w:hAnsi="Times New Roman"/>
                <w:color w:val="auto"/>
                <w:sz w:val="32"/>
                <w:szCs w:val="32"/>
                <w:highlight w:val="none"/>
                <w:lang w:val="en-US" w:eastAsia="zh-CN"/>
              </w:rPr>
              <w:t>橙色</w:t>
            </w:r>
          </w:p>
        </w:tc>
      </w:tr>
      <w:tr w14:paraId="72D0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noWrap w:val="0"/>
            <w:vAlign w:val="center"/>
          </w:tcPr>
          <w:p w14:paraId="32E177C4">
            <w:pPr>
              <w:widowControl/>
              <w:snapToGrid w:val="0"/>
              <w:spacing w:beforeLines="0" w:afterLines="0" w:line="240" w:lineRule="auto"/>
              <w:ind w:firstLine="0" w:firstLineChars="0"/>
              <w:contextualSpacing/>
              <w:jc w:val="center"/>
              <w:rPr>
                <w:rFonts w:hint="eastAsia" w:ascii="Times New Roman" w:hAnsi="Times New Roman" w:eastAsia="仿宋_GB2312"/>
                <w:color w:val="auto"/>
                <w:sz w:val="32"/>
                <w:szCs w:val="32"/>
                <w:highlight w:val="none"/>
                <w:lang w:val="en-US" w:eastAsia="zh-CN"/>
              </w:rPr>
            </w:pPr>
            <w:r>
              <w:rPr>
                <w:rFonts w:hint="eastAsia" w:ascii="Times New Roman" w:hAnsi="Times New Roman"/>
                <w:color w:val="auto"/>
                <w:sz w:val="32"/>
                <w:szCs w:val="32"/>
                <w:highlight w:val="none"/>
                <w:lang w:val="en-US" w:eastAsia="zh-CN"/>
              </w:rPr>
              <w:t>7</w:t>
            </w:r>
          </w:p>
        </w:tc>
        <w:tc>
          <w:tcPr>
            <w:tcW w:w="895" w:type="dxa"/>
            <w:noWrap w:val="0"/>
            <w:vAlign w:val="center"/>
          </w:tcPr>
          <w:p w14:paraId="2C6EA1FB">
            <w:pPr>
              <w:widowControl/>
              <w:snapToGrid w:val="0"/>
              <w:spacing w:beforeLines="0" w:afterLines="0" w:line="240" w:lineRule="auto"/>
              <w:ind w:firstLine="0" w:firstLineChars="0"/>
              <w:contextualSpacing/>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C</w:t>
            </w:r>
          </w:p>
        </w:tc>
        <w:tc>
          <w:tcPr>
            <w:tcW w:w="1646" w:type="dxa"/>
            <w:noWrap w:val="0"/>
            <w:vAlign w:val="center"/>
          </w:tcPr>
          <w:p w14:paraId="50168D49">
            <w:pPr>
              <w:widowControl/>
              <w:snapToGrid w:val="0"/>
              <w:spacing w:beforeLines="0" w:afterLines="0" w:line="240" w:lineRule="auto"/>
              <w:ind w:firstLine="0" w:firstLineChars="0"/>
              <w:contextualSpacing/>
              <w:jc w:val="center"/>
              <w:rPr>
                <w:rFonts w:ascii="Times New Roman" w:hAnsi="Times New Roman" w:eastAsia="仿宋_GB2312"/>
                <w:color w:val="auto"/>
                <w:sz w:val="32"/>
                <w:szCs w:val="32"/>
                <w:highlight w:val="none"/>
              </w:rPr>
            </w:pPr>
            <w:r>
              <w:rPr>
                <w:rFonts w:hint="eastAsia" w:ascii="仿宋_GB2312" w:hAnsi="仿宋_GB2312" w:cs="仿宋_GB2312"/>
                <w:color w:val="auto"/>
                <w:szCs w:val="32"/>
                <w:highlight w:val="none"/>
              </w:rPr>
              <w:t>551—600</w:t>
            </w:r>
          </w:p>
        </w:tc>
        <w:tc>
          <w:tcPr>
            <w:tcW w:w="3960" w:type="dxa"/>
            <w:noWrap w:val="0"/>
            <w:vAlign w:val="center"/>
          </w:tcPr>
          <w:p w14:paraId="5A21A8C5">
            <w:pPr>
              <w:widowControl/>
              <w:snapToGrid w:val="0"/>
              <w:spacing w:beforeLines="0" w:afterLines="0" w:line="240" w:lineRule="auto"/>
              <w:ind w:firstLine="0" w:firstLineChars="0"/>
              <w:contextualSpacing/>
              <w:jc w:val="both"/>
              <w:rPr>
                <w:rFonts w:hint="default" w:ascii="Times New Roman" w:hAnsi="Times New Roman" w:eastAsia="仿宋_GB2312"/>
                <w:color w:val="auto"/>
                <w:sz w:val="32"/>
                <w:szCs w:val="32"/>
                <w:highlight w:val="none"/>
                <w:lang w:val="en-US" w:eastAsia="zh-CN"/>
              </w:rPr>
            </w:pPr>
            <w:r>
              <w:rPr>
                <w:rFonts w:hint="eastAsia" w:ascii="Times New Roman" w:hAnsi="Times New Roman"/>
                <w:color w:val="auto"/>
                <w:sz w:val="32"/>
                <w:szCs w:val="32"/>
                <w:highlight w:val="none"/>
                <w:lang w:val="en-US" w:eastAsia="zh-CN"/>
              </w:rPr>
              <w:t>信用较差，有较大风险</w:t>
            </w:r>
          </w:p>
        </w:tc>
        <w:tc>
          <w:tcPr>
            <w:tcW w:w="1640" w:type="dxa"/>
            <w:noWrap w:val="0"/>
            <w:vAlign w:val="center"/>
          </w:tcPr>
          <w:p w14:paraId="09C7E6DC">
            <w:pPr>
              <w:widowControl/>
              <w:snapToGrid w:val="0"/>
              <w:spacing w:beforeLines="0" w:afterLines="0" w:line="240" w:lineRule="auto"/>
              <w:ind w:firstLine="0" w:firstLineChars="0"/>
              <w:contextualSpacing/>
              <w:jc w:val="center"/>
              <w:rPr>
                <w:rFonts w:hint="default" w:ascii="Times New Roman" w:hAnsi="Times New Roman"/>
                <w:color w:val="auto"/>
                <w:sz w:val="32"/>
                <w:szCs w:val="32"/>
                <w:highlight w:val="none"/>
                <w:lang w:val="en-US" w:eastAsia="zh-CN"/>
              </w:rPr>
            </w:pPr>
            <w:r>
              <w:rPr>
                <w:rFonts w:hint="eastAsia" w:ascii="Times New Roman" w:hAnsi="Times New Roman"/>
                <w:color w:val="auto"/>
                <w:sz w:val="32"/>
                <w:szCs w:val="32"/>
                <w:highlight w:val="none"/>
                <w:lang w:val="en-US" w:eastAsia="zh-CN"/>
              </w:rPr>
              <w:t>橙色</w:t>
            </w:r>
          </w:p>
        </w:tc>
      </w:tr>
      <w:tr w14:paraId="4E387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noWrap w:val="0"/>
            <w:vAlign w:val="center"/>
          </w:tcPr>
          <w:p w14:paraId="0FF47FBB">
            <w:pPr>
              <w:widowControl/>
              <w:snapToGrid w:val="0"/>
              <w:spacing w:beforeLines="0" w:afterLines="0" w:line="240" w:lineRule="auto"/>
              <w:ind w:firstLine="0" w:firstLineChars="0"/>
              <w:contextualSpacing/>
              <w:jc w:val="center"/>
              <w:rPr>
                <w:rFonts w:hint="default" w:ascii="Times New Roman" w:hAnsi="Times New Roman" w:eastAsia="仿宋_GB2312"/>
                <w:color w:val="auto"/>
                <w:sz w:val="32"/>
                <w:szCs w:val="32"/>
                <w:highlight w:val="none"/>
                <w:lang w:val="en-US" w:eastAsia="zh-CN"/>
              </w:rPr>
            </w:pPr>
            <w:r>
              <w:rPr>
                <w:rFonts w:hint="eastAsia" w:ascii="Times New Roman" w:hAnsi="Times New Roman"/>
                <w:color w:val="auto"/>
                <w:sz w:val="32"/>
                <w:szCs w:val="32"/>
                <w:highlight w:val="none"/>
                <w:lang w:val="en-US" w:eastAsia="zh-CN"/>
              </w:rPr>
              <w:t>8</w:t>
            </w:r>
          </w:p>
        </w:tc>
        <w:tc>
          <w:tcPr>
            <w:tcW w:w="895" w:type="dxa"/>
            <w:noWrap w:val="0"/>
            <w:vAlign w:val="center"/>
          </w:tcPr>
          <w:p w14:paraId="3364F8EA">
            <w:pPr>
              <w:widowControl/>
              <w:snapToGrid w:val="0"/>
              <w:spacing w:beforeLines="0" w:afterLines="0" w:line="240" w:lineRule="auto"/>
              <w:ind w:firstLine="0" w:firstLineChars="0"/>
              <w:contextualSpacing/>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 xml:space="preserve"> C-</w:t>
            </w:r>
          </w:p>
        </w:tc>
        <w:tc>
          <w:tcPr>
            <w:tcW w:w="1646" w:type="dxa"/>
            <w:noWrap w:val="0"/>
            <w:vAlign w:val="center"/>
          </w:tcPr>
          <w:p w14:paraId="005C6924">
            <w:pPr>
              <w:widowControl/>
              <w:snapToGrid w:val="0"/>
              <w:spacing w:beforeLines="0" w:afterLines="0" w:line="240" w:lineRule="auto"/>
              <w:ind w:firstLine="0" w:firstLineChars="0"/>
              <w:contextualSpacing/>
              <w:jc w:val="center"/>
              <w:rPr>
                <w:rFonts w:hint="eastAsia" w:ascii="仿宋_GB2312" w:hAnsi="仿宋_GB2312" w:cs="仿宋_GB2312"/>
                <w:color w:val="auto"/>
                <w:szCs w:val="32"/>
                <w:highlight w:val="none"/>
              </w:rPr>
            </w:pPr>
            <w:r>
              <w:rPr>
                <w:rFonts w:hint="eastAsia" w:ascii="仿宋_GB2312" w:hAnsi="仿宋_GB2312" w:cs="仿宋_GB2312"/>
                <w:color w:val="auto"/>
                <w:szCs w:val="32"/>
                <w:highlight w:val="none"/>
              </w:rPr>
              <w:t>501—550</w:t>
            </w:r>
          </w:p>
        </w:tc>
        <w:tc>
          <w:tcPr>
            <w:tcW w:w="3960" w:type="dxa"/>
            <w:noWrap w:val="0"/>
            <w:vAlign w:val="center"/>
          </w:tcPr>
          <w:p w14:paraId="68AC4A4D">
            <w:pPr>
              <w:widowControl/>
              <w:snapToGrid w:val="0"/>
              <w:spacing w:beforeLines="0" w:afterLines="0" w:line="240" w:lineRule="auto"/>
              <w:ind w:firstLine="0" w:firstLineChars="0"/>
              <w:contextualSpacing/>
              <w:jc w:val="both"/>
              <w:rPr>
                <w:rFonts w:hint="default" w:ascii="Times New Roman" w:hAnsi="Times New Roman" w:eastAsia="仿宋_GB2312"/>
                <w:color w:val="auto"/>
                <w:sz w:val="32"/>
                <w:szCs w:val="32"/>
                <w:highlight w:val="none"/>
                <w:lang w:val="en-US" w:eastAsia="zh-CN"/>
              </w:rPr>
            </w:pPr>
            <w:r>
              <w:rPr>
                <w:rFonts w:hint="eastAsia" w:ascii="Times New Roman" w:hAnsi="Times New Roman"/>
                <w:color w:val="auto"/>
                <w:sz w:val="32"/>
                <w:szCs w:val="32"/>
                <w:highlight w:val="none"/>
                <w:lang w:val="en-US" w:eastAsia="zh-CN"/>
              </w:rPr>
              <w:t>信用很差，有很大风险</w:t>
            </w:r>
          </w:p>
        </w:tc>
        <w:tc>
          <w:tcPr>
            <w:tcW w:w="1640" w:type="dxa"/>
            <w:noWrap w:val="0"/>
            <w:vAlign w:val="center"/>
          </w:tcPr>
          <w:p w14:paraId="57865BBE">
            <w:pPr>
              <w:widowControl/>
              <w:snapToGrid w:val="0"/>
              <w:spacing w:beforeLines="0" w:afterLines="0" w:line="240" w:lineRule="auto"/>
              <w:ind w:firstLine="0" w:firstLineChars="0"/>
              <w:contextualSpacing/>
              <w:jc w:val="center"/>
              <w:rPr>
                <w:rFonts w:hint="default" w:ascii="Times New Roman" w:hAnsi="Times New Roman"/>
                <w:color w:val="auto"/>
                <w:sz w:val="32"/>
                <w:szCs w:val="32"/>
                <w:highlight w:val="none"/>
                <w:lang w:val="en-US" w:eastAsia="zh-CN"/>
              </w:rPr>
            </w:pPr>
            <w:r>
              <w:rPr>
                <w:rFonts w:hint="eastAsia" w:ascii="Times New Roman" w:hAnsi="Times New Roman"/>
                <w:color w:val="auto"/>
                <w:sz w:val="32"/>
                <w:szCs w:val="32"/>
                <w:highlight w:val="none"/>
                <w:lang w:val="en-US" w:eastAsia="zh-CN"/>
              </w:rPr>
              <w:t>橙色</w:t>
            </w:r>
          </w:p>
        </w:tc>
      </w:tr>
      <w:tr w14:paraId="7FDF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noWrap w:val="0"/>
            <w:vAlign w:val="center"/>
          </w:tcPr>
          <w:p w14:paraId="0B566263">
            <w:pPr>
              <w:widowControl/>
              <w:snapToGrid w:val="0"/>
              <w:spacing w:beforeLines="0" w:afterLines="0" w:line="240" w:lineRule="auto"/>
              <w:ind w:firstLine="0" w:firstLineChars="0"/>
              <w:contextualSpacing/>
              <w:jc w:val="center"/>
              <w:rPr>
                <w:rFonts w:hint="eastAsia" w:ascii="Times New Roman" w:hAnsi="Times New Roman" w:eastAsia="仿宋_GB2312"/>
                <w:color w:val="auto"/>
                <w:sz w:val="32"/>
                <w:szCs w:val="32"/>
                <w:highlight w:val="none"/>
                <w:lang w:val="en-US" w:eastAsia="zh-CN"/>
              </w:rPr>
            </w:pPr>
            <w:r>
              <w:rPr>
                <w:rFonts w:hint="eastAsia" w:ascii="Times New Roman" w:hAnsi="Times New Roman"/>
                <w:color w:val="auto"/>
                <w:sz w:val="32"/>
                <w:szCs w:val="32"/>
                <w:highlight w:val="none"/>
                <w:lang w:val="en-US" w:eastAsia="zh-CN"/>
              </w:rPr>
              <w:t>9</w:t>
            </w:r>
          </w:p>
        </w:tc>
        <w:tc>
          <w:tcPr>
            <w:tcW w:w="895" w:type="dxa"/>
            <w:noWrap w:val="0"/>
            <w:vAlign w:val="center"/>
          </w:tcPr>
          <w:p w14:paraId="74094070">
            <w:pPr>
              <w:widowControl/>
              <w:snapToGrid w:val="0"/>
              <w:spacing w:beforeLines="0" w:afterLines="0" w:line="240" w:lineRule="auto"/>
              <w:ind w:firstLine="0" w:firstLineChars="0"/>
              <w:contextualSpacing/>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D</w:t>
            </w:r>
          </w:p>
        </w:tc>
        <w:tc>
          <w:tcPr>
            <w:tcW w:w="1646" w:type="dxa"/>
            <w:noWrap w:val="0"/>
            <w:vAlign w:val="center"/>
          </w:tcPr>
          <w:p w14:paraId="2ED46EE4">
            <w:pPr>
              <w:widowControl/>
              <w:snapToGrid w:val="0"/>
              <w:spacing w:beforeLines="0" w:afterLines="0" w:line="240" w:lineRule="auto"/>
              <w:ind w:firstLine="0" w:firstLineChars="0"/>
              <w:contextualSpacing/>
              <w:jc w:val="center"/>
              <w:rPr>
                <w:rFonts w:ascii="Times New Roman" w:hAnsi="Times New Roman" w:eastAsia="仿宋_GB2312"/>
                <w:color w:val="auto"/>
                <w:sz w:val="32"/>
                <w:szCs w:val="32"/>
                <w:highlight w:val="none"/>
              </w:rPr>
            </w:pPr>
            <w:r>
              <w:rPr>
                <w:rFonts w:hint="eastAsia" w:ascii="仿宋_GB2312" w:hAnsi="仿宋_GB2312" w:cs="仿宋_GB2312"/>
                <w:color w:val="auto"/>
                <w:szCs w:val="32"/>
                <w:highlight w:val="none"/>
              </w:rPr>
              <w:t>350—5</w:t>
            </w:r>
            <w:r>
              <w:rPr>
                <w:rFonts w:hint="eastAsia" w:ascii="仿宋_GB2312" w:hAnsi="仿宋_GB2312" w:cs="仿宋_GB2312"/>
                <w:color w:val="auto"/>
                <w:szCs w:val="32"/>
                <w:highlight w:val="none"/>
                <w:lang w:val="en-US" w:eastAsia="zh-CN"/>
              </w:rPr>
              <w:t>0</w:t>
            </w:r>
            <w:r>
              <w:rPr>
                <w:rFonts w:hint="eastAsia" w:ascii="仿宋_GB2312" w:hAnsi="仿宋_GB2312" w:cs="仿宋_GB2312"/>
                <w:color w:val="auto"/>
                <w:szCs w:val="32"/>
                <w:highlight w:val="none"/>
              </w:rPr>
              <w:t>0</w:t>
            </w:r>
          </w:p>
        </w:tc>
        <w:tc>
          <w:tcPr>
            <w:tcW w:w="3960" w:type="dxa"/>
            <w:noWrap w:val="0"/>
            <w:vAlign w:val="center"/>
          </w:tcPr>
          <w:p w14:paraId="7C25DC23">
            <w:pPr>
              <w:widowControl/>
              <w:snapToGrid w:val="0"/>
              <w:spacing w:beforeLines="0" w:afterLines="0" w:line="240" w:lineRule="auto"/>
              <w:ind w:firstLine="0" w:firstLineChars="0"/>
              <w:contextualSpacing/>
              <w:jc w:val="both"/>
              <w:rPr>
                <w:rFonts w:hint="default" w:ascii="Times New Roman" w:hAnsi="Times New Roman" w:eastAsia="仿宋_GB2312"/>
                <w:color w:val="auto"/>
                <w:sz w:val="32"/>
                <w:szCs w:val="32"/>
                <w:highlight w:val="none"/>
                <w:lang w:val="en-US" w:eastAsia="zh-CN"/>
              </w:rPr>
            </w:pPr>
            <w:r>
              <w:rPr>
                <w:rFonts w:ascii="Times New Roman" w:hAnsi="Times New Roman" w:eastAsia="仿宋_GB2312"/>
                <w:color w:val="auto"/>
                <w:sz w:val="32"/>
                <w:szCs w:val="32"/>
                <w:highlight w:val="none"/>
              </w:rPr>
              <w:t>信用</w:t>
            </w:r>
            <w:r>
              <w:rPr>
                <w:rFonts w:hint="eastAsia" w:ascii="Times New Roman" w:hAnsi="Times New Roman"/>
                <w:color w:val="auto"/>
                <w:sz w:val="32"/>
                <w:szCs w:val="32"/>
                <w:highlight w:val="none"/>
                <w:lang w:val="en-US" w:eastAsia="zh-CN"/>
              </w:rPr>
              <w:t>极差，有极其严重风险</w:t>
            </w:r>
          </w:p>
        </w:tc>
        <w:tc>
          <w:tcPr>
            <w:tcW w:w="1640" w:type="dxa"/>
            <w:noWrap w:val="0"/>
            <w:vAlign w:val="center"/>
          </w:tcPr>
          <w:p w14:paraId="65414CD2">
            <w:pPr>
              <w:widowControl/>
              <w:snapToGrid w:val="0"/>
              <w:spacing w:beforeLines="0" w:afterLines="0" w:line="240" w:lineRule="auto"/>
              <w:ind w:firstLine="0" w:firstLineChars="0"/>
              <w:contextualSpacing/>
              <w:jc w:val="center"/>
              <w:rPr>
                <w:rFonts w:hint="eastAsia" w:ascii="Times New Roman" w:hAnsi="Times New Roman" w:eastAsia="仿宋_GB2312"/>
                <w:color w:val="auto"/>
                <w:sz w:val="32"/>
                <w:szCs w:val="32"/>
                <w:highlight w:val="none"/>
                <w:lang w:val="en-US" w:eastAsia="zh-CN"/>
              </w:rPr>
            </w:pPr>
            <w:r>
              <w:rPr>
                <w:rFonts w:hint="eastAsia" w:ascii="Times New Roman" w:hAnsi="Times New Roman"/>
                <w:color w:val="auto"/>
                <w:sz w:val="32"/>
                <w:szCs w:val="32"/>
                <w:highlight w:val="none"/>
                <w:lang w:val="en-US" w:eastAsia="zh-CN"/>
              </w:rPr>
              <w:t>红色</w:t>
            </w:r>
          </w:p>
        </w:tc>
      </w:tr>
    </w:tbl>
    <w:p w14:paraId="3E1DB5D4">
      <w:pPr>
        <w:pageBreakBefore w:val="0"/>
        <w:kinsoku/>
        <w:wordWrap/>
        <w:overflowPunct/>
        <w:topLinePunct w:val="0"/>
        <w:autoSpaceDE/>
        <w:autoSpaceDN/>
        <w:bidi w:val="0"/>
        <w:spacing w:line="560" w:lineRule="exact"/>
        <w:ind w:firstLine="643"/>
        <w:jc w:val="both"/>
        <w:rPr>
          <w:rFonts w:hint="eastAsia"/>
          <w:color w:val="auto"/>
          <w:highlight w:val="none"/>
        </w:rPr>
      </w:pPr>
      <w:r>
        <w:rPr>
          <w:rFonts w:hint="eastAsia" w:ascii="楷体_GB2312" w:hAnsi="楷体_GB2312" w:eastAsia="楷体_GB2312" w:cs="楷体_GB2312"/>
          <w:b/>
          <w:bCs/>
          <w:snapToGrid/>
          <w:color w:val="auto"/>
          <w:kern w:val="2"/>
          <w:sz w:val="32"/>
          <w:szCs w:val="32"/>
          <w:highlight w:val="none"/>
        </w:rPr>
        <w:t>第十</w:t>
      </w:r>
      <w:r>
        <w:rPr>
          <w:rFonts w:hint="eastAsia" w:ascii="楷体_GB2312" w:hAnsi="楷体_GB2312" w:eastAsia="楷体_GB2312" w:cs="楷体_GB2312"/>
          <w:b/>
          <w:bCs/>
          <w:color w:val="auto"/>
          <w:szCs w:val="32"/>
          <w:highlight w:val="none"/>
        </w:rPr>
        <w:t>一</w:t>
      </w:r>
      <w:r>
        <w:rPr>
          <w:rFonts w:hint="eastAsia" w:ascii="楷体_GB2312" w:hAnsi="楷体_GB2312" w:eastAsia="楷体_GB2312" w:cs="楷体_GB2312"/>
          <w:b/>
          <w:bCs/>
          <w:snapToGrid/>
          <w:color w:val="auto"/>
          <w:kern w:val="2"/>
          <w:sz w:val="32"/>
          <w:szCs w:val="32"/>
          <w:highlight w:val="none"/>
        </w:rPr>
        <w:t>条【初始等级】</w:t>
      </w:r>
      <w:r>
        <w:rPr>
          <w:rFonts w:hint="eastAsia" w:ascii="仿宋_GB2312" w:hAnsi="仿宋_GB2312" w:eastAsia="仿宋_GB2312" w:cs="仿宋_GB2312"/>
          <w:color w:val="auto"/>
          <w:highlight w:val="none"/>
          <w:lang w:val="en-US" w:eastAsia="zh-CN"/>
        </w:rPr>
        <w:t>对在临空区未产生信用评价结果的</w:t>
      </w:r>
      <w:r>
        <w:rPr>
          <w:rFonts w:hint="eastAsia" w:ascii="仿宋_GB2312" w:hAnsi="仿宋_GB2312" w:eastAsia="仿宋_GB2312" w:cs="仿宋_GB2312"/>
          <w:color w:val="auto"/>
          <w:highlight w:val="none"/>
        </w:rPr>
        <w:t>行政相对人</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首次在临空区办理事项，不存在本办法第十</w:t>
      </w:r>
      <w:r>
        <w:rPr>
          <w:rFonts w:hint="eastAsia" w:cs="仿宋_GB2312"/>
          <w:color w:val="auto"/>
          <w:highlight w:val="none"/>
          <w:lang w:val="en-US" w:eastAsia="zh-CN"/>
        </w:rPr>
        <w:t>二</w:t>
      </w:r>
      <w:r>
        <w:rPr>
          <w:rFonts w:hint="eastAsia" w:ascii="仿宋_GB2312" w:hAnsi="仿宋_GB2312" w:eastAsia="仿宋_GB2312" w:cs="仿宋_GB2312"/>
          <w:color w:val="auto"/>
          <w:highlight w:val="none"/>
        </w:rPr>
        <w:t>条规定情况的，初始等</w:t>
      </w:r>
      <w:r>
        <w:rPr>
          <w:rFonts w:hint="eastAsia" w:cs="仿宋_GB2312"/>
          <w:color w:val="auto"/>
          <w:highlight w:val="none"/>
          <w:lang w:val="en-US" w:eastAsia="zh-CN"/>
        </w:rPr>
        <w:t>次</w:t>
      </w:r>
      <w:r>
        <w:rPr>
          <w:rFonts w:hint="eastAsia" w:ascii="仿宋_GB2312" w:hAnsi="仿宋_GB2312" w:eastAsia="仿宋_GB2312" w:cs="仿宋_GB2312"/>
          <w:color w:val="auto"/>
          <w:highlight w:val="none"/>
        </w:rPr>
        <w:t>参照</w:t>
      </w:r>
      <w:r>
        <w:rPr>
          <w:rFonts w:hint="eastAsia" w:ascii="仿宋_GB2312" w:hAnsi="仿宋_GB2312" w:eastAsia="仿宋_GB2312" w:cs="仿宋_GB2312"/>
          <w:color w:val="auto"/>
          <w:highlight w:val="none"/>
          <w:lang w:val="en-US" w:eastAsia="zh-CN"/>
        </w:rPr>
        <w:t>A-</w:t>
      </w:r>
      <w:r>
        <w:rPr>
          <w:rFonts w:hint="eastAsia" w:cs="仿宋_GB2312"/>
          <w:color w:val="auto"/>
          <w:highlight w:val="none"/>
          <w:lang w:val="en-US" w:eastAsia="zh-CN"/>
        </w:rPr>
        <w:t>等次</w:t>
      </w:r>
      <w:r>
        <w:rPr>
          <w:rFonts w:hint="eastAsia" w:ascii="仿宋_GB2312" w:hAnsi="仿宋_GB2312" w:eastAsia="仿宋_GB2312" w:cs="仿宋_GB2312"/>
          <w:color w:val="auto"/>
          <w:highlight w:val="none"/>
        </w:rPr>
        <w:t>对待</w:t>
      </w:r>
      <w:r>
        <w:rPr>
          <w:color w:val="auto"/>
          <w:highlight w:val="none"/>
        </w:rPr>
        <w:t>。</w:t>
      </w:r>
    </w:p>
    <w:p w14:paraId="23A6B04A">
      <w:pPr>
        <w:pageBreakBefore w:val="0"/>
        <w:widowControl/>
        <w:kinsoku/>
        <w:wordWrap/>
        <w:overflowPunct/>
        <w:topLinePunct w:val="0"/>
        <w:autoSpaceDE/>
        <w:autoSpaceDN/>
        <w:bidi w:val="0"/>
        <w:spacing w:line="560" w:lineRule="exact"/>
        <w:ind w:firstLine="643" w:firstLineChars="200"/>
        <w:rPr>
          <w:rFonts w:hint="eastAsia" w:ascii="仿宋_GB2312" w:hAnsi="仿宋_GB2312" w:eastAsia="仿宋_GB2312" w:cs="仿宋_GB2312"/>
          <w:i w:val="0"/>
          <w:iCs w:val="0"/>
          <w:caps w:val="0"/>
          <w:snapToGrid w:val="0"/>
          <w:color w:val="auto"/>
          <w:spacing w:val="0"/>
          <w:kern w:val="2"/>
          <w:sz w:val="32"/>
          <w:szCs w:val="32"/>
          <w:highlight w:val="none"/>
          <w:shd w:val="clear" w:color="auto" w:fill="auto"/>
          <w:lang w:eastAsia="zh-CN"/>
        </w:rPr>
      </w:pPr>
      <w:r>
        <w:rPr>
          <w:rFonts w:hint="eastAsia" w:ascii="楷体_GB2312" w:hAnsi="楷体_GB2312" w:eastAsia="楷体_GB2312" w:cs="楷体_GB2312"/>
          <w:b/>
          <w:bCs/>
          <w:color w:val="auto"/>
          <w:szCs w:val="32"/>
          <w:highlight w:val="none"/>
        </w:rPr>
        <w:t>第十</w:t>
      </w:r>
      <w:r>
        <w:rPr>
          <w:rFonts w:hint="eastAsia" w:ascii="楷体_GB2312" w:hAnsi="楷体_GB2312" w:eastAsia="楷体_GB2312" w:cs="楷体_GB2312"/>
          <w:b/>
          <w:bCs/>
          <w:color w:val="auto"/>
          <w:szCs w:val="32"/>
          <w:highlight w:val="none"/>
          <w:lang w:val="en-US" w:eastAsia="zh-CN"/>
        </w:rPr>
        <w:t>二</w:t>
      </w:r>
      <w:r>
        <w:rPr>
          <w:rFonts w:hint="eastAsia" w:ascii="楷体_GB2312" w:hAnsi="楷体_GB2312" w:eastAsia="楷体_GB2312" w:cs="楷体_GB2312"/>
          <w:b/>
          <w:bCs/>
          <w:color w:val="auto"/>
          <w:szCs w:val="32"/>
          <w:highlight w:val="none"/>
        </w:rPr>
        <w:t>条【等级熔断】</w:t>
      </w:r>
      <w:r>
        <w:rPr>
          <w:rFonts w:hint="eastAsia" w:ascii="仿宋_GB2312" w:hAnsi="仿宋_GB2312" w:eastAsia="仿宋_GB2312" w:cs="仿宋_GB2312"/>
          <w:snapToGrid w:val="0"/>
          <w:color w:val="auto"/>
          <w:kern w:val="2"/>
          <w:sz w:val="32"/>
          <w:szCs w:val="32"/>
          <w:highlight w:val="none"/>
          <w:lang w:bidi="ar-SA"/>
        </w:rPr>
        <w:t>在评价周期内，</w:t>
      </w:r>
      <w:r>
        <w:rPr>
          <w:rFonts w:hint="eastAsia" w:ascii="仿宋_GB2312" w:hAnsi="仿宋_GB2312" w:eastAsia="仿宋_GB2312" w:cs="仿宋_GB2312"/>
          <w:snapToGrid w:val="0"/>
          <w:color w:val="auto"/>
          <w:kern w:val="2"/>
          <w:sz w:val="32"/>
          <w:szCs w:val="32"/>
          <w:highlight w:val="none"/>
          <w:lang w:val="en-US" w:eastAsia="zh-CN" w:bidi="ar-SA"/>
        </w:rPr>
        <w:t>行政相对人</w:t>
      </w:r>
      <w:r>
        <w:rPr>
          <w:rFonts w:hint="eastAsia" w:ascii="仿宋_GB2312" w:hAnsi="仿宋_GB2312" w:eastAsia="仿宋_GB2312" w:cs="仿宋_GB2312"/>
          <w:i w:val="0"/>
          <w:iCs w:val="0"/>
          <w:caps w:val="0"/>
          <w:snapToGrid w:val="0"/>
          <w:color w:val="auto"/>
          <w:spacing w:val="0"/>
          <w:kern w:val="2"/>
          <w:sz w:val="32"/>
          <w:szCs w:val="32"/>
          <w:highlight w:val="none"/>
          <w:shd w:val="clear" w:color="auto" w:fill="auto"/>
          <w:lang w:val="en-US" w:eastAsia="zh-CN"/>
        </w:rPr>
        <w:t>存在</w:t>
      </w:r>
      <w:r>
        <w:rPr>
          <w:rFonts w:hint="eastAsia" w:ascii="仿宋_GB2312" w:hAnsi="仿宋_GB2312" w:eastAsia="仿宋_GB2312" w:cs="仿宋_GB2312"/>
          <w:i w:val="0"/>
          <w:iCs w:val="0"/>
          <w:caps w:val="0"/>
          <w:snapToGrid w:val="0"/>
          <w:color w:val="auto"/>
          <w:spacing w:val="0"/>
          <w:kern w:val="2"/>
          <w:sz w:val="32"/>
          <w:szCs w:val="32"/>
          <w:highlight w:val="none"/>
          <w:shd w:val="clear" w:color="auto" w:fill="auto"/>
        </w:rPr>
        <w:t>以下</w:t>
      </w:r>
      <w:r>
        <w:rPr>
          <w:rFonts w:hint="eastAsia" w:ascii="仿宋_GB2312" w:hAnsi="仿宋_GB2312" w:eastAsia="仿宋_GB2312" w:cs="仿宋_GB2312"/>
          <w:snapToGrid w:val="0"/>
          <w:color w:val="auto"/>
          <w:kern w:val="2"/>
          <w:sz w:val="32"/>
          <w:szCs w:val="32"/>
          <w:highlight w:val="none"/>
        </w:rPr>
        <w:t>情况</w:t>
      </w:r>
      <w:r>
        <w:rPr>
          <w:rFonts w:hint="eastAsia" w:ascii="仿宋_GB2312" w:hAnsi="仿宋_GB2312" w:eastAsia="仿宋_GB2312" w:cs="仿宋_GB2312"/>
          <w:i w:val="0"/>
          <w:iCs w:val="0"/>
          <w:caps w:val="0"/>
          <w:snapToGrid w:val="0"/>
          <w:color w:val="auto"/>
          <w:spacing w:val="0"/>
          <w:kern w:val="2"/>
          <w:sz w:val="32"/>
          <w:szCs w:val="32"/>
          <w:highlight w:val="none"/>
          <w:shd w:val="clear" w:color="auto" w:fill="auto"/>
        </w:rPr>
        <w:t>作为</w:t>
      </w:r>
      <w:r>
        <w:rPr>
          <w:rFonts w:hint="eastAsia" w:ascii="仿宋_GB2312" w:hAnsi="仿宋_GB2312" w:eastAsia="仿宋_GB2312" w:cs="仿宋_GB2312"/>
          <w:i w:val="0"/>
          <w:iCs w:val="0"/>
          <w:caps w:val="0"/>
          <w:snapToGrid w:val="0"/>
          <w:color w:val="auto"/>
          <w:spacing w:val="0"/>
          <w:kern w:val="2"/>
          <w:sz w:val="32"/>
          <w:szCs w:val="32"/>
          <w:highlight w:val="none"/>
          <w:shd w:val="clear" w:color="auto" w:fill="auto"/>
          <w:lang w:eastAsia="zh-CN"/>
        </w:rPr>
        <w:t>“</w:t>
      </w:r>
      <w:r>
        <w:rPr>
          <w:rFonts w:hint="eastAsia" w:ascii="仿宋_GB2312" w:hAnsi="仿宋_GB2312" w:eastAsia="仿宋_GB2312" w:cs="仿宋_GB2312"/>
          <w:i w:val="0"/>
          <w:iCs w:val="0"/>
          <w:caps w:val="0"/>
          <w:snapToGrid w:val="0"/>
          <w:color w:val="auto"/>
          <w:spacing w:val="0"/>
          <w:kern w:val="2"/>
          <w:sz w:val="32"/>
          <w:szCs w:val="32"/>
          <w:highlight w:val="none"/>
          <w:shd w:val="clear" w:color="auto" w:fill="auto"/>
        </w:rPr>
        <w:t>直接判定</w:t>
      </w:r>
      <w:r>
        <w:rPr>
          <w:rFonts w:hint="eastAsia" w:ascii="仿宋_GB2312" w:hAnsi="仿宋_GB2312" w:eastAsia="仿宋_GB2312" w:cs="仿宋_GB2312"/>
          <w:i w:val="0"/>
          <w:iCs w:val="0"/>
          <w:caps w:val="0"/>
          <w:snapToGrid w:val="0"/>
          <w:color w:val="auto"/>
          <w:spacing w:val="0"/>
          <w:kern w:val="2"/>
          <w:sz w:val="32"/>
          <w:szCs w:val="32"/>
          <w:highlight w:val="none"/>
          <w:shd w:val="clear" w:color="auto" w:fill="auto"/>
          <w:lang w:eastAsia="zh-CN"/>
        </w:rPr>
        <w:t>”</w:t>
      </w:r>
      <w:r>
        <w:rPr>
          <w:rFonts w:hint="eastAsia" w:ascii="仿宋_GB2312" w:hAnsi="仿宋_GB2312" w:eastAsia="仿宋_GB2312" w:cs="仿宋_GB2312"/>
          <w:i w:val="0"/>
          <w:iCs w:val="0"/>
          <w:caps w:val="0"/>
          <w:snapToGrid w:val="0"/>
          <w:color w:val="auto"/>
          <w:spacing w:val="0"/>
          <w:kern w:val="2"/>
          <w:sz w:val="32"/>
          <w:szCs w:val="32"/>
          <w:highlight w:val="none"/>
          <w:shd w:val="clear" w:color="auto" w:fill="auto"/>
        </w:rPr>
        <w:t>项，直接评</w:t>
      </w:r>
      <w:r>
        <w:rPr>
          <w:rFonts w:hint="eastAsia" w:ascii="仿宋_GB2312" w:hAnsi="仿宋_GB2312" w:eastAsia="仿宋_GB2312" w:cs="仿宋_GB2312"/>
          <w:color w:val="auto"/>
          <w:kern w:val="2"/>
          <w:sz w:val="32"/>
          <w:szCs w:val="24"/>
          <w:highlight w:val="none"/>
          <w:lang w:val="en-US" w:eastAsia="zh-CN" w:bidi="ar-SA"/>
        </w:rPr>
        <w:t>定为C-等次：</w:t>
      </w:r>
      <w:r>
        <w:rPr>
          <w:rFonts w:hint="eastAsia" w:ascii="仿宋_GB2312" w:hAnsi="仿宋_GB2312" w:eastAsia="仿宋_GB2312" w:cs="仿宋_GB2312"/>
          <w:i w:val="0"/>
          <w:iCs w:val="0"/>
          <w:caps w:val="0"/>
          <w:snapToGrid w:val="0"/>
          <w:color w:val="auto"/>
          <w:spacing w:val="0"/>
          <w:kern w:val="2"/>
          <w:sz w:val="32"/>
          <w:szCs w:val="32"/>
          <w:highlight w:val="none"/>
          <w:shd w:val="clear" w:color="auto" w:fill="auto"/>
        </w:rPr>
        <w:t>被处责令停产停业</w:t>
      </w:r>
      <w:r>
        <w:rPr>
          <w:rFonts w:hint="eastAsia" w:ascii="仿宋_GB2312" w:hAnsi="仿宋_GB2312" w:eastAsia="仿宋_GB2312" w:cs="仿宋_GB2312"/>
          <w:i w:val="0"/>
          <w:iCs w:val="0"/>
          <w:caps w:val="0"/>
          <w:snapToGrid w:val="0"/>
          <w:color w:val="auto"/>
          <w:spacing w:val="0"/>
          <w:kern w:val="2"/>
          <w:sz w:val="32"/>
          <w:szCs w:val="32"/>
          <w:highlight w:val="none"/>
          <w:shd w:val="clear" w:color="auto" w:fill="auto"/>
          <w:lang w:eastAsia="zh-CN"/>
        </w:rPr>
        <w:t>、</w:t>
      </w:r>
      <w:r>
        <w:rPr>
          <w:rFonts w:hint="eastAsia" w:ascii="仿宋_GB2312" w:hAnsi="仿宋_GB2312" w:eastAsia="仿宋_GB2312" w:cs="仿宋_GB2312"/>
          <w:i w:val="0"/>
          <w:iCs w:val="0"/>
          <w:caps w:val="0"/>
          <w:snapToGrid w:val="0"/>
          <w:color w:val="auto"/>
          <w:spacing w:val="0"/>
          <w:kern w:val="2"/>
          <w:sz w:val="32"/>
          <w:szCs w:val="32"/>
          <w:highlight w:val="none"/>
          <w:shd w:val="clear" w:color="auto" w:fill="auto"/>
          <w:lang w:val="en-US" w:eastAsia="zh-CN"/>
        </w:rPr>
        <w:t>责令关闭、限制开展生产经营活动等处罚</w:t>
      </w: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auto"/>
        </w:rPr>
        <w:t>。</w:t>
      </w:r>
    </w:p>
    <w:p w14:paraId="02747CB6">
      <w:pPr>
        <w:pageBreakBefore w:val="0"/>
        <w:widowControl/>
        <w:numPr>
          <w:ilvl w:val="0"/>
          <w:numId w:val="0"/>
        </w:numPr>
        <w:kinsoku/>
        <w:wordWrap/>
        <w:overflowPunct/>
        <w:topLinePunct w:val="0"/>
        <w:autoSpaceDE/>
        <w:autoSpaceDN/>
        <w:bidi w:val="0"/>
        <w:spacing w:beforeLines="0" w:afterLines="0" w:line="560" w:lineRule="exact"/>
        <w:ind w:firstLine="643"/>
        <w:jc w:val="both"/>
        <w:rPr>
          <w:rFonts w:hint="eastAsia" w:ascii="仿宋_GB2312" w:hAnsi="仿宋_GB2312" w:eastAsia="仿宋_GB2312" w:cs="仿宋_GB2312"/>
          <w:color w:val="auto"/>
          <w:kern w:val="2"/>
          <w:szCs w:val="32"/>
          <w:highlight w:val="none"/>
        </w:rPr>
      </w:pPr>
      <w:r>
        <w:rPr>
          <w:rFonts w:hint="eastAsia" w:ascii="仿宋_GB2312" w:hAnsi="仿宋_GB2312" w:eastAsia="仿宋_GB2312" w:cs="仿宋_GB2312"/>
          <w:snapToGrid w:val="0"/>
          <w:color w:val="auto"/>
          <w:kern w:val="2"/>
          <w:sz w:val="32"/>
          <w:szCs w:val="32"/>
          <w:highlight w:val="none"/>
          <w:lang w:val="en-US" w:eastAsia="zh-CN" w:bidi="ar-SA"/>
        </w:rPr>
        <w:t>行政相对人</w:t>
      </w:r>
      <w:r>
        <w:rPr>
          <w:rFonts w:hint="eastAsia" w:ascii="仿宋_GB2312" w:hAnsi="仿宋_GB2312" w:eastAsia="仿宋_GB2312" w:cs="仿宋_GB2312"/>
          <w:color w:val="auto"/>
          <w:kern w:val="2"/>
          <w:szCs w:val="32"/>
          <w:highlight w:val="none"/>
        </w:rPr>
        <w:t>存在以下情况之一</w:t>
      </w:r>
      <w:r>
        <w:rPr>
          <w:rFonts w:hint="eastAsia" w:ascii="仿宋_GB2312" w:hAnsi="仿宋_GB2312" w:eastAsia="仿宋_GB2312" w:cs="仿宋_GB2312"/>
          <w:color w:val="auto"/>
          <w:kern w:val="2"/>
          <w:szCs w:val="32"/>
          <w:highlight w:val="none"/>
          <w:lang w:val="en-US" w:eastAsia="zh-CN"/>
        </w:rPr>
        <w:t>作为“直接判定项”</w:t>
      </w:r>
      <w:r>
        <w:rPr>
          <w:rFonts w:hint="eastAsia" w:ascii="仿宋_GB2312" w:hAnsi="仿宋_GB2312" w:eastAsia="仿宋_GB2312" w:cs="仿宋_GB2312"/>
          <w:color w:val="auto"/>
          <w:kern w:val="2"/>
          <w:szCs w:val="32"/>
          <w:highlight w:val="none"/>
        </w:rPr>
        <w:t>，直接评定为</w:t>
      </w:r>
      <w:r>
        <w:rPr>
          <w:rFonts w:hint="eastAsia" w:ascii="仿宋_GB2312" w:hAnsi="仿宋_GB2312" w:eastAsia="仿宋_GB2312" w:cs="仿宋_GB2312"/>
          <w:color w:val="auto"/>
          <w:highlight w:val="none"/>
          <w:lang w:val="en-US" w:eastAsia="zh-CN"/>
        </w:rPr>
        <w:t>D级：</w:t>
      </w:r>
    </w:p>
    <w:p w14:paraId="5F175971">
      <w:pPr>
        <w:widowControl/>
        <w:numPr>
          <w:ilvl w:val="0"/>
          <w:numId w:val="3"/>
        </w:numPr>
        <w:spacing w:beforeLines="0" w:afterLines="0" w:line="560" w:lineRule="exact"/>
        <w:ind w:firstLine="643"/>
        <w:jc w:val="both"/>
        <w:rPr>
          <w:rFonts w:ascii="仿宋_GB2312" w:hAnsi="仿宋_GB2312" w:eastAsia="仿宋_GB2312" w:cs="仿宋_GB2312"/>
          <w:b w:val="0"/>
          <w:bCs w:val="0"/>
          <w:color w:val="auto"/>
          <w:kern w:val="2"/>
          <w:sz w:val="32"/>
          <w:szCs w:val="32"/>
          <w:highlight w:val="none"/>
        </w:rPr>
      </w:pPr>
      <w:r>
        <w:rPr>
          <w:rFonts w:ascii="仿宋_GB2312" w:hAnsi="仿宋_GB2312" w:eastAsia="仿宋_GB2312" w:cs="仿宋_GB2312"/>
          <w:b w:val="0"/>
          <w:bCs w:val="0"/>
          <w:color w:val="auto"/>
          <w:kern w:val="2"/>
          <w:sz w:val="32"/>
          <w:szCs w:val="32"/>
          <w:highlight w:val="none"/>
        </w:rPr>
        <w:t>被列入</w:t>
      </w:r>
      <w:r>
        <w:rPr>
          <w:rFonts w:hint="eastAsia" w:cs="仿宋_GB2312"/>
          <w:b w:val="0"/>
          <w:bCs w:val="0"/>
          <w:color w:val="auto"/>
          <w:kern w:val="2"/>
          <w:sz w:val="32"/>
          <w:szCs w:val="32"/>
          <w:highlight w:val="none"/>
          <w:lang w:val="en-US" w:eastAsia="zh-CN"/>
        </w:rPr>
        <w:t>相关领域</w:t>
      </w:r>
      <w:r>
        <w:rPr>
          <w:rFonts w:ascii="仿宋_GB2312" w:hAnsi="仿宋_GB2312" w:eastAsia="仿宋_GB2312" w:cs="仿宋_GB2312"/>
          <w:b w:val="0"/>
          <w:bCs w:val="0"/>
          <w:color w:val="auto"/>
          <w:kern w:val="2"/>
          <w:sz w:val="32"/>
          <w:szCs w:val="32"/>
          <w:highlight w:val="none"/>
        </w:rPr>
        <w:t>国家或北京市严重失信主体名单；</w:t>
      </w:r>
    </w:p>
    <w:p w14:paraId="23B70927">
      <w:pPr>
        <w:widowControl/>
        <w:numPr>
          <w:ilvl w:val="0"/>
          <w:numId w:val="3"/>
        </w:numPr>
        <w:spacing w:beforeLines="0" w:afterLines="0" w:line="560" w:lineRule="exact"/>
        <w:ind w:firstLine="643"/>
        <w:jc w:val="both"/>
        <w:rPr>
          <w:rFonts w:hint="eastAsia" w:ascii="宋体" w:hAnsi="宋体" w:cs="Times New Roman"/>
          <w:color w:val="auto"/>
          <w:szCs w:val="36"/>
          <w:highlight w:val="none"/>
        </w:rPr>
      </w:pPr>
      <w:r>
        <w:rPr>
          <w:rFonts w:hint="eastAsia" w:cs="仿宋_GB2312"/>
          <w:b w:val="0"/>
          <w:bCs w:val="0"/>
          <w:i w:val="0"/>
          <w:iCs w:val="0"/>
          <w:caps w:val="0"/>
          <w:color w:val="auto"/>
          <w:spacing w:val="0"/>
          <w:kern w:val="2"/>
          <w:sz w:val="32"/>
          <w:szCs w:val="32"/>
          <w:highlight w:val="none"/>
          <w:shd w:val="clear" w:color="auto" w:fill="auto"/>
          <w:lang w:val="en-US" w:eastAsia="zh-CN"/>
        </w:rPr>
        <w:t>存在</w:t>
      </w:r>
      <w:r>
        <w:rPr>
          <w:rFonts w:ascii="仿宋_GB2312" w:hAnsi="仿宋_GB2312" w:eastAsia="仿宋_GB2312" w:cs="仿宋_GB2312"/>
          <w:b w:val="0"/>
          <w:bCs w:val="0"/>
          <w:i w:val="0"/>
          <w:iCs w:val="0"/>
          <w:caps w:val="0"/>
          <w:color w:val="auto"/>
          <w:spacing w:val="0"/>
          <w:kern w:val="2"/>
          <w:sz w:val="32"/>
          <w:szCs w:val="32"/>
          <w:highlight w:val="none"/>
          <w:shd w:val="clear" w:color="auto" w:fill="auto"/>
        </w:rPr>
        <w:t>法律、法规、规章规定的其他对社会造成重大负面影响的严重违法失信行为。</w:t>
      </w:r>
    </w:p>
    <w:p w14:paraId="1EB2A659">
      <w:pPr>
        <w:keepNext w:val="0"/>
        <w:keepLines w:val="0"/>
        <w:pageBreakBefore w:val="0"/>
        <w:kinsoku/>
        <w:wordWrap/>
        <w:overflowPunct/>
        <w:topLinePunct w:val="0"/>
        <w:autoSpaceDE/>
        <w:autoSpaceDN/>
        <w:bidi w:val="0"/>
        <w:adjustRightInd/>
        <w:snapToGrid/>
        <w:spacing w:beforeLines="0" w:afterLines="0" w:line="560" w:lineRule="exact"/>
        <w:ind w:firstLine="643"/>
        <w:textAlignment w:val="auto"/>
        <w:rPr>
          <w:rFonts w:hint="eastAsia" w:ascii="仿宋_GB2312" w:hAnsi="仿宋_GB2312" w:cs="仿宋_GB2312"/>
          <w:b w:val="0"/>
          <w:bCs w:val="0"/>
          <w:snapToGrid w:val="0"/>
          <w:color w:val="auto"/>
          <w:sz w:val="32"/>
          <w:szCs w:val="32"/>
          <w:highlight w:val="none"/>
          <w:lang w:val="en-US" w:eastAsia="zh-CN" w:bidi="ar-SA"/>
        </w:rPr>
      </w:pPr>
      <w:r>
        <w:rPr>
          <w:rFonts w:hint="eastAsia" w:ascii="楷体_GB2312" w:hAnsi="楷体_GB2312" w:eastAsia="楷体_GB2312" w:cs="楷体_GB2312"/>
          <w:b/>
          <w:bCs/>
          <w:snapToGrid/>
          <w:color w:val="auto"/>
          <w:kern w:val="2"/>
          <w:szCs w:val="32"/>
          <w:highlight w:val="none"/>
        </w:rPr>
        <w:t>第十</w:t>
      </w:r>
      <w:r>
        <w:rPr>
          <w:rFonts w:hint="eastAsia" w:ascii="楷体_GB2312" w:hAnsi="楷体_GB2312" w:eastAsia="楷体_GB2312" w:cs="楷体_GB2312"/>
          <w:b/>
          <w:bCs/>
          <w:snapToGrid/>
          <w:color w:val="auto"/>
          <w:kern w:val="2"/>
          <w:szCs w:val="32"/>
          <w:highlight w:val="none"/>
          <w:lang w:val="en-US" w:eastAsia="zh-CN"/>
        </w:rPr>
        <w:t>三</w:t>
      </w:r>
      <w:r>
        <w:rPr>
          <w:rFonts w:hint="eastAsia" w:ascii="楷体_GB2312" w:hAnsi="楷体_GB2312" w:eastAsia="楷体_GB2312" w:cs="楷体_GB2312"/>
          <w:b/>
          <w:bCs/>
          <w:snapToGrid/>
          <w:color w:val="auto"/>
          <w:kern w:val="2"/>
          <w:szCs w:val="32"/>
          <w:highlight w:val="none"/>
        </w:rPr>
        <w:t>条【评价周期】</w:t>
      </w:r>
      <w:r>
        <w:rPr>
          <w:rFonts w:hint="eastAsia" w:ascii="仿宋_GB2312" w:hAnsi="仿宋_GB2312" w:eastAsia="仿宋_GB2312" w:cs="仿宋_GB2312"/>
          <w:b w:val="0"/>
          <w:bCs w:val="0"/>
          <w:snapToGrid w:val="0"/>
          <w:color w:val="auto"/>
          <w:sz w:val="32"/>
          <w:szCs w:val="32"/>
          <w:highlight w:val="none"/>
          <w:lang w:val="en-US" w:eastAsia="zh-CN" w:bidi="ar-SA"/>
        </w:rPr>
        <w:t>每年</w:t>
      </w:r>
      <w:r>
        <w:rPr>
          <w:rFonts w:hint="eastAsia" w:cs="仿宋_GB2312"/>
          <w:b w:val="0"/>
          <w:bCs w:val="0"/>
          <w:snapToGrid w:val="0"/>
          <w:color w:val="auto"/>
          <w:sz w:val="32"/>
          <w:szCs w:val="32"/>
          <w:highlight w:val="none"/>
          <w:lang w:val="en-US" w:eastAsia="zh-CN" w:bidi="ar-SA"/>
        </w:rPr>
        <w:t>第一季度</w:t>
      </w:r>
      <w:r>
        <w:rPr>
          <w:rFonts w:hint="eastAsia" w:ascii="仿宋_GB2312" w:hAnsi="仿宋_GB2312" w:eastAsia="仿宋_GB2312" w:cs="仿宋_GB2312"/>
          <w:b w:val="0"/>
          <w:bCs w:val="0"/>
          <w:snapToGrid w:val="0"/>
          <w:color w:val="auto"/>
          <w:sz w:val="32"/>
          <w:szCs w:val="32"/>
          <w:highlight w:val="none"/>
          <w:lang w:val="en-US" w:eastAsia="zh-CN" w:bidi="ar-SA"/>
        </w:rPr>
        <w:t>计算上一年度（自然年1月1日至12月31日，不足一年的按一年计算）分值并生成等级，经</w:t>
      </w:r>
      <w:r>
        <w:rPr>
          <w:rFonts w:ascii="仿宋_GB2312" w:hAnsi="仿宋_GB2312" w:eastAsia="仿宋_GB2312" w:cs="仿宋_GB2312"/>
          <w:b w:val="0"/>
          <w:bCs w:val="0"/>
          <w:color w:val="auto"/>
          <w:kern w:val="2"/>
          <w:sz w:val="32"/>
          <w:szCs w:val="32"/>
          <w:highlight w:val="none"/>
        </w:rPr>
        <w:t>临空区（大兴）管委会</w:t>
      </w:r>
      <w:r>
        <w:rPr>
          <w:rFonts w:hint="eastAsia" w:ascii="仿宋_GB2312" w:hAnsi="仿宋_GB2312" w:eastAsia="仿宋_GB2312" w:cs="仿宋_GB2312"/>
          <w:b w:val="0"/>
          <w:bCs w:val="0"/>
          <w:snapToGrid w:val="0"/>
          <w:color w:val="auto"/>
          <w:sz w:val="32"/>
          <w:szCs w:val="32"/>
          <w:highlight w:val="none"/>
          <w:lang w:val="en-US" w:eastAsia="zh-CN" w:bidi="ar-SA"/>
        </w:rPr>
        <w:t>确认后形成信用评价结果</w:t>
      </w:r>
      <w:r>
        <w:rPr>
          <w:rFonts w:hint="eastAsia" w:ascii="仿宋_GB2312" w:hAnsi="仿宋_GB2312" w:cs="仿宋_GB2312"/>
          <w:b w:val="0"/>
          <w:bCs w:val="0"/>
          <w:snapToGrid w:val="0"/>
          <w:color w:val="auto"/>
          <w:sz w:val="32"/>
          <w:szCs w:val="32"/>
          <w:highlight w:val="none"/>
          <w:lang w:val="en-US" w:eastAsia="zh-CN" w:bidi="ar-SA"/>
        </w:rPr>
        <w:t>。</w:t>
      </w:r>
    </w:p>
    <w:p w14:paraId="29C2AC03">
      <w:pPr>
        <w:keepNext w:val="0"/>
        <w:keepLines w:val="0"/>
        <w:pageBreakBefore w:val="0"/>
        <w:kinsoku/>
        <w:wordWrap/>
        <w:overflowPunct/>
        <w:topLinePunct w:val="0"/>
        <w:autoSpaceDE/>
        <w:autoSpaceDN/>
        <w:bidi w:val="0"/>
        <w:adjustRightInd/>
        <w:snapToGrid/>
        <w:spacing w:beforeLines="0" w:afterLines="0" w:line="560" w:lineRule="exact"/>
        <w:ind w:firstLine="643"/>
        <w:textAlignment w:val="auto"/>
        <w:rPr>
          <w:rFonts w:hint="eastAsia" w:ascii="仿宋_GB2312" w:hAnsi="仿宋_GB2312" w:cs="仿宋_GB2312"/>
          <w:b w:val="0"/>
          <w:bCs w:val="0"/>
          <w:snapToGrid w:val="0"/>
          <w:color w:val="auto"/>
          <w:sz w:val="32"/>
          <w:szCs w:val="32"/>
          <w:highlight w:val="none"/>
          <w:lang w:val="en-US" w:eastAsia="zh-CN" w:bidi="ar-SA"/>
        </w:rPr>
      </w:pPr>
      <w:r>
        <w:rPr>
          <w:rFonts w:hint="eastAsia" w:ascii="仿宋_GB2312" w:hAnsi="仿宋_GB2312" w:eastAsia="仿宋_GB2312" w:cs="仿宋_GB2312"/>
          <w:i w:val="0"/>
          <w:iCs w:val="0"/>
          <w:caps w:val="0"/>
          <w:color w:val="auto"/>
          <w:spacing w:val="0"/>
          <w:sz w:val="32"/>
          <w:szCs w:val="32"/>
          <w:highlight w:val="none"/>
          <w:shd w:val="clear" w:color="auto" w:fill="auto"/>
        </w:rPr>
        <w:t>信用评价结果出现直接</w:t>
      </w:r>
      <w:r>
        <w:rPr>
          <w:rFonts w:hint="eastAsia" w:ascii="仿宋_GB2312" w:hAnsi="仿宋_GB2312" w:cs="仿宋_GB2312"/>
          <w:i w:val="0"/>
          <w:iCs w:val="0"/>
          <w:caps w:val="0"/>
          <w:color w:val="auto"/>
          <w:spacing w:val="0"/>
          <w:sz w:val="32"/>
          <w:szCs w:val="32"/>
          <w:highlight w:val="none"/>
          <w:shd w:val="clear" w:color="auto" w:fill="auto"/>
          <w:lang w:val="en-US" w:eastAsia="zh-CN"/>
        </w:rPr>
        <w:t>评定</w:t>
      </w:r>
      <w:r>
        <w:rPr>
          <w:rFonts w:hint="eastAsia" w:ascii="仿宋_GB2312" w:hAnsi="仿宋_GB2312" w:eastAsia="仿宋_GB2312" w:cs="仿宋_GB2312"/>
          <w:i w:val="0"/>
          <w:iCs w:val="0"/>
          <w:caps w:val="0"/>
          <w:color w:val="auto"/>
          <w:spacing w:val="0"/>
          <w:sz w:val="32"/>
          <w:szCs w:val="32"/>
          <w:highlight w:val="none"/>
          <w:shd w:val="clear" w:color="auto" w:fill="auto"/>
        </w:rPr>
        <w:t>为</w:t>
      </w:r>
      <w:r>
        <w:rPr>
          <w:rFonts w:hint="eastAsia" w:ascii="仿宋_GB2312" w:hAnsi="仿宋_GB2312" w:eastAsia="仿宋_GB2312" w:cs="仿宋_GB2312"/>
          <w:color w:val="auto"/>
          <w:highlight w:val="none"/>
          <w:lang w:val="en-US" w:eastAsia="zh-CN"/>
        </w:rPr>
        <w:t>C-、D</w:t>
      </w:r>
      <w:r>
        <w:rPr>
          <w:rFonts w:hint="eastAsia" w:cs="仿宋_GB2312"/>
          <w:color w:val="auto"/>
          <w:highlight w:val="none"/>
          <w:lang w:val="en-US" w:eastAsia="zh-CN"/>
        </w:rPr>
        <w:t>等次</w:t>
      </w:r>
      <w:r>
        <w:rPr>
          <w:rFonts w:hint="eastAsia" w:ascii="仿宋_GB2312" w:hAnsi="仿宋_GB2312" w:eastAsia="仿宋_GB2312" w:cs="仿宋_GB2312"/>
          <w:color w:val="auto"/>
          <w:highlight w:val="none"/>
          <w:lang w:val="en-US" w:eastAsia="zh-CN"/>
        </w:rPr>
        <w:t>情</w:t>
      </w:r>
      <w:r>
        <w:rPr>
          <w:rFonts w:hint="eastAsia" w:ascii="仿宋_GB2312" w:hAnsi="仿宋_GB2312" w:eastAsia="仿宋_GB2312" w:cs="仿宋_GB2312"/>
          <w:i w:val="0"/>
          <w:iCs w:val="0"/>
          <w:caps w:val="0"/>
          <w:color w:val="auto"/>
          <w:spacing w:val="0"/>
          <w:sz w:val="32"/>
          <w:szCs w:val="32"/>
          <w:highlight w:val="none"/>
          <w:shd w:val="clear" w:color="auto" w:fill="auto"/>
        </w:rPr>
        <w:t>形的，即时更新。</w:t>
      </w:r>
    </w:p>
    <w:p w14:paraId="660371B0">
      <w:pPr>
        <w:spacing w:beforeLines="0" w:afterLines="0" w:line="560" w:lineRule="exact"/>
        <w:ind w:firstLine="643" w:firstLineChars="200"/>
        <w:jc w:val="both"/>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bCs/>
          <w:snapToGrid/>
          <w:color w:val="auto"/>
          <w:kern w:val="2"/>
          <w:sz w:val="32"/>
          <w:szCs w:val="32"/>
          <w:highlight w:val="none"/>
        </w:rPr>
        <w:t>第十</w:t>
      </w:r>
      <w:r>
        <w:rPr>
          <w:rFonts w:hint="eastAsia" w:ascii="楷体_GB2312" w:hAnsi="楷体_GB2312" w:eastAsia="楷体_GB2312" w:cs="楷体_GB2312"/>
          <w:b/>
          <w:bCs/>
          <w:snapToGrid/>
          <w:color w:val="auto"/>
          <w:kern w:val="2"/>
          <w:sz w:val="32"/>
          <w:szCs w:val="32"/>
          <w:highlight w:val="none"/>
          <w:lang w:val="en-US" w:eastAsia="zh-CN"/>
        </w:rPr>
        <w:t>四</w:t>
      </w:r>
      <w:r>
        <w:rPr>
          <w:rFonts w:hint="eastAsia" w:ascii="楷体_GB2312" w:hAnsi="楷体_GB2312" w:eastAsia="楷体_GB2312" w:cs="楷体_GB2312"/>
          <w:b/>
          <w:bCs/>
          <w:snapToGrid/>
          <w:color w:val="auto"/>
          <w:kern w:val="2"/>
          <w:sz w:val="32"/>
          <w:szCs w:val="32"/>
          <w:highlight w:val="none"/>
        </w:rPr>
        <w:t>条【结果</w:t>
      </w:r>
      <w:r>
        <w:rPr>
          <w:rFonts w:hint="eastAsia" w:ascii="楷体_GB2312" w:hAnsi="楷体_GB2312" w:eastAsia="楷体_GB2312" w:cs="楷体_GB2312"/>
          <w:b/>
          <w:bCs/>
          <w:strike w:val="0"/>
          <w:snapToGrid/>
          <w:color w:val="auto"/>
          <w:kern w:val="2"/>
          <w:sz w:val="32"/>
          <w:szCs w:val="32"/>
          <w:highlight w:val="none"/>
          <w:lang w:val="en-US" w:eastAsia="zh-CN"/>
        </w:rPr>
        <w:t>公开</w:t>
      </w:r>
      <w:r>
        <w:rPr>
          <w:rFonts w:hint="eastAsia" w:ascii="楷体_GB2312" w:hAnsi="楷体_GB2312" w:eastAsia="楷体_GB2312" w:cs="楷体_GB2312"/>
          <w:b/>
          <w:bCs/>
          <w:snapToGrid/>
          <w:color w:val="auto"/>
          <w:kern w:val="2"/>
          <w:sz w:val="32"/>
          <w:szCs w:val="32"/>
          <w:highlight w:val="none"/>
        </w:rPr>
        <w:t>】</w:t>
      </w:r>
      <w:r>
        <w:rPr>
          <w:rFonts w:hint="default" w:ascii="仿宋_GB2312" w:hAnsi="仿宋_GB2312" w:eastAsia="仿宋_GB2312" w:cs="仿宋_GB2312"/>
          <w:b w:val="0"/>
          <w:bCs w:val="0"/>
          <w:strike w:val="0"/>
          <w:color w:val="auto"/>
          <w:sz w:val="32"/>
          <w:szCs w:val="32"/>
          <w:highlight w:val="none"/>
        </w:rPr>
        <w:t>信用评价等级结果</w:t>
      </w:r>
      <w:r>
        <w:rPr>
          <w:rFonts w:hint="eastAsia" w:ascii="仿宋_GB2312" w:hAnsi="仿宋_GB2312" w:eastAsia="仿宋_GB2312" w:cs="仿宋_GB2312"/>
          <w:i w:val="0"/>
          <w:iCs w:val="0"/>
          <w:caps w:val="0"/>
          <w:color w:val="auto"/>
          <w:spacing w:val="0"/>
          <w:sz w:val="32"/>
          <w:szCs w:val="32"/>
          <w:highlight w:val="none"/>
          <w:shd w:val="clear" w:color="auto" w:fill="auto"/>
        </w:rPr>
        <w:t>通过</w:t>
      </w:r>
      <w:r>
        <w:rPr>
          <w:rFonts w:hint="default" w:ascii="仿宋_GB2312" w:hAnsi="仿宋_GB2312" w:eastAsia="仿宋_GB2312" w:cs="仿宋_GB2312"/>
          <w:b w:val="0"/>
          <w:bCs w:val="0"/>
          <w:strike w:val="0"/>
          <w:color w:val="auto"/>
          <w:sz w:val="32"/>
          <w:szCs w:val="32"/>
          <w:highlight w:val="none"/>
        </w:rPr>
        <w:t>临空区官方网站</w:t>
      </w:r>
      <w:r>
        <w:rPr>
          <w:rFonts w:hint="eastAsia" w:ascii="仿宋_GB2312" w:hAnsi="仿宋_GB2312" w:cs="仿宋_GB2312"/>
          <w:i w:val="0"/>
          <w:iCs w:val="0"/>
          <w:caps w:val="0"/>
          <w:color w:val="auto"/>
          <w:spacing w:val="0"/>
          <w:sz w:val="32"/>
          <w:szCs w:val="32"/>
          <w:highlight w:val="none"/>
          <w:shd w:val="clear" w:color="auto" w:fill="auto"/>
          <w:lang w:eastAsia="zh-CN"/>
        </w:rPr>
        <w:t>、</w:t>
      </w:r>
      <w:r>
        <w:rPr>
          <w:rFonts w:hint="eastAsia" w:ascii="仿宋_GB2312" w:hAnsi="仿宋_GB2312" w:cs="仿宋_GB2312"/>
          <w:i w:val="0"/>
          <w:iCs w:val="0"/>
          <w:caps w:val="0"/>
          <w:color w:val="auto"/>
          <w:spacing w:val="0"/>
          <w:sz w:val="32"/>
          <w:szCs w:val="32"/>
          <w:highlight w:val="none"/>
          <w:shd w:val="clear" w:color="auto" w:fill="auto"/>
          <w:lang w:val="en-US" w:eastAsia="zh-CN"/>
        </w:rPr>
        <w:t>信用信息平台</w:t>
      </w:r>
      <w:r>
        <w:rPr>
          <w:rFonts w:hint="eastAsia" w:cs="仿宋_GB2312"/>
          <w:i w:val="0"/>
          <w:iCs w:val="0"/>
          <w:caps w:val="0"/>
          <w:color w:val="auto"/>
          <w:spacing w:val="0"/>
          <w:sz w:val="32"/>
          <w:szCs w:val="32"/>
          <w:highlight w:val="none"/>
          <w:shd w:val="clear" w:color="auto" w:fill="auto"/>
          <w:lang w:val="en-US" w:eastAsia="zh-CN"/>
        </w:rPr>
        <w:t>、</w:t>
      </w:r>
      <w:r>
        <w:rPr>
          <w:rFonts w:hint="eastAsia" w:cs="仿宋_GB2312"/>
          <w:snapToGrid w:val="0"/>
          <w:color w:val="auto"/>
          <w:kern w:val="0"/>
          <w:sz w:val="32"/>
          <w:szCs w:val="32"/>
          <w:highlight w:val="none"/>
          <w:lang w:val="en-US" w:eastAsia="zh-CN" w:bidi="ar-SA"/>
        </w:rPr>
        <w:t>政务服务</w:t>
      </w:r>
      <w:r>
        <w:rPr>
          <w:rFonts w:hint="eastAsia" w:ascii="仿宋_GB2312" w:hAnsi="仿宋_GB2312" w:eastAsia="仿宋_GB2312" w:cs="仿宋_GB2312"/>
          <w:snapToGrid w:val="0"/>
          <w:color w:val="auto"/>
          <w:kern w:val="0"/>
          <w:sz w:val="32"/>
          <w:szCs w:val="32"/>
          <w:highlight w:val="none"/>
          <w:lang w:val="en-US" w:eastAsia="zh-CN" w:bidi="ar-SA"/>
        </w:rPr>
        <w:t>移动终端、政务服务</w:t>
      </w:r>
      <w:r>
        <w:rPr>
          <w:rFonts w:hint="eastAsia" w:cs="仿宋_GB2312"/>
          <w:snapToGrid w:val="0"/>
          <w:color w:val="auto"/>
          <w:kern w:val="0"/>
          <w:sz w:val="32"/>
          <w:szCs w:val="32"/>
          <w:highlight w:val="none"/>
          <w:lang w:val="en-US" w:eastAsia="zh-CN" w:bidi="ar-SA"/>
        </w:rPr>
        <w:t>大厅办事</w:t>
      </w:r>
      <w:r>
        <w:rPr>
          <w:rFonts w:hint="eastAsia" w:ascii="仿宋_GB2312" w:hAnsi="仿宋_GB2312" w:eastAsia="仿宋_GB2312" w:cs="仿宋_GB2312"/>
          <w:snapToGrid w:val="0"/>
          <w:color w:val="auto"/>
          <w:kern w:val="0"/>
          <w:sz w:val="32"/>
          <w:szCs w:val="32"/>
          <w:highlight w:val="none"/>
          <w:lang w:val="en-US" w:eastAsia="zh-CN" w:bidi="ar-SA"/>
        </w:rPr>
        <w:t>窗口</w:t>
      </w:r>
      <w:r>
        <w:rPr>
          <w:rFonts w:hint="eastAsia" w:ascii="仿宋_GB2312" w:hAnsi="仿宋_GB2312" w:eastAsia="仿宋_GB2312" w:cs="仿宋_GB2312"/>
          <w:i w:val="0"/>
          <w:iCs w:val="0"/>
          <w:caps w:val="0"/>
          <w:color w:val="auto"/>
          <w:spacing w:val="0"/>
          <w:sz w:val="32"/>
          <w:szCs w:val="32"/>
          <w:highlight w:val="none"/>
          <w:shd w:val="clear" w:color="auto" w:fill="auto"/>
        </w:rPr>
        <w:t>以企业自查或授权查询方式</w:t>
      </w:r>
      <w:r>
        <w:rPr>
          <w:rFonts w:hint="eastAsia" w:cs="仿宋_GB2312"/>
          <w:i w:val="0"/>
          <w:iCs w:val="0"/>
          <w:caps w:val="0"/>
          <w:color w:val="auto"/>
          <w:spacing w:val="0"/>
          <w:sz w:val="32"/>
          <w:szCs w:val="32"/>
          <w:highlight w:val="none"/>
          <w:shd w:val="clear" w:color="auto" w:fill="auto"/>
          <w:lang w:val="en-US" w:eastAsia="zh-CN"/>
        </w:rPr>
        <w:t>向社会</w:t>
      </w:r>
      <w:r>
        <w:rPr>
          <w:rFonts w:hint="eastAsia" w:ascii="仿宋_GB2312" w:hAnsi="仿宋_GB2312" w:eastAsia="仿宋_GB2312" w:cs="仿宋_GB2312"/>
          <w:i w:val="0"/>
          <w:iCs w:val="0"/>
          <w:caps w:val="0"/>
          <w:color w:val="auto"/>
          <w:spacing w:val="0"/>
          <w:sz w:val="32"/>
          <w:szCs w:val="32"/>
          <w:highlight w:val="none"/>
          <w:shd w:val="clear" w:color="auto" w:fill="auto"/>
        </w:rPr>
        <w:t>公开。</w:t>
      </w:r>
    </w:p>
    <w:p w14:paraId="2532671D">
      <w:pPr>
        <w:pageBreakBefore w:val="0"/>
        <w:kinsoku/>
        <w:wordWrap/>
        <w:overflowPunct/>
        <w:topLinePunct w:val="0"/>
        <w:autoSpaceDE/>
        <w:autoSpaceDN/>
        <w:bidi w:val="0"/>
        <w:spacing w:line="560" w:lineRule="exact"/>
        <w:ind w:firstLine="643"/>
        <w:jc w:val="both"/>
        <w:rPr>
          <w:rFonts w:hint="default"/>
          <w:color w:val="auto"/>
          <w:highlight w:val="none"/>
        </w:rPr>
      </w:pPr>
      <w:r>
        <w:rPr>
          <w:rFonts w:hint="eastAsia" w:ascii="楷体_GB2312" w:hAnsi="楷体_GB2312" w:eastAsia="楷体_GB2312" w:cs="楷体_GB2312"/>
          <w:b/>
          <w:bCs/>
          <w:color w:val="auto"/>
          <w:szCs w:val="32"/>
          <w:highlight w:val="none"/>
        </w:rPr>
        <w:t>第十</w:t>
      </w:r>
      <w:r>
        <w:rPr>
          <w:rFonts w:hint="eastAsia" w:ascii="楷体_GB2312" w:hAnsi="楷体_GB2312" w:eastAsia="楷体_GB2312" w:cs="楷体_GB2312"/>
          <w:b/>
          <w:bCs/>
          <w:color w:val="auto"/>
          <w:szCs w:val="32"/>
          <w:highlight w:val="none"/>
          <w:lang w:val="en-US" w:eastAsia="zh-CN"/>
        </w:rPr>
        <w:t>五</w:t>
      </w:r>
      <w:r>
        <w:rPr>
          <w:rFonts w:hint="eastAsia" w:ascii="楷体_GB2312" w:hAnsi="楷体_GB2312" w:eastAsia="楷体_GB2312" w:cs="楷体_GB2312"/>
          <w:b/>
          <w:bCs/>
          <w:color w:val="auto"/>
          <w:szCs w:val="32"/>
          <w:highlight w:val="none"/>
        </w:rPr>
        <w:t>条【信用档案】</w:t>
      </w:r>
      <w:r>
        <w:rPr>
          <w:color w:val="auto"/>
          <w:highlight w:val="none"/>
        </w:rPr>
        <w:t>按照</w:t>
      </w:r>
      <w:r>
        <w:rPr>
          <w:rFonts w:hint="eastAsia"/>
          <w:color w:val="auto"/>
          <w:highlight w:val="none"/>
          <w:lang w:eastAsia="zh-CN"/>
        </w:rPr>
        <w:t>“</w:t>
      </w:r>
      <w:r>
        <w:rPr>
          <w:color w:val="auto"/>
          <w:highlight w:val="none"/>
        </w:rPr>
        <w:t>一主体一档案，一事件一记录</w:t>
      </w:r>
      <w:r>
        <w:rPr>
          <w:rFonts w:hint="eastAsia"/>
          <w:color w:val="auto"/>
          <w:highlight w:val="none"/>
          <w:lang w:eastAsia="zh-CN"/>
        </w:rPr>
        <w:t>”</w:t>
      </w:r>
      <w:r>
        <w:rPr>
          <w:color w:val="auto"/>
          <w:highlight w:val="none"/>
        </w:rPr>
        <w:t>的原则，建立临空区行政相对人的信用档案。依托信用信息平台</w:t>
      </w:r>
      <w:r>
        <w:rPr>
          <w:rFonts w:hint="eastAsia"/>
          <w:color w:val="auto"/>
          <w:highlight w:val="none"/>
          <w:lang w:eastAsia="zh-CN"/>
        </w:rPr>
        <w:t>，</w:t>
      </w:r>
      <w:r>
        <w:rPr>
          <w:rFonts w:hint="eastAsia"/>
          <w:color w:val="auto"/>
          <w:highlight w:val="none"/>
          <w:lang w:val="en-US" w:eastAsia="zh-CN"/>
        </w:rPr>
        <w:t>将</w:t>
      </w:r>
      <w:r>
        <w:rPr>
          <w:color w:val="auto"/>
          <w:highlight w:val="none"/>
        </w:rPr>
        <w:t>行政相对人相关信息数据以及证明材料、信用评价结果等信息一并记载或者存入电子信用档案，实现全流程可追溯。</w:t>
      </w:r>
    </w:p>
    <w:p w14:paraId="04C569EB">
      <w:pPr>
        <w:pageBreakBefore w:val="0"/>
        <w:kinsoku/>
        <w:wordWrap/>
        <w:overflowPunct/>
        <w:topLinePunct w:val="0"/>
        <w:autoSpaceDE/>
        <w:autoSpaceDN/>
        <w:bidi w:val="0"/>
        <w:spacing w:line="560" w:lineRule="exact"/>
        <w:ind w:firstLine="643"/>
        <w:jc w:val="both"/>
        <w:rPr>
          <w:rFonts w:hint="default"/>
          <w:color w:val="auto"/>
          <w:highlight w:val="none"/>
        </w:rPr>
      </w:pPr>
      <w:r>
        <w:rPr>
          <w:rFonts w:hint="eastAsia" w:ascii="楷体_GB2312" w:hAnsi="楷体_GB2312" w:eastAsia="楷体_GB2312" w:cs="楷体_GB2312"/>
          <w:b/>
          <w:bCs/>
          <w:color w:val="auto"/>
          <w:szCs w:val="32"/>
          <w:highlight w:val="none"/>
        </w:rPr>
        <w:t>第十</w:t>
      </w:r>
      <w:r>
        <w:rPr>
          <w:rFonts w:hint="eastAsia" w:ascii="楷体_GB2312" w:hAnsi="楷体_GB2312" w:eastAsia="楷体_GB2312" w:cs="楷体_GB2312"/>
          <w:b/>
          <w:bCs/>
          <w:color w:val="auto"/>
          <w:szCs w:val="32"/>
          <w:highlight w:val="none"/>
          <w:lang w:val="en-US" w:eastAsia="zh-CN"/>
        </w:rPr>
        <w:t>六</w:t>
      </w:r>
      <w:r>
        <w:rPr>
          <w:rFonts w:hint="eastAsia" w:ascii="楷体_GB2312" w:hAnsi="楷体_GB2312" w:eastAsia="楷体_GB2312" w:cs="楷体_GB2312"/>
          <w:b/>
          <w:bCs/>
          <w:color w:val="auto"/>
          <w:szCs w:val="32"/>
          <w:highlight w:val="none"/>
        </w:rPr>
        <w:t>条【评价结果管理】</w:t>
      </w:r>
      <w:r>
        <w:rPr>
          <w:color w:val="auto"/>
          <w:highlight w:val="none"/>
        </w:rPr>
        <w:t>临空区大兴</w:t>
      </w:r>
      <w:r>
        <w:rPr>
          <w:rFonts w:hint="eastAsia"/>
          <w:color w:val="auto"/>
          <w:highlight w:val="none"/>
          <w:lang w:val="en-US" w:eastAsia="zh-CN"/>
        </w:rPr>
        <w:t>片区</w:t>
      </w:r>
      <w:r>
        <w:rPr>
          <w:color w:val="auto"/>
          <w:highlight w:val="none"/>
        </w:rPr>
        <w:t>管委会建立信用信息交流与共享机制，</w:t>
      </w:r>
      <w:r>
        <w:rPr>
          <w:rFonts w:hint="eastAsia"/>
          <w:color w:val="auto"/>
          <w:highlight w:val="none"/>
          <w:lang w:val="en-US" w:eastAsia="zh-CN"/>
        </w:rPr>
        <w:t>及</w:t>
      </w:r>
      <w:r>
        <w:rPr>
          <w:color w:val="auto"/>
          <w:highlight w:val="none"/>
        </w:rPr>
        <w:t>时将信用评价结果共享至市区行业管理部门，推动信用信息依法在</w:t>
      </w:r>
      <w:r>
        <w:rPr>
          <w:rFonts w:hint="eastAsia"/>
          <w:color w:val="auto"/>
          <w:highlight w:val="none"/>
          <w:lang w:eastAsia="zh-CN"/>
        </w:rPr>
        <w:t>“</w:t>
      </w:r>
      <w:r>
        <w:rPr>
          <w:color w:val="auto"/>
          <w:highlight w:val="none"/>
        </w:rPr>
        <w:t>双随机</w:t>
      </w:r>
      <w:r>
        <w:rPr>
          <w:rFonts w:hint="eastAsia"/>
          <w:color w:val="auto"/>
          <w:highlight w:val="none"/>
          <w:lang w:eastAsia="zh-CN"/>
        </w:rPr>
        <w:t>”</w:t>
      </w:r>
      <w:r>
        <w:rPr>
          <w:color w:val="auto"/>
          <w:highlight w:val="none"/>
        </w:rPr>
        <w:t>检查、综合执法、政策激励等工作中参考应用。</w:t>
      </w:r>
    </w:p>
    <w:p w14:paraId="44FFC403">
      <w:pPr>
        <w:spacing w:line="560" w:lineRule="exact"/>
        <w:ind w:firstLine="643" w:firstLineChars="200"/>
        <w:rPr>
          <w:rFonts w:hint="eastAsia" w:ascii="仿宋_GB2312" w:hAnsi="仿宋_GB2312" w:eastAsia="仿宋_GB2312" w:cs="Times New Roman"/>
          <w:i w:val="0"/>
          <w:iCs w:val="0"/>
          <w:caps w:val="0"/>
          <w:color w:val="auto"/>
          <w:spacing w:val="0"/>
          <w:sz w:val="32"/>
          <w:szCs w:val="24"/>
          <w:highlight w:val="none"/>
          <w:u w:val="none"/>
          <w:vertAlign w:val="baseline"/>
        </w:rPr>
      </w:pPr>
      <w:r>
        <w:rPr>
          <w:rFonts w:hint="eastAsia" w:ascii="楷体_GB2312" w:hAnsi="楷体_GB2312" w:eastAsia="楷体_GB2312" w:cs="楷体_GB2312"/>
          <w:b/>
          <w:bCs/>
          <w:color w:val="auto"/>
          <w:szCs w:val="32"/>
          <w:highlight w:val="none"/>
        </w:rPr>
        <w:t>第十</w:t>
      </w:r>
      <w:r>
        <w:rPr>
          <w:rFonts w:hint="eastAsia" w:ascii="楷体_GB2312" w:hAnsi="楷体_GB2312" w:eastAsia="楷体_GB2312" w:cs="楷体_GB2312"/>
          <w:b/>
          <w:bCs/>
          <w:color w:val="auto"/>
          <w:szCs w:val="32"/>
          <w:highlight w:val="none"/>
          <w:lang w:val="en-US" w:eastAsia="zh-CN"/>
        </w:rPr>
        <w:t>七</w:t>
      </w:r>
      <w:r>
        <w:rPr>
          <w:rFonts w:hint="eastAsia" w:ascii="楷体_GB2312" w:hAnsi="楷体_GB2312" w:eastAsia="楷体_GB2312" w:cs="楷体_GB2312"/>
          <w:b/>
          <w:bCs/>
          <w:color w:val="auto"/>
          <w:szCs w:val="32"/>
          <w:highlight w:val="none"/>
        </w:rPr>
        <w:t>条【调整机制】</w:t>
      </w:r>
      <w:r>
        <w:rPr>
          <w:color w:val="auto"/>
          <w:highlight w:val="none"/>
        </w:rPr>
        <w:t>临空区</w:t>
      </w:r>
      <w:r>
        <w:rPr>
          <w:rFonts w:hint="eastAsia"/>
          <w:color w:val="auto"/>
          <w:highlight w:val="none"/>
        </w:rPr>
        <w:t>大兴片区</w:t>
      </w:r>
      <w:r>
        <w:rPr>
          <w:color w:val="auto"/>
          <w:highlight w:val="none"/>
        </w:rPr>
        <w:t>管委会根据区域发展和政策引导需要，</w:t>
      </w:r>
      <w:r>
        <w:rPr>
          <w:rFonts w:hint="eastAsia"/>
          <w:color w:val="auto"/>
          <w:highlight w:val="none"/>
          <w:lang w:val="en-US" w:eastAsia="zh-CN"/>
        </w:rPr>
        <w:t>对</w:t>
      </w:r>
      <w:r>
        <w:rPr>
          <w:color w:val="auto"/>
          <w:highlight w:val="none"/>
        </w:rPr>
        <w:t>临空区行政相对人</w:t>
      </w:r>
      <w:r>
        <w:rPr>
          <w:rFonts w:hint="eastAsia"/>
          <w:color w:val="auto"/>
          <w:highlight w:val="none"/>
          <w:lang w:val="en-US" w:eastAsia="zh-CN"/>
        </w:rPr>
        <w:t>信用评价评分细则、</w:t>
      </w:r>
      <w:r>
        <w:rPr>
          <w:color w:val="auto"/>
          <w:highlight w:val="none"/>
        </w:rPr>
        <w:t>信用评价指标</w:t>
      </w:r>
      <w:r>
        <w:rPr>
          <w:rFonts w:hint="eastAsia"/>
          <w:color w:val="auto"/>
          <w:highlight w:val="none"/>
          <w:lang w:val="en-US" w:eastAsia="zh-CN"/>
        </w:rPr>
        <w:t>项及权重</w:t>
      </w:r>
      <w:r>
        <w:rPr>
          <w:rFonts w:hint="eastAsia"/>
          <w:color w:val="auto"/>
          <w:highlight w:val="none"/>
          <w:lang w:eastAsia="zh-CN"/>
        </w:rPr>
        <w:t>、</w:t>
      </w:r>
      <w:r>
        <w:rPr>
          <w:rFonts w:hint="eastAsia" w:cs="Times New Roman"/>
          <w:color w:val="auto"/>
          <w:highlight w:val="none"/>
          <w:lang w:val="en-US" w:eastAsia="zh-CN"/>
        </w:rPr>
        <w:t>信用联动改革创新审批事项清单、</w:t>
      </w:r>
      <w:r>
        <w:rPr>
          <w:rFonts w:hint="eastAsia"/>
          <w:color w:val="auto"/>
          <w:highlight w:val="none"/>
          <w:lang w:val="en-US" w:eastAsia="zh-CN"/>
        </w:rPr>
        <w:t>信用</w:t>
      </w:r>
      <w:r>
        <w:rPr>
          <w:color w:val="auto"/>
          <w:highlight w:val="none"/>
        </w:rPr>
        <w:t>评价结果应用方案</w:t>
      </w:r>
      <w:r>
        <w:rPr>
          <w:rFonts w:hint="eastAsia" w:cs="Times New Roman"/>
          <w:color w:val="auto"/>
          <w:highlight w:val="none"/>
          <w:lang w:val="en-US" w:eastAsia="zh-CN"/>
        </w:rPr>
        <w:t>等实施动态管理，</w:t>
      </w:r>
      <w:r>
        <w:rPr>
          <w:rFonts w:hint="eastAsia" w:ascii="仿宋_GB2312" w:hAnsi="仿宋_GB2312" w:eastAsia="仿宋_GB2312" w:cs="Times New Roman"/>
          <w:i w:val="0"/>
          <w:iCs w:val="0"/>
          <w:caps w:val="0"/>
          <w:color w:val="auto"/>
          <w:spacing w:val="0"/>
          <w:sz w:val="32"/>
          <w:szCs w:val="24"/>
          <w:highlight w:val="none"/>
          <w:u w:val="none"/>
          <w:vertAlign w:val="baseline"/>
          <w:lang w:val="en-US" w:eastAsia="zh-CN"/>
        </w:rPr>
        <w:t>及时</w:t>
      </w:r>
      <w:r>
        <w:rPr>
          <w:rFonts w:hint="eastAsia" w:cs="Times New Roman"/>
          <w:i w:val="0"/>
          <w:iCs w:val="0"/>
          <w:caps w:val="0"/>
          <w:color w:val="auto"/>
          <w:spacing w:val="0"/>
          <w:sz w:val="32"/>
          <w:szCs w:val="24"/>
          <w:highlight w:val="none"/>
          <w:u w:val="none"/>
          <w:vertAlign w:val="baseline"/>
          <w:lang w:val="en-US" w:eastAsia="zh-CN"/>
        </w:rPr>
        <w:t>予以调整、更新和</w:t>
      </w:r>
      <w:r>
        <w:rPr>
          <w:rFonts w:hint="eastAsia" w:ascii="仿宋_GB2312" w:hAnsi="仿宋_GB2312" w:eastAsia="仿宋_GB2312" w:cs="Times New Roman"/>
          <w:i w:val="0"/>
          <w:iCs w:val="0"/>
          <w:caps w:val="0"/>
          <w:color w:val="auto"/>
          <w:spacing w:val="0"/>
          <w:sz w:val="32"/>
          <w:szCs w:val="24"/>
          <w:highlight w:val="none"/>
          <w:u w:val="none"/>
          <w:vertAlign w:val="baseline"/>
        </w:rPr>
        <w:t>对外发布。</w:t>
      </w:r>
    </w:p>
    <w:p w14:paraId="57BD8505">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firstLine="0" w:firstLineChars="0"/>
        <w:jc w:val="center"/>
        <w:textAlignment w:val="auto"/>
        <w:rPr>
          <w:rFonts w:hint="eastAsia" w:ascii="黑体" w:hAnsi="黑体" w:eastAsia="黑体" w:cs="黑体"/>
          <w:b w:val="0"/>
          <w:bCs w:val="0"/>
          <w:color w:val="auto"/>
          <w:highlight w:val="none"/>
        </w:rPr>
      </w:pPr>
      <w:bookmarkStart w:id="6" w:name="_Toc4244"/>
      <w:r>
        <w:rPr>
          <w:rFonts w:hint="eastAsia" w:ascii="黑体" w:hAnsi="黑体" w:eastAsia="黑体" w:cs="黑体"/>
          <w:b w:val="0"/>
          <w:bCs w:val="0"/>
          <w:color w:val="auto"/>
          <w:highlight w:val="none"/>
        </w:rPr>
        <w:t>全流程信</w:t>
      </w:r>
      <w:r>
        <w:rPr>
          <w:rFonts w:hint="eastAsia" w:ascii="黑体" w:hAnsi="黑体" w:eastAsia="黑体" w:cs="黑体"/>
          <w:b w:val="0"/>
          <w:bCs w:val="0"/>
          <w:color w:val="auto"/>
          <w:highlight w:val="none"/>
          <w:lang w:val="en-US" w:eastAsia="zh-CN"/>
        </w:rPr>
        <w:t>用</w:t>
      </w:r>
      <w:r>
        <w:rPr>
          <w:rFonts w:hint="eastAsia" w:ascii="黑体" w:hAnsi="黑体" w:eastAsia="黑体" w:cs="黑体"/>
          <w:b w:val="0"/>
          <w:bCs w:val="0"/>
          <w:color w:val="auto"/>
          <w:highlight w:val="none"/>
        </w:rPr>
        <w:t>应用管理</w:t>
      </w:r>
      <w:bookmarkEnd w:id="6"/>
    </w:p>
    <w:p w14:paraId="256B5B21">
      <w:pPr>
        <w:pageBreakBefore w:val="0"/>
        <w:kinsoku/>
        <w:wordWrap/>
        <w:overflowPunct/>
        <w:topLinePunct w:val="0"/>
        <w:autoSpaceDE/>
        <w:autoSpaceDN/>
        <w:bidi w:val="0"/>
        <w:spacing w:line="560" w:lineRule="exact"/>
        <w:ind w:firstLine="643"/>
        <w:jc w:val="both"/>
        <w:rPr>
          <w:rFonts w:hint="default"/>
          <w:color w:val="auto"/>
          <w:highlight w:val="none"/>
        </w:rPr>
      </w:pPr>
      <w:r>
        <w:rPr>
          <w:rFonts w:hint="eastAsia" w:ascii="楷体_GB2312" w:hAnsi="楷体_GB2312" w:eastAsia="楷体_GB2312" w:cs="楷体_GB2312"/>
          <w:b/>
          <w:bCs/>
          <w:color w:val="auto"/>
          <w:szCs w:val="32"/>
          <w:highlight w:val="none"/>
        </w:rPr>
        <w:t>第十</w:t>
      </w:r>
      <w:r>
        <w:rPr>
          <w:rFonts w:hint="eastAsia" w:ascii="楷体_GB2312" w:hAnsi="楷体_GB2312" w:eastAsia="楷体_GB2312" w:cs="楷体_GB2312"/>
          <w:b/>
          <w:bCs/>
          <w:color w:val="auto"/>
          <w:szCs w:val="32"/>
          <w:highlight w:val="none"/>
          <w:lang w:val="en-US" w:eastAsia="zh-CN"/>
        </w:rPr>
        <w:t>八</w:t>
      </w:r>
      <w:r>
        <w:rPr>
          <w:rFonts w:hint="eastAsia" w:ascii="楷体_GB2312" w:hAnsi="楷体_GB2312" w:eastAsia="楷体_GB2312" w:cs="楷体_GB2312"/>
          <w:b/>
          <w:bCs/>
          <w:color w:val="auto"/>
          <w:szCs w:val="32"/>
          <w:highlight w:val="none"/>
        </w:rPr>
        <w:t>条【诚信</w:t>
      </w:r>
      <w:r>
        <w:rPr>
          <w:rFonts w:hint="eastAsia" w:ascii="楷体_GB2312" w:hAnsi="楷体_GB2312" w:eastAsia="楷体_GB2312" w:cs="楷体_GB2312"/>
          <w:b/>
          <w:bCs/>
          <w:color w:val="auto"/>
          <w:szCs w:val="32"/>
          <w:highlight w:val="none"/>
          <w:lang w:val="en-US" w:eastAsia="zh-CN"/>
        </w:rPr>
        <w:t>宣传</w:t>
      </w:r>
      <w:r>
        <w:rPr>
          <w:rFonts w:hint="eastAsia" w:ascii="楷体_GB2312" w:hAnsi="楷体_GB2312" w:eastAsia="楷体_GB2312" w:cs="楷体_GB2312"/>
          <w:b/>
          <w:bCs/>
          <w:color w:val="auto"/>
          <w:szCs w:val="32"/>
          <w:highlight w:val="none"/>
        </w:rPr>
        <w:t>教育】</w:t>
      </w:r>
      <w:r>
        <w:rPr>
          <w:color w:val="auto"/>
          <w:highlight w:val="none"/>
        </w:rPr>
        <w:t>利用信用信息平台和政务服务窗口，在办理行政审批等相关业务时对行政相对人充分开展守法诚信宣传教育</w:t>
      </w:r>
      <w:r>
        <w:rPr>
          <w:rFonts w:hint="eastAsia"/>
          <w:color w:val="auto"/>
          <w:highlight w:val="none"/>
          <w:lang w:eastAsia="zh-CN"/>
        </w:rPr>
        <w:t>；</w:t>
      </w:r>
      <w:r>
        <w:rPr>
          <w:rFonts w:hint="eastAsia"/>
          <w:color w:val="auto"/>
          <w:highlight w:val="none"/>
          <w:lang w:val="en-US" w:eastAsia="zh-CN"/>
        </w:rPr>
        <w:t>利用临空区网站或者相关媒体，对诚实守信典型案例进行宣传推介；增强</w:t>
      </w:r>
      <w:r>
        <w:rPr>
          <w:color w:val="auto"/>
          <w:highlight w:val="none"/>
        </w:rPr>
        <w:t>行政相对人诚信意识</w:t>
      </w:r>
      <w:r>
        <w:rPr>
          <w:rFonts w:hint="eastAsia"/>
          <w:color w:val="auto"/>
          <w:highlight w:val="none"/>
          <w:lang w:val="en-US" w:eastAsia="zh-CN"/>
        </w:rPr>
        <w:t>和信用水平</w:t>
      </w:r>
      <w:r>
        <w:rPr>
          <w:color w:val="auto"/>
          <w:highlight w:val="none"/>
        </w:rPr>
        <w:t>。</w:t>
      </w:r>
    </w:p>
    <w:p w14:paraId="338CA92D">
      <w:pPr>
        <w:keepNext w:val="0"/>
        <w:keepLines w:val="0"/>
        <w:widowControl/>
        <w:suppressLineNumbers w:val="0"/>
        <w:spacing w:line="560" w:lineRule="exact"/>
        <w:ind w:firstLine="643" w:firstLineChars="200"/>
        <w:jc w:val="both"/>
        <w:rPr>
          <w:rFonts w:hint="eastAsia" w:ascii="仿宋_GB2312" w:hAnsi="仿宋_GB2312" w:eastAsia="仿宋_GB2312" w:cs="仿宋_GB2312"/>
          <w:color w:val="auto"/>
          <w:highlight w:val="none"/>
          <w:lang w:val="en-US" w:eastAsia="zh-CN"/>
        </w:rPr>
      </w:pPr>
      <w:r>
        <w:rPr>
          <w:rFonts w:hint="eastAsia" w:ascii="楷体_GB2312" w:hAnsi="楷体_GB2312" w:eastAsia="楷体_GB2312" w:cs="楷体_GB2312"/>
          <w:b/>
          <w:bCs/>
          <w:color w:val="auto"/>
          <w:szCs w:val="32"/>
          <w:highlight w:val="none"/>
        </w:rPr>
        <w:t>第</w:t>
      </w:r>
      <w:r>
        <w:rPr>
          <w:rFonts w:hint="eastAsia" w:ascii="楷体_GB2312" w:hAnsi="楷体_GB2312" w:eastAsia="楷体_GB2312" w:cs="楷体_GB2312"/>
          <w:b/>
          <w:bCs/>
          <w:color w:val="auto"/>
          <w:szCs w:val="32"/>
          <w:highlight w:val="none"/>
          <w:lang w:val="en-US" w:eastAsia="zh-CN"/>
        </w:rPr>
        <w:t>十九</w:t>
      </w:r>
      <w:r>
        <w:rPr>
          <w:rFonts w:hint="eastAsia" w:ascii="楷体_GB2312" w:hAnsi="楷体_GB2312" w:eastAsia="楷体_GB2312" w:cs="楷体_GB2312"/>
          <w:b/>
          <w:bCs/>
          <w:color w:val="auto"/>
          <w:szCs w:val="32"/>
          <w:highlight w:val="none"/>
        </w:rPr>
        <w:t>条【</w:t>
      </w:r>
      <w:r>
        <w:rPr>
          <w:rFonts w:hint="eastAsia" w:ascii="楷体_GB2312" w:hAnsi="楷体_GB2312" w:eastAsia="楷体_GB2312" w:cs="楷体_GB2312"/>
          <w:b/>
          <w:bCs/>
          <w:color w:val="auto"/>
          <w:szCs w:val="32"/>
          <w:highlight w:val="none"/>
          <w:lang w:val="en-US" w:eastAsia="zh-CN"/>
        </w:rPr>
        <w:t>事前信用核查与</w:t>
      </w:r>
      <w:r>
        <w:rPr>
          <w:rFonts w:hint="eastAsia" w:ascii="楷体_GB2312" w:hAnsi="楷体_GB2312" w:eastAsia="楷体_GB2312" w:cs="楷体_GB2312"/>
          <w:b/>
          <w:bCs/>
          <w:color w:val="auto"/>
          <w:szCs w:val="32"/>
          <w:highlight w:val="none"/>
        </w:rPr>
        <w:t>审批模式</w:t>
      </w:r>
      <w:r>
        <w:rPr>
          <w:rFonts w:hint="eastAsia" w:ascii="楷体_GB2312" w:hAnsi="楷体_GB2312" w:eastAsia="楷体_GB2312" w:cs="楷体_GB2312"/>
          <w:b/>
          <w:bCs/>
          <w:color w:val="auto"/>
          <w:szCs w:val="32"/>
          <w:highlight w:val="none"/>
          <w:lang w:val="en-US" w:eastAsia="zh-CN"/>
        </w:rPr>
        <w:t>适用</w:t>
      </w:r>
      <w:r>
        <w:rPr>
          <w:rFonts w:hint="eastAsia" w:ascii="楷体_GB2312" w:hAnsi="楷体_GB2312" w:eastAsia="楷体_GB2312" w:cs="楷体_GB2312"/>
          <w:b/>
          <w:bCs/>
          <w:color w:val="auto"/>
          <w:szCs w:val="32"/>
          <w:highlight w:val="none"/>
        </w:rPr>
        <w:t>】</w:t>
      </w:r>
      <w:r>
        <w:rPr>
          <w:rFonts w:hint="eastAsia" w:ascii="仿宋_GB2312" w:hAnsi="仿宋_GB2312" w:eastAsia="仿宋_GB2312" w:cs="仿宋_GB2312"/>
          <w:color w:val="auto"/>
          <w:highlight w:val="none"/>
        </w:rPr>
        <w:t>办理行政审批事</w:t>
      </w:r>
      <w:r>
        <w:rPr>
          <w:rFonts w:hint="eastAsia" w:ascii="仿宋_GB2312" w:hAnsi="仿宋_GB2312" w:eastAsia="仿宋_GB2312" w:cs="仿宋_GB2312"/>
          <w:color w:val="auto"/>
          <w:highlight w:val="none"/>
          <w:lang w:val="en-US" w:eastAsia="zh-CN"/>
        </w:rPr>
        <w:t>项前，由临空区大兴片区管委会审批部门对行政相对人进行信用等级前置核查，根据信用评价等级实行审批模式分类适用。</w:t>
      </w:r>
    </w:p>
    <w:p w14:paraId="79707203">
      <w:pPr>
        <w:keepNext w:val="0"/>
        <w:keepLines w:val="0"/>
        <w:widowControl/>
        <w:suppressLineNumbers w:val="0"/>
        <w:spacing w:line="560" w:lineRule="exact"/>
        <w:ind w:firstLine="640" w:firstLineChars="200"/>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对信用评定为A等次的行政相对人，在申请办理临空区大兴片区管委会行政权力范围内的政务服务事项过程中，可享受“一对一”上门帮办代办的“绿色通道”。</w:t>
      </w:r>
    </w:p>
    <w:p w14:paraId="66967D44">
      <w:pPr>
        <w:keepNext w:val="0"/>
        <w:keepLines w:val="0"/>
        <w:widowControl/>
        <w:suppressLineNumbers w:val="0"/>
        <w:spacing w:line="560" w:lineRule="exact"/>
        <w:ind w:firstLine="640" w:firstLineChars="200"/>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对信用评定为C等次及以上的行政相对人，可适用“告知承诺制”“备查制”“云踏勘”“规划环评与项目环评联动”“容缺后补”及临空区制定实施的其他改革创新审批模式（见附件3）。</w:t>
      </w:r>
    </w:p>
    <w:p w14:paraId="67D5BD1D">
      <w:pPr>
        <w:keepNext w:val="0"/>
        <w:keepLines w:val="0"/>
        <w:widowControl/>
        <w:suppressLineNumbers w:val="0"/>
        <w:spacing w:line="560" w:lineRule="exact"/>
        <w:ind w:firstLine="640" w:firstLineChars="200"/>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对信用评定为C-等次及以下的行政相对人，不予适用临空区改革创新审批模式，受理窗口负责告知行政相对人，按照法律、法规和规章的有关规定办理行政审批。</w:t>
      </w:r>
    </w:p>
    <w:p w14:paraId="08A88E32">
      <w:pPr>
        <w:pageBreakBefore w:val="0"/>
        <w:widowControl/>
        <w:kinsoku/>
        <w:wordWrap/>
        <w:overflowPunct/>
        <w:topLinePunct w:val="0"/>
        <w:autoSpaceDE/>
        <w:autoSpaceDN/>
        <w:bidi w:val="0"/>
        <w:spacing w:line="560" w:lineRule="exact"/>
        <w:ind w:firstLine="640"/>
        <w:rPr>
          <w:rFonts w:hint="eastAsia" w:ascii="仿宋_GB2312" w:hAnsi="仿宋_GB2312" w:eastAsia="仿宋_GB2312" w:cs="仿宋_GB2312"/>
          <w:color w:val="auto"/>
          <w:highlight w:val="none"/>
        </w:rPr>
      </w:pPr>
      <w:r>
        <w:rPr>
          <w:rFonts w:hint="eastAsia" w:ascii="楷体_GB2312" w:hAnsi="楷体_GB2312" w:eastAsia="楷体_GB2312" w:cs="楷体_GB2312"/>
          <w:b/>
          <w:bCs/>
          <w:color w:val="auto"/>
          <w:szCs w:val="32"/>
          <w:highlight w:val="none"/>
        </w:rPr>
        <w:t>第二十条【事中</w:t>
      </w:r>
      <w:r>
        <w:rPr>
          <w:rFonts w:hint="eastAsia" w:ascii="楷体_GB2312" w:hAnsi="楷体_GB2312" w:eastAsia="楷体_GB2312" w:cs="楷体_GB2312"/>
          <w:b/>
          <w:bCs/>
          <w:color w:val="auto"/>
          <w:szCs w:val="32"/>
          <w:highlight w:val="none"/>
          <w:lang w:val="en-US" w:eastAsia="zh-CN"/>
        </w:rPr>
        <w:t>信用</w:t>
      </w:r>
      <w:r>
        <w:rPr>
          <w:rFonts w:hint="eastAsia" w:ascii="楷体_GB2312" w:hAnsi="楷体_GB2312" w:eastAsia="楷体_GB2312" w:cs="楷体_GB2312"/>
          <w:b/>
          <w:bCs/>
          <w:color w:val="auto"/>
          <w:szCs w:val="32"/>
          <w:highlight w:val="none"/>
        </w:rPr>
        <w:t>分级管理】</w:t>
      </w:r>
      <w:r>
        <w:rPr>
          <w:rFonts w:hint="eastAsia" w:ascii="仿宋_GB2312" w:hAnsi="仿宋_GB2312" w:eastAsia="仿宋_GB2312" w:cs="仿宋_GB2312"/>
          <w:color w:val="auto"/>
          <w:highlight w:val="none"/>
          <w:lang w:val="en-US" w:eastAsia="zh-CN"/>
        </w:rPr>
        <w:t>临空区大兴片区管委会</w:t>
      </w:r>
      <w:r>
        <w:rPr>
          <w:rFonts w:hint="eastAsia" w:ascii="仿宋_GB2312" w:hAnsi="仿宋_GB2312" w:eastAsia="仿宋_GB2312" w:cs="仿宋_GB2312"/>
          <w:color w:val="auto"/>
          <w:highlight w:val="none"/>
        </w:rPr>
        <w:t>在履行</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告知承诺</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备查制</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云踏勘</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容缺后补</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等适用改革创新审批模式的</w:t>
      </w:r>
      <w:r>
        <w:rPr>
          <w:rFonts w:hint="eastAsia" w:ascii="仿宋_GB2312" w:hAnsi="仿宋_GB2312" w:eastAsia="仿宋_GB2312" w:cs="仿宋_GB2312"/>
          <w:color w:val="auto"/>
          <w:highlight w:val="none"/>
        </w:rPr>
        <w:t>事项</w:t>
      </w:r>
      <w:r>
        <w:rPr>
          <w:rFonts w:hint="eastAsia" w:ascii="仿宋_GB2312" w:hAnsi="仿宋_GB2312" w:eastAsia="仿宋_GB2312" w:cs="仿宋_GB2312"/>
          <w:color w:val="auto"/>
          <w:highlight w:val="none"/>
          <w:lang w:val="en-US" w:eastAsia="zh-CN"/>
        </w:rPr>
        <w:t>的核查</w:t>
      </w:r>
      <w:r>
        <w:rPr>
          <w:rFonts w:hint="eastAsia" w:ascii="仿宋_GB2312" w:hAnsi="仿宋_GB2312" w:eastAsia="仿宋_GB2312" w:cs="仿宋_GB2312"/>
          <w:color w:val="auto"/>
          <w:highlight w:val="none"/>
        </w:rPr>
        <w:t>过程中，按照信用评价结果进行分级管控和差别化管理。对信用评定为A级或B级的行政相对人，在跟踪检查周期、方式等方面，实施相对简约的核查；对评定为C</w:t>
      </w:r>
      <w:r>
        <w:rPr>
          <w:rFonts w:hint="eastAsia" w:ascii="仿宋_GB2312" w:hAnsi="仿宋_GB2312" w:eastAsia="仿宋_GB2312" w:cs="仿宋_GB2312"/>
          <w:color w:val="auto"/>
          <w:highlight w:val="none"/>
          <w:lang w:val="en-US" w:eastAsia="zh-CN"/>
        </w:rPr>
        <w:t>等次、C+等次</w:t>
      </w:r>
      <w:r>
        <w:rPr>
          <w:rFonts w:hint="eastAsia" w:ascii="仿宋_GB2312" w:hAnsi="仿宋_GB2312" w:eastAsia="仿宋_GB2312" w:cs="仿宋_GB2312"/>
          <w:color w:val="auto"/>
          <w:highlight w:val="none"/>
        </w:rPr>
        <w:t>的行政相对人，在跟踪检查周期、方式等方面，按照常规频次、方式进行核查</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对</w:t>
      </w:r>
      <w:r>
        <w:rPr>
          <w:rFonts w:hint="eastAsia" w:ascii="仿宋_GB2312" w:hAnsi="仿宋_GB2312" w:eastAsia="仿宋_GB2312" w:cs="仿宋_GB2312"/>
          <w:color w:val="auto"/>
          <w:highlight w:val="none"/>
          <w:lang w:val="en-US" w:eastAsia="zh-CN"/>
        </w:rPr>
        <w:t>评价周期内列为北京市重点关注对象</w:t>
      </w:r>
      <w:r>
        <w:rPr>
          <w:rFonts w:hint="eastAsia" w:ascii="仿宋_GB2312" w:hAnsi="仿宋_GB2312" w:eastAsia="仿宋_GB2312" w:cs="仿宋_GB2312"/>
          <w:color w:val="auto"/>
          <w:highlight w:val="none"/>
        </w:rPr>
        <w:t>的行政相对人</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rPr>
        <w:t>采取重点核查、增加检查比例和频次等</w:t>
      </w:r>
      <w:r>
        <w:rPr>
          <w:rFonts w:hint="eastAsia" w:ascii="仿宋_GB2312" w:hAnsi="仿宋_GB2312" w:eastAsia="仿宋_GB2312" w:cs="仿宋_GB2312"/>
          <w:color w:val="auto"/>
          <w:highlight w:val="none"/>
          <w:lang w:val="en-US" w:eastAsia="zh-CN"/>
        </w:rPr>
        <w:t>相对严格的</w:t>
      </w:r>
      <w:r>
        <w:rPr>
          <w:rFonts w:hint="eastAsia" w:ascii="仿宋_GB2312" w:hAnsi="仿宋_GB2312" w:eastAsia="仿宋_GB2312" w:cs="仿宋_GB2312"/>
          <w:color w:val="auto"/>
          <w:highlight w:val="none"/>
        </w:rPr>
        <w:t>管理措施。</w:t>
      </w:r>
    </w:p>
    <w:p w14:paraId="6AC9F0A6">
      <w:pPr>
        <w:pageBreakBefore w:val="0"/>
        <w:kinsoku/>
        <w:wordWrap/>
        <w:overflowPunct/>
        <w:topLinePunct w:val="0"/>
        <w:autoSpaceDE/>
        <w:autoSpaceDN/>
        <w:bidi w:val="0"/>
        <w:spacing w:line="560" w:lineRule="exact"/>
        <w:ind w:firstLine="643" w:firstLineChars="200"/>
        <w:jc w:val="both"/>
        <w:rPr>
          <w:rFonts w:hint="eastAsia" w:ascii="楷体_GB2312" w:hAnsi="楷体_GB2312" w:eastAsia="楷体_GB2312" w:cs="楷体_GB2312"/>
          <w:b/>
          <w:bCs/>
          <w:color w:val="auto"/>
          <w:szCs w:val="32"/>
          <w:highlight w:val="none"/>
        </w:rPr>
      </w:pPr>
      <w:r>
        <w:rPr>
          <w:rFonts w:hint="eastAsia" w:ascii="楷体_GB2312" w:hAnsi="楷体_GB2312" w:eastAsia="楷体_GB2312" w:cs="楷体_GB2312"/>
          <w:b/>
          <w:bCs/>
          <w:color w:val="auto"/>
          <w:szCs w:val="32"/>
          <w:highlight w:val="none"/>
        </w:rPr>
        <w:t>第二十</w:t>
      </w:r>
      <w:r>
        <w:rPr>
          <w:rFonts w:hint="eastAsia" w:ascii="楷体_GB2312" w:hAnsi="楷体_GB2312" w:eastAsia="楷体_GB2312" w:cs="楷体_GB2312"/>
          <w:b/>
          <w:bCs/>
          <w:color w:val="auto"/>
          <w:szCs w:val="32"/>
          <w:highlight w:val="none"/>
          <w:lang w:val="en-US" w:eastAsia="zh-CN"/>
        </w:rPr>
        <w:t>一</w:t>
      </w:r>
      <w:r>
        <w:rPr>
          <w:rFonts w:hint="eastAsia" w:ascii="楷体_GB2312" w:hAnsi="楷体_GB2312" w:eastAsia="楷体_GB2312" w:cs="楷体_GB2312"/>
          <w:b/>
          <w:bCs/>
          <w:color w:val="auto"/>
          <w:szCs w:val="32"/>
          <w:highlight w:val="none"/>
        </w:rPr>
        <w:t>条【</w:t>
      </w:r>
      <w:r>
        <w:rPr>
          <w:rFonts w:hint="eastAsia" w:ascii="楷体_GB2312" w:hAnsi="楷体_GB2312" w:eastAsia="楷体_GB2312" w:cs="楷体_GB2312"/>
          <w:b/>
          <w:bCs/>
          <w:color w:val="auto"/>
          <w:szCs w:val="32"/>
          <w:highlight w:val="none"/>
          <w:lang w:val="en-US" w:eastAsia="zh-CN"/>
        </w:rPr>
        <w:t>事后</w:t>
      </w:r>
      <w:r>
        <w:rPr>
          <w:rFonts w:hint="eastAsia" w:ascii="楷体_GB2312" w:hAnsi="楷体_GB2312" w:eastAsia="楷体_GB2312" w:cs="楷体_GB2312"/>
          <w:b/>
          <w:bCs/>
          <w:color w:val="auto"/>
          <w:szCs w:val="32"/>
          <w:highlight w:val="none"/>
        </w:rPr>
        <w:t>守信激励</w:t>
      </w:r>
      <w:r>
        <w:rPr>
          <w:rFonts w:hint="eastAsia" w:ascii="楷体_GB2312" w:hAnsi="楷体_GB2312" w:eastAsia="楷体_GB2312" w:cs="楷体_GB2312"/>
          <w:b/>
          <w:bCs/>
          <w:color w:val="auto"/>
          <w:szCs w:val="32"/>
          <w:highlight w:val="none"/>
          <w:lang w:val="en-US" w:eastAsia="zh-CN"/>
        </w:rPr>
        <w:t>和失信惩戒</w:t>
      </w:r>
      <w:r>
        <w:rPr>
          <w:rFonts w:hint="eastAsia" w:ascii="楷体_GB2312" w:hAnsi="楷体_GB2312" w:eastAsia="楷体_GB2312" w:cs="楷体_GB2312"/>
          <w:b/>
          <w:bCs/>
          <w:color w:val="auto"/>
          <w:szCs w:val="32"/>
          <w:highlight w:val="none"/>
        </w:rPr>
        <w:t>】</w:t>
      </w:r>
    </w:p>
    <w:p w14:paraId="6C600618">
      <w:pPr>
        <w:pageBreakBefore w:val="0"/>
        <w:widowControl/>
        <w:kinsoku/>
        <w:wordWrap/>
        <w:overflowPunct/>
        <w:topLinePunct w:val="0"/>
        <w:autoSpaceDE/>
        <w:autoSpaceDN/>
        <w:bidi w:val="0"/>
        <w:spacing w:line="560" w:lineRule="exact"/>
        <w:ind w:firstLine="64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对信用评定为A</w:t>
      </w:r>
      <w:r>
        <w:rPr>
          <w:rFonts w:hint="eastAsia" w:ascii="仿宋_GB2312" w:hAnsi="仿宋_GB2312" w:eastAsia="仿宋_GB2312" w:cs="仿宋_GB2312"/>
          <w:color w:val="auto"/>
          <w:highlight w:val="none"/>
          <w:lang w:val="en-US" w:eastAsia="zh-CN"/>
        </w:rPr>
        <w:t>级</w:t>
      </w:r>
      <w:r>
        <w:rPr>
          <w:rFonts w:hint="eastAsia" w:ascii="仿宋_GB2312" w:hAnsi="仿宋_GB2312" w:eastAsia="仿宋_GB2312" w:cs="仿宋_GB2312"/>
          <w:color w:val="auto"/>
          <w:highlight w:val="none"/>
        </w:rPr>
        <w:t>的行政相对人，</w:t>
      </w:r>
      <w:r>
        <w:rPr>
          <w:rFonts w:hint="eastAsia" w:ascii="仿宋_GB2312" w:hAnsi="仿宋_GB2312" w:eastAsia="仿宋_GB2312" w:cs="仿宋_GB2312"/>
          <w:color w:val="auto"/>
          <w:highlight w:val="none"/>
          <w:lang w:val="en-US" w:eastAsia="zh-CN"/>
        </w:rPr>
        <w:t>采取以下措施：</w:t>
      </w:r>
    </w:p>
    <w:p w14:paraId="11273766">
      <w:pPr>
        <w:pageBreakBefore w:val="0"/>
        <w:widowControl/>
        <w:kinsoku/>
        <w:wordWrap/>
        <w:overflowPunct/>
        <w:topLinePunct w:val="0"/>
        <w:autoSpaceDE/>
        <w:autoSpaceDN/>
        <w:bidi w:val="0"/>
        <w:spacing w:line="560" w:lineRule="exact"/>
        <w:ind w:firstLine="64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在临空区产业、人才</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融资</w:t>
      </w:r>
      <w:r>
        <w:rPr>
          <w:rFonts w:hint="eastAsia" w:ascii="仿宋_GB2312" w:hAnsi="仿宋_GB2312" w:eastAsia="仿宋_GB2312" w:cs="仿宋_GB2312"/>
          <w:color w:val="auto"/>
          <w:highlight w:val="none"/>
        </w:rPr>
        <w:t>等各类政府优惠政策实施中，同等条件下予以优先支持</w:t>
      </w:r>
      <w:r>
        <w:rPr>
          <w:rFonts w:hint="eastAsia" w:ascii="仿宋_GB2312" w:hAnsi="仿宋_GB2312" w:eastAsia="仿宋_GB2312" w:cs="仿宋_GB2312"/>
          <w:color w:val="auto"/>
          <w:highlight w:val="none"/>
          <w:lang w:eastAsia="zh-CN"/>
        </w:rPr>
        <w:t>；</w:t>
      </w:r>
    </w:p>
    <w:p w14:paraId="50133445">
      <w:pPr>
        <w:pageBreakBefore w:val="0"/>
        <w:widowControl/>
        <w:kinsoku/>
        <w:wordWrap/>
        <w:overflowPunct/>
        <w:topLinePunct w:val="0"/>
        <w:autoSpaceDE/>
        <w:autoSpaceDN/>
        <w:bidi w:val="0"/>
        <w:spacing w:line="560" w:lineRule="exact"/>
        <w:ind w:firstLine="64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通过临空区官方网站、信用信息平台、政务服务移动终端向社会公告，予以通报表扬。</w:t>
      </w:r>
    </w:p>
    <w:p w14:paraId="4EF00602">
      <w:pPr>
        <w:pageBreakBefore w:val="0"/>
        <w:widowControl/>
        <w:kinsoku/>
        <w:wordWrap/>
        <w:overflowPunct/>
        <w:topLinePunct w:val="0"/>
        <w:autoSpaceDE/>
        <w:autoSpaceDN/>
        <w:bidi w:val="0"/>
        <w:spacing w:line="560" w:lineRule="exact"/>
        <w:ind w:firstLine="64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对信用评定为</w:t>
      </w:r>
      <w:r>
        <w:rPr>
          <w:rFonts w:hint="eastAsia" w:ascii="仿宋_GB2312" w:hAnsi="仿宋_GB2312" w:eastAsia="仿宋_GB2312" w:cs="仿宋_GB2312"/>
          <w:color w:val="auto"/>
          <w:highlight w:val="none"/>
          <w:lang w:val="en-US" w:eastAsia="zh-CN"/>
        </w:rPr>
        <w:t>C-等次及以下</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采取以下措施：</w:t>
      </w:r>
    </w:p>
    <w:p w14:paraId="37D59A03">
      <w:pPr>
        <w:pageBreakBefore w:val="0"/>
        <w:widowControl/>
        <w:kinsoku/>
        <w:wordWrap/>
        <w:overflowPunct/>
        <w:topLinePunct w:val="0"/>
        <w:autoSpaceDE/>
        <w:autoSpaceDN/>
        <w:bidi w:val="0"/>
        <w:spacing w:line="560" w:lineRule="exact"/>
        <w:ind w:firstLine="64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一</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在办理政务服务事项中，采取重点核查、增加检查比例和频次等强化管理措施。</w:t>
      </w:r>
    </w:p>
    <w:p w14:paraId="42FAC4ED">
      <w:pPr>
        <w:pageBreakBefore w:val="0"/>
        <w:widowControl/>
        <w:kinsoku/>
        <w:wordWrap/>
        <w:overflowPunct/>
        <w:topLinePunct w:val="0"/>
        <w:autoSpaceDE/>
        <w:autoSpaceDN/>
        <w:bidi w:val="0"/>
        <w:spacing w:line="560" w:lineRule="exact"/>
        <w:ind w:firstLine="64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二</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采取信用提醒和诚信约谈等约束措施，督促其停止失信行为并进行整改。</w:t>
      </w:r>
    </w:p>
    <w:p w14:paraId="5D274CB7">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highlight w:val="none"/>
        </w:rPr>
      </w:pPr>
      <w:r>
        <w:rPr>
          <w:rFonts w:hint="eastAsia" w:ascii="楷体_GB2312" w:hAnsi="楷体_GB2312" w:eastAsia="楷体_GB2312" w:cs="楷体_GB2312"/>
          <w:b/>
          <w:bCs/>
          <w:color w:val="auto"/>
          <w:szCs w:val="32"/>
          <w:highlight w:val="none"/>
        </w:rPr>
        <w:t>第二十</w:t>
      </w:r>
      <w:r>
        <w:rPr>
          <w:rFonts w:hint="eastAsia" w:ascii="楷体_GB2312" w:hAnsi="楷体_GB2312" w:eastAsia="楷体_GB2312" w:cs="楷体_GB2312"/>
          <w:b/>
          <w:bCs/>
          <w:color w:val="auto"/>
          <w:szCs w:val="32"/>
          <w:highlight w:val="none"/>
          <w:lang w:val="en-US" w:eastAsia="zh-CN"/>
        </w:rPr>
        <w:t>二</w:t>
      </w:r>
      <w:r>
        <w:rPr>
          <w:rFonts w:hint="eastAsia" w:ascii="楷体_GB2312" w:hAnsi="楷体_GB2312" w:eastAsia="楷体_GB2312" w:cs="楷体_GB2312"/>
          <w:b/>
          <w:bCs/>
          <w:color w:val="auto"/>
          <w:szCs w:val="32"/>
          <w:highlight w:val="none"/>
        </w:rPr>
        <w:t>条【</w:t>
      </w:r>
      <w:r>
        <w:rPr>
          <w:rFonts w:hint="eastAsia" w:ascii="楷体_GB2312" w:hAnsi="楷体_GB2312" w:eastAsia="楷体_GB2312" w:cs="楷体_GB2312"/>
          <w:b/>
          <w:bCs/>
          <w:color w:val="auto"/>
          <w:szCs w:val="32"/>
          <w:highlight w:val="none"/>
          <w:lang w:val="en-US" w:eastAsia="zh-CN"/>
        </w:rPr>
        <w:t>事中事后信用联动管理</w:t>
      </w:r>
      <w:r>
        <w:rPr>
          <w:rFonts w:hint="eastAsia" w:ascii="楷体_GB2312" w:hAnsi="楷体_GB2312" w:eastAsia="楷体_GB2312" w:cs="楷体_GB2312"/>
          <w:b/>
          <w:bCs/>
          <w:color w:val="auto"/>
          <w:szCs w:val="32"/>
          <w:highlight w:val="none"/>
        </w:rPr>
        <w:t>】</w:t>
      </w:r>
      <w:r>
        <w:rPr>
          <w:rFonts w:hint="eastAsia" w:ascii="仿宋_GB2312" w:hAnsi="仿宋_GB2312" w:eastAsia="仿宋_GB2312" w:cs="仿宋_GB2312"/>
          <w:color w:val="auto"/>
          <w:highlight w:val="none"/>
          <w:lang w:val="en-US" w:eastAsia="zh-CN"/>
        </w:rPr>
        <w:t>临空区大兴片区管委会</w:t>
      </w:r>
      <w:r>
        <w:rPr>
          <w:rFonts w:hint="eastAsia" w:ascii="仿宋_GB2312" w:hAnsi="仿宋_GB2312" w:eastAsia="仿宋_GB2312" w:cs="仿宋_GB2312"/>
          <w:color w:val="auto"/>
          <w:highlight w:val="none"/>
        </w:rPr>
        <w:t>负责将行政相对人评价结果以实时查询、定期推送等方式与市区行业管理部门及时共享，</w:t>
      </w:r>
      <w:r>
        <w:rPr>
          <w:rFonts w:hint="eastAsia" w:ascii="仿宋_GB2312" w:hAnsi="仿宋_GB2312" w:eastAsia="仿宋_GB2312" w:cs="仿宋_GB2312"/>
          <w:color w:val="auto"/>
          <w:highlight w:val="none"/>
          <w:lang w:val="en-US" w:eastAsia="zh-CN"/>
        </w:rPr>
        <w:t>供</w:t>
      </w:r>
      <w:r>
        <w:rPr>
          <w:rFonts w:hint="eastAsia" w:ascii="仿宋_GB2312" w:hAnsi="仿宋_GB2312" w:eastAsia="仿宋_GB2312" w:cs="仿宋_GB2312"/>
          <w:color w:val="auto"/>
          <w:highlight w:val="none"/>
        </w:rPr>
        <w:t>市区行业管理部门在事中事后</w:t>
      </w:r>
      <w:r>
        <w:rPr>
          <w:rFonts w:hint="eastAsia" w:ascii="仿宋_GB2312" w:hAnsi="仿宋_GB2312" w:eastAsia="仿宋_GB2312" w:cs="仿宋_GB2312"/>
          <w:color w:val="auto"/>
          <w:highlight w:val="none"/>
          <w:lang w:val="en-US" w:eastAsia="zh-CN"/>
        </w:rPr>
        <w:t>监管执法中</w:t>
      </w:r>
      <w:r>
        <w:rPr>
          <w:rFonts w:hint="eastAsia" w:ascii="仿宋_GB2312" w:hAnsi="仿宋_GB2312" w:eastAsia="仿宋_GB2312" w:cs="仿宋_GB2312"/>
          <w:color w:val="auto"/>
          <w:highlight w:val="none"/>
        </w:rPr>
        <w:t>参考使用</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rPr>
        <w:t>对拒不履行义务、</w:t>
      </w:r>
      <w:r>
        <w:rPr>
          <w:rFonts w:hint="eastAsia" w:ascii="仿宋_GB2312" w:hAnsi="仿宋_GB2312" w:eastAsia="仿宋_GB2312" w:cs="仿宋_GB2312"/>
          <w:color w:val="auto"/>
          <w:highlight w:val="none"/>
          <w:lang w:val="en-US" w:eastAsia="zh-CN"/>
        </w:rPr>
        <w:t>纠正失信行为、</w:t>
      </w:r>
      <w:r>
        <w:rPr>
          <w:rFonts w:hint="eastAsia" w:ascii="仿宋_GB2312" w:hAnsi="仿宋_GB2312" w:eastAsia="仿宋_GB2312" w:cs="仿宋_GB2312"/>
          <w:color w:val="auto"/>
          <w:highlight w:val="none"/>
        </w:rPr>
        <w:t>消除不良影响的</w:t>
      </w:r>
      <w:r>
        <w:rPr>
          <w:rFonts w:hint="eastAsia" w:ascii="仿宋_GB2312" w:hAnsi="仿宋_GB2312" w:eastAsia="仿宋_GB2312" w:cs="仿宋_GB2312"/>
          <w:color w:val="auto"/>
          <w:highlight w:val="none"/>
          <w:lang w:val="en-US" w:eastAsia="zh-CN"/>
        </w:rPr>
        <w:t>行政相对人</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可</w:t>
      </w:r>
      <w:r>
        <w:rPr>
          <w:rFonts w:hint="eastAsia" w:ascii="仿宋_GB2312" w:hAnsi="仿宋_GB2312" w:eastAsia="仿宋_GB2312" w:cs="仿宋_GB2312"/>
          <w:color w:val="auto"/>
          <w:highlight w:val="none"/>
        </w:rPr>
        <w:t>建议相关行业管理部门依法依规采取惩戒措施。</w:t>
      </w:r>
    </w:p>
    <w:p w14:paraId="117E2A31">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157" w:afterLines="50" w:line="560" w:lineRule="exact"/>
        <w:ind w:firstLine="0" w:firstLineChars="0"/>
        <w:jc w:val="center"/>
        <w:textAlignment w:val="auto"/>
        <w:rPr>
          <w:rFonts w:hint="eastAsia" w:ascii="黑体" w:hAnsi="黑体" w:eastAsia="黑体" w:cs="黑体"/>
          <w:b w:val="0"/>
          <w:bCs w:val="0"/>
          <w:color w:val="auto"/>
          <w:highlight w:val="none"/>
        </w:rPr>
      </w:pPr>
      <w:bookmarkStart w:id="7" w:name="_Toc5669"/>
      <w:r>
        <w:rPr>
          <w:rFonts w:hint="eastAsia" w:ascii="黑体" w:hAnsi="黑体" w:eastAsia="黑体" w:cs="黑体"/>
          <w:b w:val="0"/>
          <w:bCs w:val="0"/>
          <w:color w:val="auto"/>
          <w:highlight w:val="none"/>
        </w:rPr>
        <w:t>权益保护</w:t>
      </w:r>
      <w:bookmarkEnd w:id="7"/>
    </w:p>
    <w:p w14:paraId="3E5F1909">
      <w:pPr>
        <w:pageBreakBefore w:val="0"/>
        <w:widowControl/>
        <w:kinsoku/>
        <w:wordWrap/>
        <w:overflowPunct/>
        <w:topLinePunct w:val="0"/>
        <w:autoSpaceDE/>
        <w:autoSpaceDN/>
        <w:bidi w:val="0"/>
        <w:spacing w:beforeLines="0" w:afterLines="0" w:line="560" w:lineRule="exact"/>
        <w:ind w:firstLine="643"/>
        <w:rPr>
          <w:rFonts w:hint="default" w:ascii="仿宋_GB2312" w:hAnsi="仿宋_GB2312" w:eastAsia="仿宋_GB2312" w:cs="仿宋_GB2312"/>
          <w:snapToGrid w:val="0"/>
          <w:color w:val="auto"/>
          <w:kern w:val="0"/>
          <w:sz w:val="32"/>
          <w:szCs w:val="32"/>
          <w:highlight w:val="none"/>
          <w:lang w:val="en-US" w:eastAsia="zh-CN" w:bidi="ar-SA"/>
        </w:rPr>
      </w:pPr>
      <w:r>
        <w:rPr>
          <w:rFonts w:hint="eastAsia" w:ascii="楷体_GB2312" w:hAnsi="楷体_GB2312" w:eastAsia="楷体_GB2312" w:cs="楷体_GB2312"/>
          <w:b/>
          <w:bCs/>
          <w:snapToGrid/>
          <w:color w:val="auto"/>
          <w:kern w:val="2"/>
          <w:szCs w:val="32"/>
          <w:highlight w:val="none"/>
        </w:rPr>
        <w:t>第二十</w:t>
      </w:r>
      <w:r>
        <w:rPr>
          <w:rFonts w:hint="eastAsia" w:ascii="楷体_GB2312" w:hAnsi="楷体_GB2312" w:eastAsia="楷体_GB2312" w:cs="楷体_GB2312"/>
          <w:b/>
          <w:bCs/>
          <w:snapToGrid/>
          <w:color w:val="auto"/>
          <w:kern w:val="2"/>
          <w:szCs w:val="32"/>
          <w:highlight w:val="none"/>
          <w:lang w:val="en-US" w:eastAsia="zh-CN"/>
        </w:rPr>
        <w:t>三</w:t>
      </w:r>
      <w:r>
        <w:rPr>
          <w:rFonts w:hint="eastAsia" w:ascii="楷体_GB2312" w:hAnsi="楷体_GB2312" w:eastAsia="楷体_GB2312" w:cs="楷体_GB2312"/>
          <w:b/>
          <w:bCs/>
          <w:snapToGrid/>
          <w:color w:val="auto"/>
          <w:kern w:val="2"/>
          <w:szCs w:val="32"/>
          <w:highlight w:val="none"/>
        </w:rPr>
        <w:t>条【信用查询】</w:t>
      </w:r>
      <w:r>
        <w:rPr>
          <w:rFonts w:hint="eastAsia" w:ascii="仿宋_GB2312" w:hAnsi="仿宋_GB2312" w:eastAsia="仿宋_GB2312" w:cs="仿宋_GB2312"/>
          <w:snapToGrid w:val="0"/>
          <w:color w:val="auto"/>
          <w:kern w:val="0"/>
          <w:sz w:val="32"/>
          <w:szCs w:val="32"/>
          <w:highlight w:val="none"/>
          <w:lang w:val="en-US" w:eastAsia="zh-CN" w:bidi="ar-SA"/>
        </w:rPr>
        <w:t>行政相对人</w:t>
      </w:r>
      <w:r>
        <w:rPr>
          <w:rFonts w:hint="default" w:ascii="仿宋_GB2312" w:hAnsi="仿宋_GB2312" w:eastAsia="仿宋_GB2312" w:cs="仿宋_GB2312"/>
          <w:snapToGrid w:val="0"/>
          <w:color w:val="auto"/>
          <w:kern w:val="0"/>
          <w:sz w:val="32"/>
          <w:szCs w:val="32"/>
          <w:highlight w:val="none"/>
          <w:lang w:val="en-US" w:eastAsia="zh-CN" w:bidi="ar-SA"/>
        </w:rPr>
        <w:t>可通过临空区官方网站</w:t>
      </w:r>
      <w:r>
        <w:rPr>
          <w:rFonts w:hint="eastAsia" w:ascii="仿宋_GB2312" w:hAnsi="仿宋_GB2312" w:eastAsia="仿宋_GB2312" w:cs="仿宋_GB2312"/>
          <w:snapToGrid w:val="0"/>
          <w:color w:val="auto"/>
          <w:kern w:val="0"/>
          <w:sz w:val="32"/>
          <w:szCs w:val="32"/>
          <w:highlight w:val="none"/>
          <w:lang w:val="en-US" w:eastAsia="zh-CN" w:bidi="ar-SA"/>
        </w:rPr>
        <w:t>、</w:t>
      </w:r>
      <w:r>
        <w:rPr>
          <w:rFonts w:hint="default" w:ascii="仿宋_GB2312" w:hAnsi="仿宋_GB2312" w:eastAsia="仿宋_GB2312" w:cs="仿宋_GB2312"/>
          <w:snapToGrid w:val="0"/>
          <w:color w:val="auto"/>
          <w:kern w:val="0"/>
          <w:sz w:val="32"/>
          <w:szCs w:val="32"/>
          <w:highlight w:val="none"/>
          <w:lang w:val="en-US" w:eastAsia="zh-CN" w:bidi="ar-SA"/>
        </w:rPr>
        <w:t>信用信息平台</w:t>
      </w:r>
      <w:r>
        <w:rPr>
          <w:rFonts w:hint="eastAsia" w:ascii="仿宋_GB2312" w:hAnsi="仿宋_GB2312" w:eastAsia="仿宋_GB2312" w:cs="仿宋_GB2312"/>
          <w:snapToGrid w:val="0"/>
          <w:color w:val="auto"/>
          <w:kern w:val="0"/>
          <w:sz w:val="32"/>
          <w:szCs w:val="32"/>
          <w:highlight w:val="none"/>
          <w:lang w:val="en-US" w:eastAsia="zh-CN" w:bidi="ar-SA"/>
        </w:rPr>
        <w:t>、</w:t>
      </w:r>
      <w:r>
        <w:rPr>
          <w:rFonts w:hint="eastAsia" w:cs="仿宋_GB2312"/>
          <w:snapToGrid w:val="0"/>
          <w:color w:val="auto"/>
          <w:kern w:val="0"/>
          <w:sz w:val="32"/>
          <w:szCs w:val="32"/>
          <w:highlight w:val="none"/>
          <w:lang w:val="en-US" w:eastAsia="zh-CN" w:bidi="ar-SA"/>
        </w:rPr>
        <w:t>政务服务</w:t>
      </w:r>
      <w:r>
        <w:rPr>
          <w:rFonts w:hint="eastAsia" w:ascii="仿宋_GB2312" w:hAnsi="仿宋_GB2312" w:eastAsia="仿宋_GB2312" w:cs="仿宋_GB2312"/>
          <w:snapToGrid w:val="0"/>
          <w:color w:val="auto"/>
          <w:kern w:val="0"/>
          <w:sz w:val="32"/>
          <w:szCs w:val="32"/>
          <w:highlight w:val="none"/>
          <w:lang w:val="en-US" w:eastAsia="zh-CN" w:bidi="ar-SA"/>
        </w:rPr>
        <w:t>移动终端、政务服务</w:t>
      </w:r>
      <w:r>
        <w:rPr>
          <w:rFonts w:hint="eastAsia" w:cs="仿宋_GB2312"/>
          <w:snapToGrid w:val="0"/>
          <w:color w:val="auto"/>
          <w:kern w:val="0"/>
          <w:sz w:val="32"/>
          <w:szCs w:val="32"/>
          <w:highlight w:val="none"/>
          <w:lang w:val="en-US" w:eastAsia="zh-CN" w:bidi="ar-SA"/>
        </w:rPr>
        <w:t>大厅办事</w:t>
      </w:r>
      <w:r>
        <w:rPr>
          <w:rFonts w:hint="eastAsia" w:ascii="仿宋_GB2312" w:hAnsi="仿宋_GB2312" w:eastAsia="仿宋_GB2312" w:cs="仿宋_GB2312"/>
          <w:snapToGrid w:val="0"/>
          <w:color w:val="auto"/>
          <w:kern w:val="0"/>
          <w:sz w:val="32"/>
          <w:szCs w:val="32"/>
          <w:highlight w:val="none"/>
          <w:lang w:val="en-US" w:eastAsia="zh-CN" w:bidi="ar-SA"/>
        </w:rPr>
        <w:t>窗口等途径</w:t>
      </w:r>
      <w:r>
        <w:rPr>
          <w:rFonts w:hint="eastAsia" w:ascii="仿宋_GB2312" w:hAnsi="仿宋_GB2312" w:cs="仿宋_GB2312"/>
          <w:snapToGrid w:val="0"/>
          <w:color w:val="auto"/>
          <w:kern w:val="0"/>
          <w:sz w:val="32"/>
          <w:szCs w:val="32"/>
          <w:highlight w:val="none"/>
          <w:lang w:val="en-US" w:eastAsia="zh-CN" w:bidi="ar-SA"/>
        </w:rPr>
        <w:t>免费</w:t>
      </w:r>
      <w:r>
        <w:rPr>
          <w:rFonts w:hint="default" w:ascii="仿宋_GB2312" w:hAnsi="仿宋_GB2312" w:eastAsia="仿宋_GB2312" w:cs="仿宋_GB2312"/>
          <w:snapToGrid w:val="0"/>
          <w:color w:val="auto"/>
          <w:kern w:val="0"/>
          <w:sz w:val="32"/>
          <w:szCs w:val="32"/>
          <w:highlight w:val="none"/>
          <w:lang w:val="en-US" w:eastAsia="zh-CN" w:bidi="ar-SA"/>
        </w:rPr>
        <w:t>查询</w:t>
      </w:r>
      <w:r>
        <w:rPr>
          <w:rFonts w:hint="eastAsia" w:ascii="仿宋_GB2312" w:hAnsi="仿宋_GB2312" w:cs="仿宋_GB2312"/>
          <w:snapToGrid w:val="0"/>
          <w:color w:val="auto"/>
          <w:kern w:val="0"/>
          <w:sz w:val="32"/>
          <w:szCs w:val="32"/>
          <w:highlight w:val="none"/>
          <w:lang w:val="en-US" w:eastAsia="zh-CN" w:bidi="ar-SA"/>
        </w:rPr>
        <w:t>自身信用评价等级结果及信用报告</w:t>
      </w:r>
      <w:r>
        <w:rPr>
          <w:rFonts w:hint="eastAsia" w:ascii="仿宋_GB2312" w:hAnsi="仿宋_GB2312" w:eastAsia="仿宋_GB2312" w:cs="仿宋_GB2312"/>
          <w:snapToGrid w:val="0"/>
          <w:color w:val="auto"/>
          <w:kern w:val="0"/>
          <w:sz w:val="32"/>
          <w:szCs w:val="32"/>
          <w:highlight w:val="none"/>
          <w:lang w:val="en-US" w:eastAsia="zh-CN" w:bidi="ar-SA"/>
        </w:rPr>
        <w:t>，</w:t>
      </w:r>
      <w:r>
        <w:rPr>
          <w:rFonts w:hint="default" w:ascii="仿宋_GB2312" w:hAnsi="仿宋_GB2312" w:eastAsia="仿宋_GB2312" w:cs="仿宋_GB2312"/>
          <w:snapToGrid w:val="0"/>
          <w:color w:val="auto"/>
          <w:kern w:val="0"/>
          <w:sz w:val="32"/>
          <w:szCs w:val="32"/>
          <w:highlight w:val="none"/>
          <w:lang w:val="en-US" w:eastAsia="zh-CN" w:bidi="ar-SA"/>
        </w:rPr>
        <w:t>查询</w:t>
      </w:r>
      <w:r>
        <w:rPr>
          <w:rFonts w:hint="eastAsia" w:ascii="仿宋_GB2312" w:hAnsi="仿宋_GB2312" w:cs="仿宋_GB2312"/>
          <w:snapToGrid w:val="0"/>
          <w:color w:val="auto"/>
          <w:kern w:val="0"/>
          <w:sz w:val="32"/>
          <w:szCs w:val="32"/>
          <w:highlight w:val="none"/>
          <w:lang w:val="en-US" w:eastAsia="zh-CN" w:bidi="ar-SA"/>
        </w:rPr>
        <w:t>其他行政相对人</w:t>
      </w:r>
      <w:r>
        <w:rPr>
          <w:rFonts w:hint="default" w:ascii="仿宋_GB2312" w:hAnsi="仿宋_GB2312" w:eastAsia="仿宋_GB2312" w:cs="仿宋_GB2312"/>
          <w:snapToGrid w:val="0"/>
          <w:color w:val="auto"/>
          <w:kern w:val="0"/>
          <w:sz w:val="32"/>
          <w:szCs w:val="32"/>
          <w:highlight w:val="none"/>
          <w:lang w:val="en-US" w:eastAsia="zh-CN" w:bidi="ar-SA"/>
        </w:rPr>
        <w:t>信息的，应当经被查询人书面</w:t>
      </w:r>
      <w:r>
        <w:rPr>
          <w:rFonts w:hint="eastAsia" w:ascii="仿宋_GB2312" w:hAnsi="仿宋_GB2312" w:cs="仿宋_GB2312"/>
          <w:snapToGrid w:val="0"/>
          <w:color w:val="auto"/>
          <w:kern w:val="0"/>
          <w:sz w:val="32"/>
          <w:szCs w:val="32"/>
          <w:highlight w:val="none"/>
          <w:lang w:val="en-US" w:eastAsia="zh-CN" w:bidi="ar-SA"/>
        </w:rPr>
        <w:t>授权</w:t>
      </w:r>
      <w:r>
        <w:rPr>
          <w:rFonts w:hint="default" w:ascii="仿宋_GB2312" w:hAnsi="仿宋_GB2312" w:eastAsia="仿宋_GB2312" w:cs="仿宋_GB2312"/>
          <w:snapToGrid w:val="0"/>
          <w:color w:val="auto"/>
          <w:kern w:val="0"/>
          <w:sz w:val="32"/>
          <w:szCs w:val="32"/>
          <w:highlight w:val="none"/>
          <w:lang w:val="en-US" w:eastAsia="zh-CN" w:bidi="ar-SA"/>
        </w:rPr>
        <w:t>同意，但法律、法规另有规定的除外。</w:t>
      </w:r>
    </w:p>
    <w:p w14:paraId="1FA02133">
      <w:pPr>
        <w:pStyle w:val="9"/>
        <w:pageBreakBefore w:val="0"/>
        <w:shd w:val="clear" w:color="auto" w:fill="FFFFFF"/>
        <w:kinsoku/>
        <w:wordWrap/>
        <w:overflowPunct/>
        <w:topLinePunct w:val="0"/>
        <w:autoSpaceDE/>
        <w:autoSpaceDN/>
        <w:bidi w:val="0"/>
        <w:spacing w:before="0" w:beforeLines="0" w:beforeAutospacing="0" w:after="0" w:afterLines="0" w:afterAutospacing="0" w:line="560" w:lineRule="exact"/>
        <w:ind w:firstLine="643"/>
        <w:jc w:val="both"/>
        <w:rPr>
          <w:rFonts w:ascii="仿宋_GB2312" w:hAnsi="仿宋_GB2312" w:cs="仿宋_GB2312"/>
          <w:color w:val="auto"/>
          <w:sz w:val="32"/>
          <w:szCs w:val="32"/>
          <w:highlight w:val="none"/>
          <w:lang w:bidi="ar"/>
        </w:rPr>
      </w:pPr>
      <w:r>
        <w:rPr>
          <w:rFonts w:hint="eastAsia" w:ascii="楷体_GB2312" w:hAnsi="楷体_GB2312" w:eastAsia="楷体_GB2312" w:cs="楷体_GB2312"/>
          <w:b/>
          <w:bCs/>
          <w:color w:val="auto"/>
          <w:kern w:val="2"/>
          <w:sz w:val="32"/>
          <w:szCs w:val="32"/>
          <w:highlight w:val="none"/>
        </w:rPr>
        <w:t>第二十</w:t>
      </w:r>
      <w:r>
        <w:rPr>
          <w:rFonts w:hint="eastAsia" w:ascii="楷体_GB2312" w:hAnsi="楷体_GB2312" w:eastAsia="楷体_GB2312" w:cs="楷体_GB2312"/>
          <w:b/>
          <w:bCs/>
          <w:color w:val="auto"/>
          <w:kern w:val="2"/>
          <w:sz w:val="32"/>
          <w:szCs w:val="32"/>
          <w:highlight w:val="none"/>
          <w:lang w:val="en-US" w:eastAsia="zh-CN"/>
        </w:rPr>
        <w:t>四</w:t>
      </w:r>
      <w:r>
        <w:rPr>
          <w:rFonts w:hint="eastAsia" w:ascii="楷体_GB2312" w:hAnsi="楷体_GB2312" w:eastAsia="楷体_GB2312" w:cs="楷体_GB2312"/>
          <w:b/>
          <w:bCs/>
          <w:color w:val="auto"/>
          <w:kern w:val="2"/>
          <w:sz w:val="32"/>
          <w:szCs w:val="32"/>
          <w:highlight w:val="none"/>
        </w:rPr>
        <w:t>条【异议处理】</w:t>
      </w:r>
      <w:r>
        <w:rPr>
          <w:rFonts w:hint="eastAsia" w:ascii="仿宋_GB2312" w:hAnsi="仿宋_GB2312" w:eastAsia="仿宋_GB2312" w:cs="仿宋_GB2312"/>
          <w:color w:val="auto"/>
          <w:sz w:val="32"/>
          <w:szCs w:val="32"/>
          <w:highlight w:val="none"/>
          <w:lang w:bidi="ar"/>
        </w:rPr>
        <w:t>行政相对人认为信用信息与事实不符或者侵犯其合法权益的，可以通过信用信息平台或</w:t>
      </w:r>
      <w:r>
        <w:rPr>
          <w:rFonts w:hint="eastAsia" w:cs="仿宋_GB2312"/>
          <w:color w:val="auto"/>
          <w:sz w:val="32"/>
          <w:szCs w:val="32"/>
          <w:highlight w:val="none"/>
          <w:lang w:val="en-US" w:eastAsia="zh-CN" w:bidi="ar"/>
        </w:rPr>
        <w:t>办事</w:t>
      </w:r>
      <w:r>
        <w:rPr>
          <w:rFonts w:hint="eastAsia" w:ascii="仿宋_GB2312" w:hAnsi="仿宋_GB2312" w:eastAsia="仿宋_GB2312" w:cs="仿宋_GB2312"/>
          <w:snapToGrid w:val="0"/>
          <w:color w:val="auto"/>
          <w:kern w:val="0"/>
          <w:sz w:val="32"/>
          <w:szCs w:val="32"/>
          <w:highlight w:val="none"/>
          <w:lang w:val="en-US" w:eastAsia="zh-CN" w:bidi="ar-SA"/>
        </w:rPr>
        <w:t>窗口</w:t>
      </w:r>
      <w:r>
        <w:rPr>
          <w:rFonts w:hint="eastAsia" w:ascii="仿宋_GB2312" w:hAnsi="仿宋_GB2312" w:eastAsia="仿宋_GB2312" w:cs="仿宋_GB2312"/>
          <w:color w:val="auto"/>
          <w:sz w:val="32"/>
          <w:szCs w:val="32"/>
          <w:highlight w:val="none"/>
          <w:lang w:bidi="ar"/>
        </w:rPr>
        <w:t>提出异议申请，填写</w:t>
      </w:r>
      <w:r>
        <w:rPr>
          <w:rFonts w:hint="eastAsia" w:ascii="仿宋_GB2312" w:hAnsi="仿宋_GB2312" w:eastAsia="仿宋_GB2312" w:cs="仿宋_GB2312"/>
          <w:color w:val="auto"/>
          <w:sz w:val="32"/>
          <w:szCs w:val="32"/>
          <w:highlight w:val="none"/>
        </w:rPr>
        <w:t>并提交《北京大兴国际机场临空经济区（北京部分）行政相对人信用异议申请表》（</w:t>
      </w:r>
      <w:r>
        <w:rPr>
          <w:rFonts w:hint="eastAsia" w:cs="仿宋_GB2312"/>
          <w:color w:val="auto"/>
          <w:sz w:val="32"/>
          <w:szCs w:val="32"/>
          <w:highlight w:val="none"/>
          <w:lang w:val="en-US" w:eastAsia="zh-CN"/>
        </w:rPr>
        <w:t>详</w:t>
      </w:r>
      <w:r>
        <w:rPr>
          <w:rFonts w:hint="eastAsia" w:ascii="仿宋_GB2312" w:hAnsi="仿宋_GB2312" w:eastAsia="仿宋_GB2312" w:cs="仿宋_GB2312"/>
          <w:color w:val="auto"/>
          <w:sz w:val="32"/>
          <w:szCs w:val="32"/>
          <w:highlight w:val="none"/>
        </w:rPr>
        <w:t>见附件</w:t>
      </w:r>
      <w:r>
        <w:rPr>
          <w:rFonts w:hint="eastAsia"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Calibri Light" w:hAnsi="Calibri Light" w:eastAsia="仿宋_GB2312" w:cs="仿宋_GB2312"/>
          <w:b w:val="0"/>
          <w:bCs w:val="0"/>
          <w:color w:val="auto"/>
          <w:kern w:val="2"/>
          <w:sz w:val="32"/>
          <w:szCs w:val="32"/>
          <w:highlight w:val="none"/>
          <w:lang w:val="en-US" w:eastAsia="zh-CN"/>
        </w:rPr>
        <w:t>临空区大兴片区管委会</w:t>
      </w:r>
      <w:r>
        <w:rPr>
          <w:rFonts w:hint="eastAsia" w:ascii="仿宋_GB2312" w:hAnsi="仿宋_GB2312" w:eastAsia="仿宋_GB2312" w:cs="仿宋_GB2312"/>
          <w:color w:val="auto"/>
          <w:sz w:val="32"/>
          <w:szCs w:val="32"/>
          <w:highlight w:val="none"/>
          <w:lang w:bidi="ar"/>
        </w:rPr>
        <w:t>应当在接到异议申请后7个工作日内完成异议申请的核查与处理，并向异议申请人反馈核查处理结果。</w:t>
      </w:r>
    </w:p>
    <w:p w14:paraId="38245AE8">
      <w:pPr>
        <w:pageBreakBefore w:val="0"/>
        <w:kinsoku/>
        <w:wordWrap/>
        <w:overflowPunct/>
        <w:topLinePunct w:val="0"/>
        <w:autoSpaceDE/>
        <w:autoSpaceDN/>
        <w:bidi w:val="0"/>
        <w:spacing w:beforeLines="0" w:afterLines="0" w:line="560" w:lineRule="exact"/>
        <w:ind w:firstLine="643"/>
        <w:rPr>
          <w:b/>
          <w:bCs/>
          <w:color w:val="auto"/>
          <w:szCs w:val="32"/>
          <w:highlight w:val="none"/>
        </w:rPr>
      </w:pPr>
      <w:r>
        <w:rPr>
          <w:rFonts w:hint="eastAsia" w:ascii="楷体_GB2312" w:hAnsi="楷体_GB2312" w:eastAsia="楷体_GB2312" w:cs="楷体_GB2312"/>
          <w:b/>
          <w:bCs/>
          <w:snapToGrid/>
          <w:color w:val="auto"/>
          <w:kern w:val="2"/>
          <w:szCs w:val="32"/>
          <w:highlight w:val="none"/>
        </w:rPr>
        <w:t>第二十</w:t>
      </w:r>
      <w:r>
        <w:rPr>
          <w:rFonts w:hint="eastAsia" w:ascii="楷体_GB2312" w:hAnsi="楷体_GB2312" w:eastAsia="楷体_GB2312" w:cs="楷体_GB2312"/>
          <w:b/>
          <w:bCs/>
          <w:snapToGrid/>
          <w:color w:val="auto"/>
          <w:kern w:val="2"/>
          <w:szCs w:val="32"/>
          <w:highlight w:val="none"/>
          <w:lang w:val="en-US" w:eastAsia="zh-CN"/>
        </w:rPr>
        <w:t>五</w:t>
      </w:r>
      <w:r>
        <w:rPr>
          <w:rFonts w:hint="eastAsia" w:ascii="楷体_GB2312" w:hAnsi="楷体_GB2312" w:eastAsia="楷体_GB2312" w:cs="楷体_GB2312"/>
          <w:b/>
          <w:bCs/>
          <w:snapToGrid/>
          <w:color w:val="auto"/>
          <w:kern w:val="2"/>
          <w:szCs w:val="32"/>
          <w:highlight w:val="none"/>
        </w:rPr>
        <w:t>条【信用修复】</w:t>
      </w:r>
      <w:r>
        <w:rPr>
          <w:rFonts w:hint="eastAsia" w:ascii="仿宋_GB2312" w:hAnsi="仿宋_GB2312" w:eastAsia="仿宋_GB2312" w:cs="仿宋_GB2312"/>
          <w:b w:val="0"/>
          <w:bCs w:val="0"/>
          <w:snapToGrid w:val="0"/>
          <w:color w:val="auto"/>
          <w:kern w:val="0"/>
          <w:szCs w:val="32"/>
          <w:highlight w:val="none"/>
          <w:lang w:val="en-US" w:eastAsia="zh-CN"/>
        </w:rPr>
        <w:t>行政相对人</w:t>
      </w:r>
      <w:r>
        <w:rPr>
          <w:rFonts w:hint="eastAsia" w:ascii="仿宋_GB2312" w:hAnsi="仿宋_GB2312" w:cs="仿宋_GB2312"/>
          <w:color w:val="auto"/>
          <w:szCs w:val="32"/>
          <w:highlight w:val="none"/>
        </w:rPr>
        <w:t>依照《北京市失信信息信用修复与异议处理办法（暂行）》</w:t>
      </w:r>
      <w:r>
        <w:rPr>
          <w:rFonts w:hint="eastAsia" w:cs="仿宋_GB2312"/>
          <w:color w:val="auto"/>
          <w:szCs w:val="32"/>
          <w:highlight w:val="none"/>
          <w:lang w:val="en-US" w:eastAsia="zh-CN"/>
        </w:rPr>
        <w:t>等相关法律法规</w:t>
      </w:r>
      <w:r>
        <w:rPr>
          <w:rFonts w:hint="eastAsia" w:ascii="仿宋_GB2312" w:hAnsi="仿宋_GB2312" w:cs="仿宋_GB2312"/>
          <w:color w:val="auto"/>
          <w:szCs w:val="32"/>
          <w:highlight w:val="none"/>
        </w:rPr>
        <w:t>规定，依托国家、市、区级信用平台网站开展</w:t>
      </w:r>
      <w:r>
        <w:rPr>
          <w:rFonts w:hint="eastAsia" w:ascii="仿宋_GB2312" w:hAnsi="仿宋_GB2312" w:cs="仿宋_GB2312"/>
          <w:color w:val="auto"/>
          <w:szCs w:val="32"/>
          <w:highlight w:val="none"/>
          <w:lang w:val="en-US" w:eastAsia="zh-CN"/>
        </w:rPr>
        <w:t>信用修复</w:t>
      </w:r>
      <w:r>
        <w:rPr>
          <w:rFonts w:hint="eastAsia" w:ascii="仿宋_GB2312" w:hAnsi="仿宋_GB2312" w:cs="仿宋_GB2312"/>
          <w:color w:val="auto"/>
          <w:szCs w:val="32"/>
          <w:highlight w:val="none"/>
        </w:rPr>
        <w:t>，临空区内信用修复信息与市区信息联动，自动更新</w:t>
      </w:r>
      <w:r>
        <w:rPr>
          <w:rFonts w:hint="default" w:cs="仿宋_GB2312"/>
          <w:color w:val="auto"/>
          <w:szCs w:val="32"/>
          <w:highlight w:val="none"/>
        </w:rPr>
        <w:t>。</w:t>
      </w:r>
      <w:r>
        <w:rPr>
          <w:rFonts w:hint="eastAsia" w:ascii="仿宋_GB2312" w:hAnsi="仿宋_GB2312" w:cs="仿宋_GB2312"/>
          <w:b w:val="0"/>
          <w:bCs w:val="0"/>
          <w:color w:val="auto"/>
          <w:szCs w:val="32"/>
          <w:highlight w:val="none"/>
          <w:lang w:val="en-US" w:eastAsia="zh-CN"/>
        </w:rPr>
        <w:t>对未体现在信用</w:t>
      </w:r>
      <w:r>
        <w:rPr>
          <w:rFonts w:hint="eastAsia" w:cs="仿宋_GB2312"/>
          <w:b w:val="0"/>
          <w:bCs w:val="0"/>
          <w:color w:val="auto"/>
          <w:szCs w:val="32"/>
          <w:highlight w:val="none"/>
          <w:lang w:val="en-US" w:eastAsia="zh-CN"/>
        </w:rPr>
        <w:t>中国（北京）</w:t>
      </w:r>
      <w:r>
        <w:rPr>
          <w:rFonts w:hint="eastAsia" w:ascii="仿宋_GB2312" w:hAnsi="仿宋_GB2312" w:cs="仿宋_GB2312"/>
          <w:b w:val="0"/>
          <w:bCs w:val="0"/>
          <w:color w:val="auto"/>
          <w:szCs w:val="32"/>
          <w:highlight w:val="none"/>
          <w:lang w:val="en-US" w:eastAsia="zh-CN"/>
        </w:rPr>
        <w:t>平台</w:t>
      </w:r>
      <w:r>
        <w:rPr>
          <w:rFonts w:hint="eastAsia" w:cs="仿宋_GB2312"/>
          <w:b w:val="0"/>
          <w:bCs w:val="0"/>
          <w:color w:val="auto"/>
          <w:szCs w:val="32"/>
          <w:highlight w:val="none"/>
          <w:lang w:val="en-US" w:eastAsia="zh-CN"/>
        </w:rPr>
        <w:t>、</w:t>
      </w:r>
      <w:r>
        <w:rPr>
          <w:rFonts w:hint="eastAsia" w:ascii="仿宋_GB2312" w:hAnsi="仿宋_GB2312" w:cs="仿宋_GB2312"/>
          <w:b w:val="0"/>
          <w:bCs w:val="0"/>
          <w:color w:val="auto"/>
          <w:szCs w:val="32"/>
          <w:highlight w:val="none"/>
          <w:lang w:val="en-US" w:eastAsia="zh-CN"/>
        </w:rPr>
        <w:t>由</w:t>
      </w:r>
      <w:r>
        <w:rPr>
          <w:rFonts w:hint="eastAsia" w:cs="仿宋_GB2312"/>
          <w:b w:val="0"/>
          <w:bCs w:val="0"/>
          <w:color w:val="auto"/>
          <w:szCs w:val="32"/>
          <w:highlight w:val="none"/>
          <w:lang w:val="en-US" w:eastAsia="zh-CN"/>
        </w:rPr>
        <w:t>临空区</w:t>
      </w:r>
      <w:r>
        <w:rPr>
          <w:rFonts w:hint="eastAsia" w:ascii="仿宋_GB2312" w:hAnsi="仿宋_GB2312" w:cs="仿宋_GB2312"/>
          <w:b w:val="0"/>
          <w:bCs w:val="0"/>
          <w:color w:val="auto"/>
          <w:szCs w:val="32"/>
          <w:highlight w:val="none"/>
          <w:lang w:val="en-US" w:eastAsia="zh-CN"/>
        </w:rPr>
        <w:t>大兴片区管委会履行职权及服务中产生的信用信息，</w:t>
      </w:r>
      <w:r>
        <w:rPr>
          <w:rFonts w:hint="eastAsia" w:ascii="仿宋_GB2312" w:hAnsi="仿宋_GB2312" w:cs="仿宋_GB2312"/>
          <w:color w:val="auto"/>
          <w:szCs w:val="32"/>
          <w:highlight w:val="none"/>
          <w:lang w:val="en-US" w:eastAsia="zh-CN"/>
        </w:rPr>
        <w:t>在完成整改且临空区大兴片区管委会相关部门审核确认后</w:t>
      </w:r>
      <w:r>
        <w:rPr>
          <w:rFonts w:hint="eastAsia" w:ascii="仿宋_GB2312" w:hAnsi="仿宋_GB2312" w:cs="仿宋_GB2312"/>
          <w:color w:val="auto"/>
          <w:szCs w:val="32"/>
          <w:highlight w:val="none"/>
        </w:rPr>
        <w:t>自动修复，无需申请</w:t>
      </w:r>
      <w:r>
        <w:rPr>
          <w:rFonts w:hint="eastAsia" w:ascii="仿宋_GB2312" w:hAnsi="仿宋_GB2312" w:cs="仿宋_GB2312"/>
          <w:color w:val="auto"/>
          <w:szCs w:val="32"/>
          <w:highlight w:val="none"/>
          <w:lang w:eastAsia="zh-CN"/>
        </w:rPr>
        <w:t>。</w:t>
      </w:r>
    </w:p>
    <w:p w14:paraId="489C0370">
      <w:pPr>
        <w:bidi w:val="0"/>
        <w:spacing w:line="560" w:lineRule="exact"/>
        <w:ind w:firstLine="643" w:firstLineChars="200"/>
        <w:rPr>
          <w:rFonts w:hint="default"/>
          <w:color w:val="auto"/>
          <w:highlight w:val="none"/>
        </w:rPr>
      </w:pPr>
      <w:bookmarkStart w:id="8" w:name="_Toc29769"/>
      <w:r>
        <w:rPr>
          <w:rFonts w:hint="eastAsia" w:ascii="楷体_GB2312" w:hAnsi="楷体_GB2312" w:eastAsia="楷体_GB2312" w:cs="楷体_GB2312"/>
          <w:b/>
          <w:bCs/>
          <w:color w:val="auto"/>
          <w:szCs w:val="32"/>
          <w:highlight w:val="none"/>
        </w:rPr>
        <w:t>第二十</w:t>
      </w:r>
      <w:r>
        <w:rPr>
          <w:rFonts w:hint="eastAsia" w:ascii="楷体_GB2312" w:hAnsi="楷体_GB2312" w:eastAsia="楷体_GB2312" w:cs="楷体_GB2312"/>
          <w:b/>
          <w:bCs/>
          <w:color w:val="auto"/>
          <w:szCs w:val="32"/>
          <w:highlight w:val="none"/>
          <w:lang w:val="en-US" w:eastAsia="zh-CN"/>
        </w:rPr>
        <w:t>六</w:t>
      </w:r>
      <w:r>
        <w:rPr>
          <w:rFonts w:hint="eastAsia" w:ascii="楷体_GB2312" w:hAnsi="楷体_GB2312" w:eastAsia="楷体_GB2312" w:cs="楷体_GB2312"/>
          <w:b/>
          <w:bCs/>
          <w:color w:val="auto"/>
          <w:szCs w:val="32"/>
          <w:highlight w:val="none"/>
        </w:rPr>
        <w:t>条【管理主体责任】</w:t>
      </w:r>
      <w:r>
        <w:rPr>
          <w:rFonts w:hint="eastAsia"/>
          <w:color w:val="auto"/>
          <w:highlight w:val="none"/>
          <w:lang w:val="en-US" w:eastAsia="zh-CN"/>
        </w:rPr>
        <w:t>临空区大兴片区管委会信用</w:t>
      </w:r>
      <w:r>
        <w:rPr>
          <w:color w:val="auto"/>
          <w:highlight w:val="none"/>
        </w:rPr>
        <w:t>工作人员应严格遵守</w:t>
      </w:r>
      <w:r>
        <w:rPr>
          <w:rFonts w:hint="eastAsia"/>
          <w:color w:val="auto"/>
          <w:highlight w:val="none"/>
          <w:lang w:val="en-US" w:eastAsia="zh-CN"/>
        </w:rPr>
        <w:t>国家和</w:t>
      </w:r>
      <w:r>
        <w:rPr>
          <w:color w:val="auto"/>
          <w:highlight w:val="none"/>
        </w:rPr>
        <w:t>北京市</w:t>
      </w:r>
      <w:r>
        <w:rPr>
          <w:rFonts w:hint="eastAsia"/>
          <w:color w:val="auto"/>
          <w:highlight w:val="none"/>
          <w:lang w:val="en-US" w:eastAsia="zh-CN"/>
        </w:rPr>
        <w:t>关于</w:t>
      </w:r>
      <w:r>
        <w:rPr>
          <w:color w:val="auto"/>
          <w:highlight w:val="none"/>
        </w:rPr>
        <w:t>公共信用信息安全管理的规定，按照要求记录、提供和使用信用信息，不得未按照规定处理异议申请，不得篡改、虚构、隐匿信用信息，不得违规删除、披露信用信息。</w:t>
      </w:r>
      <w:bookmarkEnd w:id="8"/>
    </w:p>
    <w:p w14:paraId="2E6178D7">
      <w:pPr>
        <w:numPr>
          <w:ilvl w:val="0"/>
          <w:numId w:val="1"/>
        </w:numPr>
        <w:bidi w:val="0"/>
        <w:snapToGrid w:val="0"/>
        <w:spacing w:before="157" w:beforeLines="50" w:after="157" w:afterLines="50" w:line="560" w:lineRule="exact"/>
        <w:ind w:left="0" w:leftChars="0"/>
        <w:jc w:val="center"/>
        <w:rPr>
          <w:rFonts w:hint="eastAsia" w:ascii="黑体" w:hAnsi="黑体" w:eastAsia="黑体" w:cs="黑体"/>
          <w:b w:val="0"/>
          <w:bCs w:val="0"/>
          <w:color w:val="auto"/>
          <w:highlight w:val="none"/>
        </w:rPr>
      </w:pPr>
      <w:bookmarkStart w:id="9" w:name="_Toc20145"/>
      <w:r>
        <w:rPr>
          <w:rFonts w:hint="eastAsia" w:ascii="黑体" w:hAnsi="黑体" w:eastAsia="黑体" w:cs="黑体"/>
          <w:b w:val="0"/>
          <w:bCs w:val="0"/>
          <w:color w:val="auto"/>
          <w:highlight w:val="none"/>
          <w:lang w:val="en-US" w:eastAsia="zh-CN"/>
        </w:rPr>
        <w:t xml:space="preserve"> </w:t>
      </w:r>
      <w:r>
        <w:rPr>
          <w:rFonts w:hint="eastAsia" w:ascii="黑体" w:hAnsi="黑体" w:eastAsia="黑体" w:cs="黑体"/>
          <w:b w:val="0"/>
          <w:bCs w:val="0"/>
          <w:color w:val="auto"/>
          <w:highlight w:val="none"/>
        </w:rPr>
        <w:t>附则</w:t>
      </w:r>
      <w:bookmarkEnd w:id="9"/>
    </w:p>
    <w:p w14:paraId="620BFF18">
      <w:pPr>
        <w:pageBreakBefore w:val="0"/>
        <w:kinsoku/>
        <w:wordWrap/>
        <w:overflowPunct/>
        <w:topLinePunct w:val="0"/>
        <w:autoSpaceDE/>
        <w:autoSpaceDN/>
        <w:bidi w:val="0"/>
        <w:spacing w:line="560" w:lineRule="exact"/>
        <w:ind w:left="0" w:leftChars="0" w:firstLine="643" w:firstLineChars="200"/>
        <w:rPr>
          <w:rFonts w:hint="eastAsia"/>
          <w:color w:val="auto"/>
          <w:highlight w:val="none"/>
        </w:rPr>
      </w:pPr>
      <w:r>
        <w:rPr>
          <w:rFonts w:hint="eastAsia" w:ascii="楷体_GB2312" w:hAnsi="楷体_GB2312" w:eastAsia="楷体_GB2312" w:cs="楷体_GB2312"/>
          <w:b/>
          <w:bCs/>
          <w:color w:val="auto"/>
          <w:szCs w:val="32"/>
          <w:highlight w:val="none"/>
        </w:rPr>
        <w:t>第二十</w:t>
      </w:r>
      <w:r>
        <w:rPr>
          <w:rFonts w:hint="eastAsia" w:ascii="楷体_GB2312" w:hAnsi="楷体_GB2312" w:eastAsia="楷体_GB2312" w:cs="楷体_GB2312"/>
          <w:b/>
          <w:bCs/>
          <w:color w:val="auto"/>
          <w:szCs w:val="32"/>
          <w:highlight w:val="none"/>
          <w:lang w:val="en-US" w:eastAsia="zh-CN"/>
        </w:rPr>
        <w:t>七</w:t>
      </w:r>
      <w:r>
        <w:rPr>
          <w:rFonts w:hint="eastAsia" w:ascii="楷体_GB2312" w:hAnsi="楷体_GB2312" w:eastAsia="楷体_GB2312" w:cs="楷体_GB2312"/>
          <w:b/>
          <w:bCs/>
          <w:color w:val="auto"/>
          <w:szCs w:val="32"/>
          <w:highlight w:val="none"/>
        </w:rPr>
        <w:t>条</w:t>
      </w:r>
      <w:r>
        <w:rPr>
          <w:rFonts w:hint="eastAsia" w:ascii="楷体_GB2312" w:hAnsi="楷体_GB2312" w:eastAsia="楷体_GB2312" w:cs="楷体_GB2312"/>
          <w:b/>
          <w:bCs/>
          <w:color w:val="auto"/>
          <w:szCs w:val="32"/>
          <w:highlight w:val="none"/>
          <w:lang w:eastAsia="zh-CN"/>
        </w:rPr>
        <w:t>【</w:t>
      </w:r>
      <w:r>
        <w:rPr>
          <w:rFonts w:hint="eastAsia" w:ascii="楷体_GB2312" w:hAnsi="楷体_GB2312" w:eastAsia="楷体_GB2312" w:cs="楷体_GB2312"/>
          <w:b/>
          <w:bCs/>
          <w:color w:val="auto"/>
          <w:szCs w:val="32"/>
          <w:highlight w:val="none"/>
        </w:rPr>
        <w:t>生效日期】</w:t>
      </w:r>
      <w:r>
        <w:rPr>
          <w:rFonts w:hint="eastAsia"/>
          <w:color w:val="auto"/>
          <w:highlight w:val="none"/>
        </w:rPr>
        <w:t>本办法</w:t>
      </w:r>
      <w:r>
        <w:rPr>
          <w:rFonts w:hint="eastAsia" w:ascii="仿宋_GB2312" w:hAnsi="仿宋_GB2312" w:cs="仿宋_GB2312"/>
          <w:color w:val="auto"/>
          <w:highlight w:val="none"/>
        </w:rPr>
        <w:t>自</w:t>
      </w:r>
      <w:r>
        <w:rPr>
          <w:rFonts w:hint="eastAsia" w:ascii="仿宋_GB2312" w:hAnsi="仿宋_GB2312" w:cs="仿宋_GB2312"/>
          <w:color w:val="auto"/>
          <w:highlight w:val="none"/>
          <w:lang w:val="en-US" w:eastAsia="zh-CN"/>
        </w:rPr>
        <w:t>2025年1月1日起施行</w:t>
      </w:r>
      <w:r>
        <w:rPr>
          <w:rFonts w:hint="eastAsia" w:ascii="仿宋_GB2312" w:hAnsi="仿宋_GB2312" w:cs="仿宋_GB2312"/>
          <w:color w:val="auto"/>
          <w:highlight w:val="none"/>
        </w:rPr>
        <w:t>。法律、行政法规等对本办法涉及内容有新规定的，从其规定。</w:t>
      </w:r>
    </w:p>
    <w:p w14:paraId="39124E24">
      <w:pPr>
        <w:pageBreakBefore w:val="0"/>
        <w:kinsoku/>
        <w:wordWrap/>
        <w:overflowPunct/>
        <w:topLinePunct w:val="0"/>
        <w:autoSpaceDE/>
        <w:autoSpaceDN/>
        <w:bidi w:val="0"/>
        <w:spacing w:line="560" w:lineRule="exact"/>
        <w:ind w:firstLine="643" w:firstLineChars="200"/>
        <w:jc w:val="both"/>
        <w:rPr>
          <w:rFonts w:hint="eastAsia" w:cs="Times New Roman"/>
          <w:i w:val="0"/>
          <w:iCs w:val="0"/>
          <w:caps w:val="0"/>
          <w:color w:val="auto"/>
          <w:spacing w:val="0"/>
          <w:sz w:val="32"/>
          <w:szCs w:val="24"/>
          <w:highlight w:val="none"/>
          <w:shd w:val="clear" w:color="auto" w:fill="auto"/>
          <w:lang w:eastAsia="zh-CN"/>
        </w:rPr>
      </w:pPr>
      <w:r>
        <w:rPr>
          <w:rFonts w:hint="eastAsia" w:ascii="楷体_GB2312" w:hAnsi="楷体_GB2312" w:eastAsia="楷体_GB2312" w:cs="楷体_GB2312"/>
          <w:b/>
          <w:bCs/>
          <w:color w:val="auto"/>
          <w:szCs w:val="32"/>
          <w:highlight w:val="none"/>
        </w:rPr>
        <w:t>第二十</w:t>
      </w:r>
      <w:r>
        <w:rPr>
          <w:rFonts w:hint="eastAsia" w:ascii="楷体_GB2312" w:hAnsi="楷体_GB2312" w:eastAsia="楷体_GB2312" w:cs="楷体_GB2312"/>
          <w:b/>
          <w:bCs/>
          <w:color w:val="auto"/>
          <w:szCs w:val="32"/>
          <w:highlight w:val="none"/>
          <w:lang w:val="en-US" w:eastAsia="zh-CN"/>
        </w:rPr>
        <w:t>八</w:t>
      </w:r>
      <w:r>
        <w:rPr>
          <w:rFonts w:hint="eastAsia" w:ascii="楷体_GB2312" w:hAnsi="楷体_GB2312" w:eastAsia="楷体_GB2312" w:cs="楷体_GB2312"/>
          <w:b/>
          <w:bCs/>
          <w:color w:val="auto"/>
          <w:szCs w:val="32"/>
          <w:highlight w:val="none"/>
        </w:rPr>
        <w:t>条</w:t>
      </w:r>
      <w:r>
        <w:rPr>
          <w:rFonts w:hint="eastAsia" w:ascii="楷体_GB2312" w:hAnsi="楷体_GB2312" w:eastAsia="楷体_GB2312" w:cs="楷体_GB2312"/>
          <w:b/>
          <w:bCs/>
          <w:color w:val="auto"/>
          <w:szCs w:val="32"/>
          <w:highlight w:val="none"/>
          <w:lang w:eastAsia="zh-CN"/>
        </w:rPr>
        <w:t>【</w:t>
      </w:r>
      <w:r>
        <w:rPr>
          <w:rFonts w:hint="eastAsia" w:ascii="楷体_GB2312" w:hAnsi="楷体_GB2312" w:eastAsia="楷体_GB2312" w:cs="楷体_GB2312"/>
          <w:b/>
          <w:bCs/>
          <w:color w:val="auto"/>
          <w:szCs w:val="32"/>
          <w:highlight w:val="none"/>
          <w:lang w:val="en-US" w:eastAsia="zh-CN"/>
        </w:rPr>
        <w:t>其它规定</w:t>
      </w:r>
      <w:r>
        <w:rPr>
          <w:rFonts w:hint="eastAsia" w:ascii="楷体_GB2312" w:hAnsi="楷体_GB2312" w:eastAsia="楷体_GB2312" w:cs="楷体_GB2312"/>
          <w:b/>
          <w:bCs/>
          <w:color w:val="auto"/>
          <w:szCs w:val="32"/>
          <w:highlight w:val="none"/>
        </w:rPr>
        <w:t>】</w:t>
      </w:r>
      <w:r>
        <w:rPr>
          <w:rFonts w:hint="eastAsia" w:eastAsia="仿宋_GB2312" w:cs="Times New Roman"/>
          <w:color w:val="auto"/>
          <w:sz w:val="32"/>
          <w:highlight w:val="none"/>
        </w:rPr>
        <w:t>《北京大兴国</w:t>
      </w:r>
      <w:r>
        <w:rPr>
          <w:rFonts w:hint="eastAsia" w:ascii="仿宋_GB2312" w:hAnsi="仿宋_GB2312" w:eastAsia="仿宋_GB2312" w:cs="仿宋_GB2312"/>
          <w:color w:val="auto"/>
          <w:sz w:val="32"/>
          <w:highlight w:val="none"/>
        </w:rPr>
        <w:t>际机场临空经济区（北京部分）行政审批监管信用管理办法（试行）》</w:t>
      </w:r>
      <w:r>
        <w:rPr>
          <w:rFonts w:hint="eastAsia" w:ascii="仿宋_GB2312" w:hAnsi="仿宋_GB2312" w:eastAsia="仿宋_GB2312" w:cs="仿宋_GB2312"/>
          <w:color w:val="auto"/>
          <w:sz w:val="32"/>
          <w:highlight w:val="none"/>
          <w:lang w:eastAsia="zh-CN"/>
        </w:rPr>
        <w:t>（京临管发〔2021〕47号）、《北京大兴国际机场临空经济区（北京部分）关于开展行政审批监管信用管理工作的实施意见（试行）》（京临管发〔2021〕48号）、《北京大兴国际机场临空经济区（北京部分）行政相对人信用信息归集与评价管理办法》（京临管发〔2023〕6号）</w:t>
      </w:r>
      <w:r>
        <w:rPr>
          <w:rFonts w:hint="eastAsia" w:ascii="仿宋_GB2312" w:hAnsi="仿宋_GB2312" w:cs="仿宋_GB2312"/>
          <w:color w:val="auto"/>
          <w:sz w:val="32"/>
          <w:highlight w:val="none"/>
          <w:lang w:val="en-US" w:eastAsia="zh-CN"/>
        </w:rPr>
        <w:t>自本办法施行之日起同时</w:t>
      </w:r>
      <w:r>
        <w:rPr>
          <w:rFonts w:hint="eastAsia" w:ascii="仿宋_GB2312" w:hAnsi="仿宋_GB2312" w:eastAsia="仿宋_GB2312" w:cs="仿宋_GB2312"/>
          <w:color w:val="auto"/>
          <w:sz w:val="32"/>
          <w:highlight w:val="none"/>
          <w:lang w:val="en-US" w:eastAsia="zh-CN"/>
        </w:rPr>
        <w:t>废止。</w:t>
      </w:r>
      <w:r>
        <w:rPr>
          <w:rFonts w:hint="eastAsia" w:ascii="仿宋_GB2312" w:hAnsi="仿宋_GB2312" w:eastAsia="仿宋_GB2312" w:cs="仿宋_GB2312"/>
          <w:color w:val="auto"/>
          <w:sz w:val="32"/>
          <w:highlight w:val="none"/>
        </w:rPr>
        <w:t>临空区大兴片区管委会</w:t>
      </w:r>
      <w:r>
        <w:rPr>
          <w:rFonts w:hint="eastAsia" w:ascii="仿宋_GB2312" w:hAnsi="仿宋_GB2312" w:eastAsia="仿宋_GB2312" w:cs="仿宋_GB2312"/>
          <w:i w:val="0"/>
          <w:iCs w:val="0"/>
          <w:caps w:val="0"/>
          <w:color w:val="auto"/>
          <w:spacing w:val="0"/>
          <w:sz w:val="32"/>
          <w:szCs w:val="24"/>
          <w:highlight w:val="none"/>
          <w:shd w:val="clear" w:color="auto" w:fill="auto"/>
        </w:rPr>
        <w:t>此前发布的</w:t>
      </w:r>
      <w:r>
        <w:rPr>
          <w:rFonts w:hint="eastAsia" w:ascii="仿宋_GB2312" w:hAnsi="仿宋_GB2312" w:eastAsia="仿宋_GB2312" w:cs="仿宋_GB2312"/>
          <w:color w:val="auto"/>
          <w:sz w:val="32"/>
          <w:highlight w:val="none"/>
          <w:lang w:eastAsia="zh-CN"/>
        </w:rPr>
        <w:t>行政相对人信用</w:t>
      </w:r>
      <w:r>
        <w:rPr>
          <w:rFonts w:hint="eastAsia" w:ascii="仿宋_GB2312" w:hAnsi="仿宋_GB2312" w:eastAsia="仿宋_GB2312" w:cs="仿宋_GB2312"/>
          <w:color w:val="auto"/>
          <w:sz w:val="32"/>
          <w:highlight w:val="none"/>
          <w:lang w:val="en-US" w:eastAsia="zh-CN"/>
        </w:rPr>
        <w:t>管理</w:t>
      </w:r>
      <w:r>
        <w:rPr>
          <w:rFonts w:hint="eastAsia" w:ascii="仿宋_GB2312" w:hAnsi="仿宋_GB2312" w:eastAsia="仿宋_GB2312" w:cs="仿宋_GB2312"/>
          <w:i w:val="0"/>
          <w:iCs w:val="0"/>
          <w:caps w:val="0"/>
          <w:color w:val="auto"/>
          <w:spacing w:val="0"/>
          <w:sz w:val="32"/>
          <w:szCs w:val="24"/>
          <w:highlight w:val="none"/>
          <w:shd w:val="clear" w:color="auto" w:fill="auto"/>
        </w:rPr>
        <w:t>相关文件与本</w:t>
      </w:r>
      <w:r>
        <w:rPr>
          <w:rFonts w:hint="eastAsia" w:ascii="仿宋_GB2312" w:hAnsi="仿宋_GB2312" w:eastAsia="仿宋_GB2312" w:cs="Times New Roman"/>
          <w:i w:val="0"/>
          <w:iCs w:val="0"/>
          <w:caps w:val="0"/>
          <w:color w:val="auto"/>
          <w:spacing w:val="0"/>
          <w:sz w:val="32"/>
          <w:szCs w:val="24"/>
          <w:highlight w:val="none"/>
          <w:shd w:val="clear" w:color="auto" w:fill="auto"/>
        </w:rPr>
        <w:t>办法内容不一致的，以本办法内容为准</w:t>
      </w:r>
      <w:r>
        <w:rPr>
          <w:rFonts w:hint="eastAsia" w:cs="Times New Roman"/>
          <w:i w:val="0"/>
          <w:iCs w:val="0"/>
          <w:caps w:val="0"/>
          <w:color w:val="auto"/>
          <w:spacing w:val="0"/>
          <w:sz w:val="32"/>
          <w:szCs w:val="24"/>
          <w:highlight w:val="none"/>
          <w:shd w:val="clear" w:color="auto" w:fill="auto"/>
          <w:lang w:eastAsia="zh-CN"/>
        </w:rPr>
        <w:t>。</w:t>
      </w:r>
    </w:p>
    <w:p w14:paraId="023149F5">
      <w:pPr>
        <w:pageBreakBefore w:val="0"/>
        <w:kinsoku/>
        <w:wordWrap/>
        <w:overflowPunct/>
        <w:topLinePunct w:val="0"/>
        <w:autoSpaceDE/>
        <w:autoSpaceDN/>
        <w:bidi w:val="0"/>
        <w:spacing w:line="560" w:lineRule="exact"/>
        <w:ind w:firstLine="643" w:firstLineChars="200"/>
        <w:jc w:val="both"/>
        <w:rPr>
          <w:rFonts w:hint="eastAsia"/>
          <w:color w:val="auto"/>
          <w:highlight w:val="none"/>
        </w:rPr>
      </w:pPr>
      <w:r>
        <w:rPr>
          <w:rFonts w:hint="eastAsia" w:ascii="楷体_GB2312" w:hAnsi="楷体_GB2312" w:eastAsia="楷体_GB2312" w:cs="楷体_GB2312"/>
          <w:b/>
          <w:bCs/>
          <w:color w:val="auto"/>
          <w:szCs w:val="32"/>
          <w:highlight w:val="none"/>
        </w:rPr>
        <w:t>第二十</w:t>
      </w:r>
      <w:r>
        <w:rPr>
          <w:rFonts w:hint="eastAsia" w:ascii="楷体_GB2312" w:hAnsi="楷体_GB2312" w:eastAsia="楷体_GB2312" w:cs="楷体_GB2312"/>
          <w:b/>
          <w:bCs/>
          <w:color w:val="auto"/>
          <w:szCs w:val="32"/>
          <w:highlight w:val="none"/>
          <w:lang w:val="en-US" w:eastAsia="zh-CN"/>
        </w:rPr>
        <w:t>九</w:t>
      </w:r>
      <w:r>
        <w:rPr>
          <w:rFonts w:hint="eastAsia" w:ascii="楷体_GB2312" w:hAnsi="楷体_GB2312" w:eastAsia="楷体_GB2312" w:cs="楷体_GB2312"/>
          <w:b/>
          <w:bCs/>
          <w:color w:val="auto"/>
          <w:szCs w:val="32"/>
          <w:highlight w:val="none"/>
        </w:rPr>
        <w:t>条</w:t>
      </w:r>
      <w:r>
        <w:rPr>
          <w:rFonts w:hint="eastAsia" w:ascii="楷体_GB2312" w:hAnsi="楷体_GB2312" w:eastAsia="楷体_GB2312" w:cs="楷体_GB2312"/>
          <w:b/>
          <w:bCs/>
          <w:color w:val="auto"/>
          <w:szCs w:val="32"/>
          <w:highlight w:val="none"/>
          <w:lang w:eastAsia="zh-CN"/>
        </w:rPr>
        <w:t>【</w:t>
      </w:r>
      <w:r>
        <w:rPr>
          <w:rFonts w:hint="eastAsia" w:ascii="楷体_GB2312" w:hAnsi="楷体_GB2312" w:eastAsia="楷体_GB2312" w:cs="楷体_GB2312"/>
          <w:b/>
          <w:bCs/>
          <w:color w:val="auto"/>
          <w:szCs w:val="32"/>
          <w:highlight w:val="none"/>
          <w:lang w:val="en-US" w:eastAsia="zh-CN"/>
        </w:rPr>
        <w:t>办法解释</w:t>
      </w:r>
      <w:r>
        <w:rPr>
          <w:rFonts w:hint="eastAsia" w:ascii="楷体_GB2312" w:hAnsi="楷体_GB2312" w:eastAsia="楷体_GB2312" w:cs="楷体_GB2312"/>
          <w:b/>
          <w:bCs/>
          <w:color w:val="auto"/>
          <w:szCs w:val="32"/>
          <w:highlight w:val="none"/>
        </w:rPr>
        <w:t>】</w:t>
      </w:r>
      <w:r>
        <w:rPr>
          <w:rFonts w:hint="eastAsia"/>
          <w:color w:val="auto"/>
          <w:highlight w:val="none"/>
        </w:rPr>
        <w:t>本办法由临空区大兴片区管委会负责解释。</w:t>
      </w:r>
    </w:p>
    <w:p w14:paraId="31544529">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1920" w:leftChars="200" w:hanging="1280" w:hangingChars="400"/>
        <w:textAlignment w:val="auto"/>
        <w:rPr>
          <w:rFonts w:hint="eastAsia" w:ascii="仿宋_GB2312" w:hAnsi="仿宋_GB2312" w:cs="仿宋_GB2312"/>
          <w:color w:val="auto"/>
          <w:szCs w:val="32"/>
          <w:highlight w:val="none"/>
        </w:rPr>
      </w:pPr>
      <w:r>
        <w:rPr>
          <w:rFonts w:hint="eastAsia" w:ascii="仿宋_GB2312" w:hAnsi="仿宋_GB2312" w:cs="仿宋_GB2312"/>
          <w:color w:val="auto"/>
          <w:szCs w:val="32"/>
          <w:highlight w:val="none"/>
        </w:rPr>
        <w:t>附</w:t>
      </w:r>
      <w:r>
        <w:rPr>
          <w:rFonts w:hint="eastAsia" w:cs="仿宋_GB2312"/>
          <w:color w:val="auto"/>
          <w:szCs w:val="32"/>
          <w:highlight w:val="none"/>
          <w:lang w:val="en-US" w:eastAsia="zh-CN"/>
        </w:rPr>
        <w:t>件</w:t>
      </w:r>
      <w:r>
        <w:rPr>
          <w:rFonts w:hint="eastAsia" w:ascii="仿宋_GB2312" w:hAnsi="仿宋_GB2312" w:cs="仿宋_GB2312"/>
          <w:color w:val="auto"/>
          <w:szCs w:val="32"/>
          <w:highlight w:val="none"/>
        </w:rPr>
        <w:t>：</w:t>
      </w:r>
      <w:r>
        <w:rPr>
          <w:rFonts w:hint="eastAsia" w:ascii="仿宋_GB2312" w:hAnsi="仿宋_GB2312" w:cs="仿宋_GB2312"/>
          <w:color w:val="auto"/>
          <w:szCs w:val="32"/>
          <w:highlight w:val="none"/>
          <w:lang w:val="en-US" w:eastAsia="zh-CN"/>
        </w:rPr>
        <w:t>1.</w:t>
      </w:r>
      <w:r>
        <w:rPr>
          <w:rFonts w:hint="eastAsia" w:ascii="仿宋_GB2312" w:hAnsi="仿宋_GB2312" w:cs="仿宋_GB2312"/>
          <w:color w:val="auto"/>
          <w:szCs w:val="32"/>
          <w:highlight w:val="none"/>
        </w:rPr>
        <w:t>行政相对人信用评价评分细则</w:t>
      </w:r>
    </w:p>
    <w:p w14:paraId="1AE8623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1920" w:leftChars="500" w:hanging="320" w:hangingChars="100"/>
        <w:textAlignment w:val="auto"/>
        <w:rPr>
          <w:rFonts w:hint="eastAsia" w:ascii="仿宋_GB2312" w:hAnsi="仿宋_GB2312" w:cs="仿宋_GB2312"/>
          <w:color w:val="auto"/>
          <w:szCs w:val="32"/>
          <w:highlight w:val="none"/>
        </w:rPr>
      </w:pPr>
      <w:r>
        <w:rPr>
          <w:rFonts w:hint="eastAsia" w:ascii="仿宋_GB2312" w:hAnsi="仿宋_GB2312" w:cs="仿宋_GB2312"/>
          <w:color w:val="auto"/>
          <w:szCs w:val="32"/>
          <w:highlight w:val="none"/>
          <w:lang w:val="en-US" w:eastAsia="zh-CN"/>
        </w:rPr>
        <w:t>2.</w:t>
      </w:r>
      <w:r>
        <w:rPr>
          <w:rFonts w:hint="eastAsia" w:ascii="仿宋_GB2312" w:hAnsi="仿宋_GB2312" w:cs="仿宋_GB2312"/>
          <w:color w:val="auto"/>
          <w:szCs w:val="32"/>
          <w:highlight w:val="none"/>
        </w:rPr>
        <w:t>行政相对人信用评价指标</w:t>
      </w:r>
    </w:p>
    <w:p w14:paraId="6CB5D11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1600" w:firstLineChars="500"/>
        <w:jc w:val="left"/>
        <w:textAlignment w:val="auto"/>
        <w:rPr>
          <w:rFonts w:hint="eastAsia" w:ascii="仿宋_GB2312" w:hAnsi="仿宋_GB2312" w:cs="仿宋_GB2312"/>
          <w:color w:val="auto"/>
          <w:spacing w:val="-17"/>
          <w:highlight w:val="none"/>
          <w:lang w:val="en-US" w:eastAsia="zh-CN"/>
        </w:rPr>
      </w:pPr>
      <w:r>
        <w:rPr>
          <w:rFonts w:hint="eastAsia" w:ascii="仿宋_GB2312" w:hAnsi="仿宋_GB2312" w:cs="仿宋_GB2312"/>
          <w:color w:val="auto"/>
          <w:szCs w:val="32"/>
          <w:highlight w:val="none"/>
          <w:lang w:val="en-US" w:eastAsia="zh-CN"/>
        </w:rPr>
        <w:t>3.</w:t>
      </w:r>
      <w:r>
        <w:rPr>
          <w:rFonts w:hint="eastAsia" w:ascii="仿宋_GB2312" w:hAnsi="仿宋_GB2312" w:cs="仿宋_GB2312"/>
          <w:color w:val="auto"/>
          <w:spacing w:val="-23"/>
          <w:sz w:val="32"/>
          <w:szCs w:val="32"/>
          <w:highlight w:val="none"/>
          <w:lang w:val="en-US" w:eastAsia="zh-CN"/>
        </w:rPr>
        <w:t>行政相对人“信用+”政务服务改革创新审批</w:t>
      </w:r>
      <w:r>
        <w:rPr>
          <w:rFonts w:hint="eastAsia" w:ascii="仿宋_GB2312" w:hAnsi="仿宋_GB2312" w:cs="仿宋_GB2312"/>
          <w:color w:val="auto"/>
          <w:spacing w:val="-23"/>
          <w:sz w:val="32"/>
          <w:highlight w:val="none"/>
          <w:lang w:val="en-US" w:eastAsia="zh-CN"/>
        </w:rPr>
        <w:t>事项清单</w:t>
      </w:r>
    </w:p>
    <w:p w14:paraId="72BBD89A">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1920" w:leftChars="500" w:hanging="320" w:hangingChars="100"/>
        <w:jc w:val="left"/>
        <w:textAlignment w:val="auto"/>
        <w:rPr>
          <w:rFonts w:hint="eastAsia" w:ascii="仿宋_GB2312" w:hAnsi="仿宋_GB2312" w:cs="仿宋_GB2312"/>
          <w:color w:val="auto"/>
          <w:szCs w:val="32"/>
          <w:highlight w:val="none"/>
        </w:rPr>
      </w:pPr>
      <w:r>
        <w:rPr>
          <w:rFonts w:hint="eastAsia" w:ascii="仿宋_GB2312" w:hAnsi="仿宋_GB2312" w:cs="仿宋_GB2312"/>
          <w:color w:val="auto"/>
          <w:szCs w:val="32"/>
          <w:highlight w:val="none"/>
          <w:lang w:val="en-US" w:eastAsia="zh-CN"/>
        </w:rPr>
        <w:t>4.</w:t>
      </w:r>
      <w:r>
        <w:rPr>
          <w:rFonts w:hint="eastAsia" w:ascii="仿宋_GB2312" w:hAnsi="仿宋_GB2312" w:cs="仿宋_GB2312"/>
          <w:color w:val="auto"/>
          <w:szCs w:val="32"/>
          <w:highlight w:val="none"/>
        </w:rPr>
        <w:t>行政相对人信用异议申请表</w:t>
      </w:r>
    </w:p>
    <w:p w14:paraId="1A50606B">
      <w:pPr>
        <w:spacing w:line="560" w:lineRule="exact"/>
        <w:ind w:left="0" w:leftChars="0" w:firstLine="0" w:firstLineChars="0"/>
        <w:jc w:val="left"/>
        <w:rPr>
          <w:rFonts w:hint="eastAsia" w:ascii="黑体" w:hAnsi="黑体" w:eastAsia="黑体" w:cs="黑体"/>
          <w:color w:val="auto"/>
          <w:highlight w:val="none"/>
          <w:lang w:val="en-US" w:eastAsia="zh-CN"/>
        </w:rPr>
      </w:pPr>
      <w:r>
        <w:rPr>
          <w:rFonts w:hint="eastAsia"/>
          <w:color w:val="auto"/>
          <w:highlight w:val="none"/>
        </w:rPr>
        <w:br w:type="page"/>
      </w:r>
      <w:r>
        <w:rPr>
          <w:rFonts w:hint="eastAsia" w:ascii="黑体" w:hAnsi="黑体" w:eastAsia="黑体" w:cs="黑体"/>
          <w:color w:val="auto"/>
          <w:highlight w:val="none"/>
        </w:rPr>
        <w:t>附</w:t>
      </w:r>
      <w:r>
        <w:rPr>
          <w:rFonts w:hint="eastAsia" w:ascii="黑体" w:hAnsi="黑体" w:eastAsia="黑体" w:cs="黑体"/>
          <w:color w:val="auto"/>
          <w:highlight w:val="none"/>
          <w:lang w:val="en-US" w:eastAsia="zh-CN"/>
        </w:rPr>
        <w:t>件1</w:t>
      </w:r>
    </w:p>
    <w:p w14:paraId="02980742">
      <w:pPr>
        <w:snapToGrid w:val="0"/>
        <w:spacing w:line="540" w:lineRule="exact"/>
        <w:ind w:left="640" w:leftChars="200"/>
        <w:contextualSpacing/>
        <w:jc w:val="center"/>
        <w:rPr>
          <w:rFonts w:ascii="Times New Roman" w:hAnsi="Times New Roman" w:eastAsia="方正小标宋简体"/>
          <w:color w:val="auto"/>
          <w:sz w:val="44"/>
          <w:szCs w:val="44"/>
          <w:highlight w:val="none"/>
        </w:rPr>
      </w:pPr>
    </w:p>
    <w:p w14:paraId="6D0A3546">
      <w:pPr>
        <w:snapToGrid w:val="0"/>
        <w:spacing w:line="540" w:lineRule="exact"/>
        <w:contextualSpacing/>
        <w:jc w:val="center"/>
        <w:rPr>
          <w:rFonts w:hint="eastAsia" w:eastAsia="方正小标宋简体"/>
          <w:color w:val="auto"/>
          <w:sz w:val="36"/>
          <w:szCs w:val="36"/>
          <w:highlight w:val="none"/>
        </w:rPr>
      </w:pPr>
      <w:bookmarkStart w:id="10" w:name="_Hlk109305929"/>
      <w:r>
        <w:rPr>
          <w:rFonts w:hint="eastAsia" w:eastAsia="方正小标宋简体"/>
          <w:color w:val="auto"/>
          <w:sz w:val="36"/>
          <w:szCs w:val="36"/>
          <w:highlight w:val="none"/>
        </w:rPr>
        <w:t>北京大兴国际机场临空经济区（北京部分）</w:t>
      </w:r>
    </w:p>
    <w:p w14:paraId="335E8984">
      <w:pPr>
        <w:snapToGrid w:val="0"/>
        <w:spacing w:line="540" w:lineRule="exact"/>
        <w:contextualSpacing/>
        <w:jc w:val="center"/>
        <w:rPr>
          <w:rFonts w:hint="eastAsia" w:eastAsia="方正小标宋简体"/>
          <w:color w:val="auto"/>
          <w:sz w:val="36"/>
          <w:szCs w:val="36"/>
          <w:highlight w:val="none"/>
        </w:rPr>
      </w:pPr>
      <w:r>
        <w:rPr>
          <w:rFonts w:hint="eastAsia" w:eastAsia="方正小标宋简体"/>
          <w:color w:val="auto"/>
          <w:sz w:val="36"/>
          <w:szCs w:val="36"/>
          <w:highlight w:val="none"/>
        </w:rPr>
        <w:t>行政相对人</w:t>
      </w:r>
      <w:r>
        <w:rPr>
          <w:rFonts w:hint="eastAsia" w:eastAsia="方正小标宋简体"/>
          <w:color w:val="auto"/>
          <w:sz w:val="36"/>
          <w:szCs w:val="36"/>
          <w:highlight w:val="none"/>
          <w:lang w:val="en-US" w:eastAsia="zh-CN"/>
        </w:rPr>
        <w:t>信用</w:t>
      </w:r>
      <w:r>
        <w:rPr>
          <w:rFonts w:hint="eastAsia" w:eastAsia="方正小标宋简体"/>
          <w:color w:val="auto"/>
          <w:sz w:val="36"/>
          <w:szCs w:val="36"/>
          <w:highlight w:val="none"/>
        </w:rPr>
        <w:t>评价评分细则</w:t>
      </w:r>
    </w:p>
    <w:bookmarkEnd w:id="10"/>
    <w:p w14:paraId="561E7F81">
      <w:pPr>
        <w:spacing w:line="540" w:lineRule="exact"/>
        <w:jc w:val="center"/>
        <w:rPr>
          <w:rFonts w:ascii="Times New Roman" w:hAnsi="Times New Roman" w:eastAsia="方正小标宋简体"/>
          <w:color w:val="auto"/>
          <w:sz w:val="44"/>
          <w:szCs w:val="44"/>
          <w:highlight w:val="none"/>
        </w:rPr>
      </w:pPr>
    </w:p>
    <w:p w14:paraId="4B61FC9D">
      <w:pPr>
        <w:widowControl/>
        <w:numPr>
          <w:ilvl w:val="0"/>
          <w:numId w:val="4"/>
        </w:numPr>
        <w:snapToGrid w:val="0"/>
        <w:spacing w:line="540" w:lineRule="exact"/>
        <w:ind w:firstLine="640" w:firstLineChars="200"/>
        <w:contextualSpacing/>
        <w:rPr>
          <w:rFonts w:ascii="Times New Roman" w:hAnsi="Times New Roman" w:eastAsia="仿宋_GB2312"/>
          <w:color w:val="auto"/>
          <w:sz w:val="32"/>
          <w:szCs w:val="32"/>
          <w:highlight w:val="none"/>
        </w:rPr>
      </w:pPr>
      <w:r>
        <w:rPr>
          <w:rFonts w:hint="eastAsia" w:ascii="楷体_GB2312" w:hAnsi="楷体_GB2312" w:eastAsia="楷体_GB2312" w:cs="楷体_GB2312"/>
          <w:b w:val="0"/>
          <w:bCs w:val="0"/>
          <w:color w:val="auto"/>
          <w:sz w:val="32"/>
          <w:szCs w:val="32"/>
          <w:highlight w:val="none"/>
        </w:rPr>
        <w:t>【制定目的和依据】</w:t>
      </w:r>
      <w:r>
        <w:rPr>
          <w:rFonts w:ascii="仿宋_GB2312" w:hAnsi="仿宋_GB2312" w:eastAsia="仿宋_GB2312" w:cs="仿宋_GB2312"/>
          <w:b w:val="0"/>
          <w:bCs w:val="0"/>
          <w:snapToGrid/>
          <w:color w:val="auto"/>
          <w:kern w:val="2"/>
          <w:sz w:val="32"/>
          <w:szCs w:val="32"/>
          <w:highlight w:val="none"/>
        </w:rPr>
        <w:t>为深入推进</w:t>
      </w:r>
      <w:r>
        <w:rPr>
          <w:rFonts w:hint="eastAsia" w:cs="仿宋_GB2312"/>
          <w:b w:val="0"/>
          <w:bCs w:val="0"/>
          <w:snapToGrid/>
          <w:color w:val="auto"/>
          <w:kern w:val="2"/>
          <w:sz w:val="32"/>
          <w:szCs w:val="32"/>
          <w:highlight w:val="none"/>
          <w:lang w:eastAsia="zh-CN"/>
        </w:rPr>
        <w:t>“</w:t>
      </w:r>
      <w:r>
        <w:rPr>
          <w:rFonts w:ascii="仿宋_GB2312" w:hAnsi="仿宋_GB2312" w:eastAsia="仿宋_GB2312" w:cs="仿宋_GB2312"/>
          <w:b w:val="0"/>
          <w:bCs w:val="0"/>
          <w:snapToGrid/>
          <w:color w:val="auto"/>
          <w:kern w:val="2"/>
          <w:sz w:val="32"/>
          <w:szCs w:val="32"/>
          <w:highlight w:val="none"/>
        </w:rPr>
        <w:t>放管服</w:t>
      </w:r>
      <w:r>
        <w:rPr>
          <w:rFonts w:hint="eastAsia" w:cs="仿宋_GB2312"/>
          <w:b w:val="0"/>
          <w:bCs w:val="0"/>
          <w:snapToGrid/>
          <w:color w:val="auto"/>
          <w:kern w:val="2"/>
          <w:sz w:val="32"/>
          <w:szCs w:val="32"/>
          <w:highlight w:val="none"/>
          <w:lang w:eastAsia="zh-CN"/>
        </w:rPr>
        <w:t>”</w:t>
      </w:r>
      <w:r>
        <w:rPr>
          <w:rFonts w:ascii="仿宋_GB2312" w:hAnsi="仿宋_GB2312" w:eastAsia="仿宋_GB2312" w:cs="仿宋_GB2312"/>
          <w:b w:val="0"/>
          <w:bCs w:val="0"/>
          <w:snapToGrid/>
          <w:color w:val="auto"/>
          <w:kern w:val="2"/>
          <w:sz w:val="32"/>
          <w:szCs w:val="32"/>
          <w:highlight w:val="none"/>
        </w:rPr>
        <w:t>改革，充分发挥信用在新型政务服务机制中的作用，</w:t>
      </w:r>
      <w:r>
        <w:rPr>
          <w:rFonts w:hint="eastAsia" w:ascii="Times New Roman" w:hAnsi="Times New Roman"/>
          <w:color w:val="auto"/>
          <w:sz w:val="32"/>
          <w:szCs w:val="32"/>
          <w:highlight w:val="none"/>
          <w:lang w:val="en-US" w:eastAsia="zh-CN"/>
        </w:rPr>
        <w:t>开展行政相对人</w:t>
      </w:r>
      <w:r>
        <w:rPr>
          <w:rFonts w:ascii="Times New Roman" w:hAnsi="Times New Roman" w:eastAsia="仿宋_GB2312"/>
          <w:color w:val="auto"/>
          <w:sz w:val="32"/>
          <w:szCs w:val="32"/>
          <w:highlight w:val="none"/>
        </w:rPr>
        <w:t>信用评价，推动建立以公共信用综合评价结果、</w:t>
      </w:r>
      <w:r>
        <w:rPr>
          <w:rFonts w:hint="eastAsia" w:ascii="Times New Roman" w:hAnsi="Times New Roman"/>
          <w:color w:val="auto"/>
          <w:sz w:val="32"/>
          <w:szCs w:val="32"/>
          <w:highlight w:val="none"/>
          <w:lang w:val="en-US" w:eastAsia="zh-CN"/>
        </w:rPr>
        <w:t>行业信用评价结果、</w:t>
      </w:r>
      <w:r>
        <w:rPr>
          <w:rFonts w:hint="default" w:ascii="Times New Roman" w:hAnsi="Times New Roman"/>
          <w:color w:val="auto"/>
          <w:sz w:val="32"/>
          <w:szCs w:val="32"/>
          <w:highlight w:val="none"/>
          <w:lang w:val="en-US" w:eastAsia="zh-CN"/>
        </w:rPr>
        <w:t>区域</w:t>
      </w:r>
      <w:r>
        <w:rPr>
          <w:rFonts w:hint="eastAsia" w:ascii="Times New Roman" w:hAnsi="Times New Roman"/>
          <w:color w:val="auto"/>
          <w:sz w:val="32"/>
          <w:szCs w:val="32"/>
          <w:highlight w:val="none"/>
          <w:lang w:val="en-US" w:eastAsia="zh-CN"/>
        </w:rPr>
        <w:t>特色</w:t>
      </w:r>
      <w:r>
        <w:rPr>
          <w:rFonts w:ascii="Times New Roman" w:hAnsi="Times New Roman" w:eastAsia="仿宋_GB2312"/>
          <w:color w:val="auto"/>
          <w:sz w:val="32"/>
          <w:szCs w:val="32"/>
          <w:highlight w:val="none"/>
        </w:rPr>
        <w:t>信用评价结果相互促进的</w:t>
      </w:r>
      <w:r>
        <w:rPr>
          <w:rFonts w:hint="eastAsia" w:ascii="Times New Roman" w:hAnsi="Times New Roman"/>
          <w:color w:val="auto"/>
          <w:sz w:val="32"/>
          <w:szCs w:val="32"/>
          <w:highlight w:val="none"/>
          <w:lang w:val="en-US" w:eastAsia="zh-CN"/>
        </w:rPr>
        <w:t>信用管理</w:t>
      </w:r>
      <w:r>
        <w:rPr>
          <w:rFonts w:ascii="Times New Roman" w:hAnsi="Times New Roman" w:eastAsia="仿宋_GB2312"/>
          <w:color w:val="auto"/>
          <w:sz w:val="32"/>
          <w:szCs w:val="32"/>
          <w:highlight w:val="none"/>
        </w:rPr>
        <w:t>机制，依据</w:t>
      </w:r>
      <w:bookmarkStart w:id="11" w:name="_Hlk109305947"/>
      <w:r>
        <w:rPr>
          <w:rFonts w:ascii="Times New Roman" w:hAnsi="Times New Roman" w:eastAsia="仿宋_GB2312"/>
          <w:color w:val="auto"/>
          <w:sz w:val="32"/>
          <w:szCs w:val="32"/>
          <w:highlight w:val="none"/>
        </w:rPr>
        <w:t>《</w:t>
      </w:r>
      <w:r>
        <w:rPr>
          <w:rFonts w:hint="eastAsia" w:ascii="Times New Roman" w:hAnsi="Times New Roman"/>
          <w:color w:val="auto"/>
          <w:szCs w:val="32"/>
          <w:highlight w:val="none"/>
        </w:rPr>
        <w:t>北京大兴国际机场临空经济区（北京部分）行政相对人信用信息归集与评价管理办法</w:t>
      </w:r>
      <w:r>
        <w:rPr>
          <w:rFonts w:ascii="Times New Roman" w:hAnsi="Times New Roman" w:eastAsia="仿宋_GB2312"/>
          <w:color w:val="auto"/>
          <w:sz w:val="32"/>
          <w:szCs w:val="32"/>
          <w:highlight w:val="none"/>
        </w:rPr>
        <w:t>》</w:t>
      </w:r>
      <w:bookmarkEnd w:id="11"/>
      <w:r>
        <w:rPr>
          <w:rFonts w:ascii="Times New Roman" w:hAnsi="Times New Roman" w:eastAsia="仿宋_GB2312"/>
          <w:color w:val="auto"/>
          <w:sz w:val="32"/>
          <w:szCs w:val="32"/>
          <w:highlight w:val="none"/>
        </w:rPr>
        <w:t>，制定本评分细则。</w:t>
      </w:r>
    </w:p>
    <w:p w14:paraId="1F43E639">
      <w:pPr>
        <w:widowControl/>
        <w:numPr>
          <w:ilvl w:val="0"/>
          <w:numId w:val="4"/>
        </w:numPr>
        <w:snapToGrid w:val="0"/>
        <w:spacing w:line="540" w:lineRule="exact"/>
        <w:ind w:firstLine="640" w:firstLineChars="200"/>
        <w:contextualSpacing/>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val="en-US" w:eastAsia="zh-CN"/>
        </w:rPr>
        <w:t>指标评价体系</w:t>
      </w:r>
      <w:r>
        <w:rPr>
          <w:rFonts w:hint="eastAsia" w:ascii="楷体_GB2312" w:hAnsi="楷体_GB2312" w:eastAsia="楷体_GB2312" w:cs="楷体_GB2312"/>
          <w:color w:val="auto"/>
          <w:sz w:val="32"/>
          <w:szCs w:val="32"/>
          <w:highlight w:val="none"/>
        </w:rPr>
        <w:t>】</w:t>
      </w:r>
    </w:p>
    <w:p w14:paraId="564EF3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行政相对人</w:t>
      </w:r>
      <w:r>
        <w:rPr>
          <w:rFonts w:hint="eastAsia" w:ascii="仿宋_GB2312" w:hAnsi="仿宋_GB2312" w:eastAsia="仿宋_GB2312" w:cs="仿宋_GB2312"/>
          <w:color w:val="auto"/>
          <w:highlight w:val="none"/>
        </w:rPr>
        <w:t>信用评分按照</w:t>
      </w:r>
      <w:r>
        <w:rPr>
          <w:rFonts w:hint="eastAsia" w:cs="仿宋_GB2312"/>
          <w:color w:val="auto"/>
          <w:highlight w:val="none"/>
          <w:lang w:eastAsia="zh-CN"/>
        </w:rPr>
        <w:t>“</w:t>
      </w:r>
      <w:r>
        <w:rPr>
          <w:rFonts w:hint="eastAsia" w:ascii="仿宋_GB2312" w:hAnsi="仿宋_GB2312" w:eastAsia="仿宋_GB2312" w:cs="仿宋_GB2312"/>
          <w:color w:val="auto"/>
          <w:highlight w:val="none"/>
        </w:rPr>
        <w:t>基础信用分+</w:t>
      </w:r>
      <w:r>
        <w:rPr>
          <w:rFonts w:hint="eastAsia" w:ascii="仿宋_GB2312" w:hAnsi="仿宋_GB2312" w:eastAsia="仿宋_GB2312" w:cs="仿宋_GB2312"/>
          <w:color w:val="auto"/>
          <w:highlight w:val="none"/>
          <w:lang w:val="en-US" w:eastAsia="zh-CN"/>
        </w:rPr>
        <w:t>公共信用分</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临空区特色</w:t>
      </w:r>
      <w:r>
        <w:rPr>
          <w:rFonts w:hint="eastAsia" w:ascii="仿宋_GB2312" w:hAnsi="仿宋_GB2312" w:eastAsia="仿宋_GB2312" w:cs="仿宋_GB2312"/>
          <w:color w:val="auto"/>
          <w:highlight w:val="none"/>
        </w:rPr>
        <w:t>信用信息</w:t>
      </w:r>
      <w:r>
        <w:rPr>
          <w:rFonts w:hint="eastAsia" w:cs="仿宋_GB2312"/>
          <w:color w:val="auto"/>
          <w:highlight w:val="none"/>
          <w:lang w:eastAsia="zh-CN"/>
        </w:rPr>
        <w:t>”</w:t>
      </w:r>
      <w:r>
        <w:rPr>
          <w:rFonts w:hint="eastAsia" w:ascii="仿宋_GB2312" w:hAnsi="仿宋_GB2312" w:eastAsia="仿宋_GB2312" w:cs="仿宋_GB2312"/>
          <w:color w:val="auto"/>
          <w:highlight w:val="none"/>
        </w:rPr>
        <w:t>的积分评价模式计算，采用350—950积分制，分值范围600分。</w:t>
      </w:r>
    </w:p>
    <w:p w14:paraId="429808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其中，</w:t>
      </w:r>
      <w:r>
        <w:rPr>
          <w:rFonts w:hint="eastAsia" w:ascii="仿宋_GB2312" w:hAnsi="仿宋_GB2312" w:eastAsia="仿宋_GB2312" w:cs="仿宋_GB2312"/>
          <w:color w:val="auto"/>
          <w:highlight w:val="none"/>
        </w:rPr>
        <w:t>基础信用分为350分，是指</w:t>
      </w:r>
      <w:r>
        <w:rPr>
          <w:rFonts w:hint="eastAsia" w:ascii="仿宋_GB2312" w:hAnsi="仿宋_GB2312" w:eastAsia="仿宋_GB2312" w:cs="仿宋_GB2312"/>
          <w:color w:val="auto"/>
          <w:highlight w:val="none"/>
          <w:lang w:val="en-US" w:eastAsia="zh-CN"/>
        </w:rPr>
        <w:t>行政相对人</w:t>
      </w:r>
      <w:r>
        <w:rPr>
          <w:rFonts w:hint="eastAsia" w:ascii="仿宋_GB2312" w:hAnsi="仿宋_GB2312" w:eastAsia="仿宋_GB2312" w:cs="仿宋_GB2312"/>
          <w:color w:val="auto"/>
          <w:highlight w:val="none"/>
        </w:rPr>
        <w:t>的初始信用分值。</w:t>
      </w:r>
    </w:p>
    <w:p w14:paraId="00ED38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公共信用分值</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根据</w:t>
      </w:r>
      <w:r>
        <w:rPr>
          <w:rFonts w:hint="eastAsia" w:ascii="仿宋_GB2312" w:hAnsi="仿宋_GB2312" w:eastAsia="仿宋_GB2312" w:cs="仿宋_GB2312"/>
          <w:color w:val="auto"/>
          <w:highlight w:val="none"/>
        </w:rPr>
        <w:t>北京市统一</w:t>
      </w:r>
      <w:r>
        <w:rPr>
          <w:rFonts w:hint="eastAsia" w:ascii="仿宋_GB2312" w:hAnsi="仿宋_GB2312" w:eastAsia="仿宋_GB2312" w:cs="仿宋_GB2312"/>
          <w:color w:val="auto"/>
          <w:highlight w:val="none"/>
          <w:lang w:val="en-US" w:eastAsia="zh-CN"/>
        </w:rPr>
        <w:t>当期</w:t>
      </w:r>
      <w:r>
        <w:rPr>
          <w:rFonts w:hint="eastAsia" w:ascii="仿宋_GB2312" w:hAnsi="仿宋_GB2312" w:eastAsia="仿宋_GB2312" w:cs="仿宋_GB2312"/>
          <w:color w:val="auto"/>
          <w:highlight w:val="none"/>
        </w:rPr>
        <w:t>的企业公共信用综合评价结果乘以系数转化得出</w:t>
      </w:r>
      <w:r>
        <w:rPr>
          <w:rFonts w:hint="eastAsia" w:ascii="仿宋_GB2312" w:hAnsi="仿宋_GB2312" w:eastAsia="仿宋_GB2312" w:cs="仿宋_GB2312"/>
          <w:color w:val="auto"/>
          <w:highlight w:val="none"/>
          <w:lang w:eastAsia="zh-CN"/>
        </w:rPr>
        <w:t>。</w:t>
      </w:r>
    </w:p>
    <w:p w14:paraId="673396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临空区特色</w:t>
      </w:r>
      <w:r>
        <w:rPr>
          <w:rFonts w:hint="eastAsia" w:ascii="仿宋_GB2312" w:hAnsi="仿宋_GB2312" w:eastAsia="仿宋_GB2312" w:cs="仿宋_GB2312"/>
          <w:color w:val="auto"/>
          <w:highlight w:val="none"/>
        </w:rPr>
        <w:t>信用</w:t>
      </w:r>
      <w:r>
        <w:rPr>
          <w:rFonts w:hint="eastAsia" w:cs="仿宋_GB2312"/>
          <w:color w:val="auto"/>
          <w:highlight w:val="none"/>
          <w:lang w:val="en-US" w:eastAsia="zh-CN"/>
        </w:rPr>
        <w:t>分值</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rPr>
        <w:t>是指根据</w:t>
      </w:r>
      <w:r>
        <w:rPr>
          <w:rFonts w:hint="eastAsia" w:ascii="仿宋_GB2312" w:hAnsi="仿宋_GB2312" w:eastAsia="仿宋_GB2312" w:cs="仿宋_GB2312"/>
          <w:color w:val="auto"/>
          <w:highlight w:val="none"/>
          <w:lang w:val="en-US" w:eastAsia="zh-CN"/>
        </w:rPr>
        <w:t>诚信经营</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遵纪守法</w:t>
      </w:r>
      <w:r>
        <w:rPr>
          <w:rFonts w:hint="eastAsia" w:ascii="仿宋_GB2312" w:hAnsi="仿宋_GB2312" w:eastAsia="仿宋_GB2312" w:cs="仿宋_GB2312"/>
          <w:color w:val="auto"/>
          <w:highlight w:val="none"/>
        </w:rPr>
        <w:t>、社会</w:t>
      </w:r>
      <w:r>
        <w:rPr>
          <w:rFonts w:hint="eastAsia" w:ascii="仿宋_GB2312" w:hAnsi="仿宋_GB2312" w:eastAsia="仿宋_GB2312" w:cs="仿宋_GB2312"/>
          <w:color w:val="auto"/>
          <w:highlight w:val="none"/>
          <w:lang w:val="en-US" w:eastAsia="zh-CN"/>
        </w:rPr>
        <w:t>责任</w:t>
      </w:r>
      <w:r>
        <w:rPr>
          <w:rFonts w:hint="eastAsia" w:ascii="仿宋_GB2312" w:hAnsi="仿宋_GB2312" w:eastAsia="仿宋_GB2312" w:cs="仿宋_GB2312"/>
          <w:color w:val="auto"/>
          <w:highlight w:val="none"/>
        </w:rPr>
        <w:t>等各项指标得分</w:t>
      </w:r>
      <w:r>
        <w:rPr>
          <w:rFonts w:hint="eastAsia" w:ascii="仿宋_GB2312" w:hAnsi="仿宋_GB2312" w:eastAsia="仿宋_GB2312" w:cs="仿宋_GB2312"/>
          <w:color w:val="auto"/>
          <w:highlight w:val="none"/>
          <w:lang w:val="en-US" w:eastAsia="zh-CN"/>
        </w:rPr>
        <w:t>值计算得出</w:t>
      </w:r>
      <w:r>
        <w:rPr>
          <w:rFonts w:hint="eastAsia" w:ascii="仿宋_GB2312" w:hAnsi="仿宋_GB2312" w:eastAsia="仿宋_GB2312" w:cs="仿宋_GB2312"/>
          <w:color w:val="auto"/>
          <w:highlight w:val="none"/>
        </w:rPr>
        <w:t>。</w:t>
      </w:r>
    </w:p>
    <w:p w14:paraId="5791AF33">
      <w:pPr>
        <w:pStyle w:val="2"/>
        <w:keepNext w:val="0"/>
        <w:keepLines w:val="0"/>
        <w:pageBreakBefore w:val="0"/>
        <w:widowControl w:val="0"/>
        <w:kinsoku/>
        <w:wordWrap/>
        <w:overflowPunct/>
        <w:topLinePunct w:val="0"/>
        <w:autoSpaceDE/>
        <w:autoSpaceDN/>
        <w:bidi w:val="0"/>
        <w:adjustRightInd/>
        <w:spacing w:line="560" w:lineRule="exact"/>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公共信用与临空区特色信用满分分值按照一定</w:t>
      </w:r>
      <w:r>
        <w:rPr>
          <w:rFonts w:hint="eastAsia" w:eastAsia="仿宋_GB2312" w:cs="仿宋_GB2312"/>
          <w:color w:val="auto"/>
          <w:kern w:val="2"/>
          <w:sz w:val="32"/>
          <w:szCs w:val="24"/>
          <w:highlight w:val="none"/>
          <w:lang w:val="en-US" w:eastAsia="zh-CN" w:bidi="ar-SA"/>
        </w:rPr>
        <w:t>比例</w:t>
      </w:r>
      <w:r>
        <w:rPr>
          <w:rFonts w:hint="eastAsia" w:ascii="仿宋_GB2312" w:hAnsi="仿宋_GB2312" w:eastAsia="仿宋_GB2312" w:cs="仿宋_GB2312"/>
          <w:color w:val="auto"/>
          <w:kern w:val="2"/>
          <w:sz w:val="32"/>
          <w:szCs w:val="24"/>
          <w:highlight w:val="none"/>
          <w:lang w:val="en-US" w:eastAsia="zh-CN" w:bidi="ar-SA"/>
        </w:rPr>
        <w:t>进行分布。</w:t>
      </w:r>
    </w:p>
    <w:p w14:paraId="744A2DB9">
      <w:pPr>
        <w:widowControl/>
        <w:numPr>
          <w:ilvl w:val="0"/>
          <w:numId w:val="4"/>
        </w:numPr>
        <w:snapToGrid w:val="0"/>
        <w:spacing w:line="540" w:lineRule="exact"/>
        <w:ind w:firstLine="640" w:firstLineChars="200"/>
        <w:rPr>
          <w:rFonts w:ascii="Times New Roman" w:hAnsi="Times New Roman" w:eastAsia="仿宋_GB2312"/>
          <w:color w:val="auto"/>
          <w:sz w:val="32"/>
          <w:highlight w:val="none"/>
        </w:rPr>
      </w:pPr>
      <w:bookmarkStart w:id="12" w:name="_Hlk107911078"/>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val="en-US" w:eastAsia="zh-CN"/>
        </w:rPr>
        <w:t>临空区特色</w:t>
      </w:r>
      <w:r>
        <w:rPr>
          <w:rFonts w:hint="eastAsia" w:ascii="楷体_GB2312" w:hAnsi="楷体_GB2312" w:eastAsia="楷体_GB2312" w:cs="楷体_GB2312"/>
          <w:color w:val="auto"/>
          <w:sz w:val="32"/>
          <w:szCs w:val="32"/>
          <w:highlight w:val="none"/>
        </w:rPr>
        <w:t>指标】</w:t>
      </w:r>
      <w:r>
        <w:rPr>
          <w:rFonts w:hint="eastAsia" w:ascii="Times New Roman" w:hAnsi="Times New Roman"/>
          <w:color w:val="auto"/>
          <w:sz w:val="32"/>
          <w:szCs w:val="32"/>
          <w:highlight w:val="none"/>
          <w:lang w:val="en-US" w:eastAsia="zh-CN"/>
        </w:rPr>
        <w:t>临空区特色</w:t>
      </w:r>
      <w:r>
        <w:rPr>
          <w:rFonts w:ascii="Times New Roman" w:hAnsi="Times New Roman" w:eastAsia="仿宋_GB2312"/>
          <w:color w:val="auto"/>
          <w:sz w:val="32"/>
          <w:szCs w:val="32"/>
          <w:highlight w:val="none"/>
        </w:rPr>
        <w:t>信用评价指标体系由</w:t>
      </w:r>
      <w:r>
        <w:rPr>
          <w:rFonts w:hint="eastAsia" w:ascii="Times New Roman" w:hAnsi="Times New Roman"/>
          <w:color w:val="auto"/>
          <w:sz w:val="32"/>
          <w:highlight w:val="none"/>
          <w:lang w:val="en-US" w:eastAsia="zh-CN"/>
        </w:rPr>
        <w:t>守信履约</w:t>
      </w:r>
      <w:r>
        <w:rPr>
          <w:rFonts w:ascii="Times New Roman" w:hAnsi="Times New Roman" w:eastAsia="仿宋_GB2312"/>
          <w:color w:val="auto"/>
          <w:sz w:val="32"/>
          <w:highlight w:val="none"/>
        </w:rPr>
        <w:t>、遵纪守法、社会责任</w:t>
      </w:r>
      <w:r>
        <w:rPr>
          <w:rFonts w:hint="eastAsia" w:ascii="Times New Roman" w:hAnsi="Times New Roman"/>
          <w:color w:val="auto"/>
          <w:sz w:val="32"/>
          <w:highlight w:val="none"/>
          <w:lang w:val="en-US" w:eastAsia="zh-CN"/>
        </w:rPr>
        <w:t>三</w:t>
      </w:r>
      <w:r>
        <w:rPr>
          <w:rFonts w:ascii="Times New Roman" w:hAnsi="Times New Roman" w:eastAsia="仿宋_GB2312"/>
          <w:color w:val="auto"/>
          <w:sz w:val="32"/>
          <w:highlight w:val="none"/>
        </w:rPr>
        <w:t>个一级指标构成，并细分为</w:t>
      </w:r>
      <w:r>
        <w:rPr>
          <w:rFonts w:hint="eastAsia" w:ascii="Times New Roman" w:hAnsi="Times New Roman"/>
          <w:color w:val="auto"/>
          <w:sz w:val="32"/>
          <w:highlight w:val="none"/>
          <w:lang w:val="en-US" w:eastAsia="zh-CN"/>
        </w:rPr>
        <w:t>14</w:t>
      </w:r>
      <w:r>
        <w:rPr>
          <w:rFonts w:ascii="Times New Roman" w:hAnsi="Times New Roman" w:eastAsia="仿宋_GB2312"/>
          <w:color w:val="auto"/>
          <w:sz w:val="32"/>
          <w:highlight w:val="none"/>
        </w:rPr>
        <w:t>个二级指标。</w:t>
      </w:r>
    </w:p>
    <w:bookmarkEnd w:id="12"/>
    <w:p w14:paraId="4DCDB628">
      <w:pPr>
        <w:spacing w:line="540" w:lineRule="exact"/>
        <w:ind w:firstLine="640" w:firstLineChars="200"/>
        <w:rPr>
          <w:rFonts w:ascii="Times New Roman" w:hAnsi="Times New Roman" w:eastAsia="仿宋_GB2312"/>
          <w:color w:val="auto"/>
          <w:sz w:val="32"/>
          <w:highlight w:val="none"/>
        </w:rPr>
      </w:pPr>
      <w:r>
        <w:rPr>
          <w:rFonts w:ascii="Times New Roman" w:hAnsi="Times New Roman" w:eastAsia="仿宋_GB2312"/>
          <w:color w:val="auto"/>
          <w:sz w:val="32"/>
          <w:highlight w:val="none"/>
        </w:rPr>
        <w:t>（一）</w:t>
      </w:r>
      <w:r>
        <w:rPr>
          <w:rFonts w:hint="eastAsia" w:ascii="Times New Roman" w:hAnsi="Times New Roman"/>
          <w:color w:val="auto"/>
          <w:sz w:val="32"/>
          <w:highlight w:val="none"/>
          <w:lang w:val="en-US" w:eastAsia="zh-CN"/>
        </w:rPr>
        <w:t>守信履约</w:t>
      </w:r>
      <w:r>
        <w:rPr>
          <w:rFonts w:ascii="Times New Roman" w:hAnsi="Times New Roman" w:eastAsia="仿宋_GB2312"/>
          <w:color w:val="auto"/>
          <w:sz w:val="32"/>
          <w:highlight w:val="none"/>
        </w:rPr>
        <w:t>包含</w:t>
      </w:r>
      <w:r>
        <w:rPr>
          <w:rFonts w:hint="eastAsia" w:ascii="Times New Roman" w:hAnsi="Times New Roman"/>
          <w:color w:val="auto"/>
          <w:sz w:val="32"/>
          <w:highlight w:val="none"/>
          <w:lang w:eastAsia="zh-CN"/>
        </w:rPr>
        <w:t>“</w:t>
      </w:r>
      <w:r>
        <w:rPr>
          <w:rFonts w:hint="eastAsia" w:ascii="Times New Roman" w:hAnsi="Times New Roman"/>
          <w:color w:val="auto"/>
          <w:sz w:val="32"/>
          <w:highlight w:val="none"/>
          <w:lang w:val="en-US" w:eastAsia="zh-CN"/>
        </w:rPr>
        <w:t>告知承诺</w:t>
      </w:r>
      <w:r>
        <w:rPr>
          <w:rFonts w:hint="eastAsia" w:ascii="Times New Roman" w:hAnsi="Times New Roman"/>
          <w:color w:val="auto"/>
          <w:sz w:val="32"/>
          <w:highlight w:val="none"/>
          <w:lang w:eastAsia="zh-CN"/>
        </w:rPr>
        <w:t>”“</w:t>
      </w:r>
      <w:r>
        <w:rPr>
          <w:rFonts w:hint="eastAsia" w:ascii="Times New Roman" w:hAnsi="Times New Roman"/>
          <w:color w:val="auto"/>
          <w:sz w:val="32"/>
          <w:highlight w:val="none"/>
          <w:lang w:val="en-US" w:eastAsia="zh-CN"/>
        </w:rPr>
        <w:t>云踏勘</w:t>
      </w:r>
      <w:r>
        <w:rPr>
          <w:rFonts w:hint="eastAsia" w:ascii="Times New Roman" w:hAnsi="Times New Roman"/>
          <w:color w:val="auto"/>
          <w:sz w:val="32"/>
          <w:highlight w:val="none"/>
          <w:lang w:eastAsia="zh-CN"/>
        </w:rPr>
        <w:t>”“</w:t>
      </w:r>
      <w:r>
        <w:rPr>
          <w:rFonts w:hint="eastAsia" w:ascii="Times New Roman" w:hAnsi="Times New Roman"/>
          <w:color w:val="auto"/>
          <w:sz w:val="32"/>
          <w:highlight w:val="none"/>
          <w:lang w:val="en-US" w:eastAsia="zh-CN"/>
        </w:rPr>
        <w:t>备查制</w:t>
      </w:r>
      <w:r>
        <w:rPr>
          <w:rFonts w:hint="eastAsia" w:ascii="Times New Roman" w:hAnsi="Times New Roman"/>
          <w:color w:val="auto"/>
          <w:sz w:val="32"/>
          <w:highlight w:val="none"/>
          <w:lang w:eastAsia="zh-CN"/>
        </w:rPr>
        <w:t>”“</w:t>
      </w:r>
      <w:r>
        <w:rPr>
          <w:rFonts w:hint="eastAsia" w:ascii="Times New Roman" w:hAnsi="Times New Roman"/>
          <w:color w:val="auto"/>
          <w:sz w:val="32"/>
          <w:highlight w:val="none"/>
          <w:lang w:val="en-US" w:eastAsia="zh-CN"/>
        </w:rPr>
        <w:t>容缺后补</w:t>
      </w:r>
      <w:r>
        <w:rPr>
          <w:rFonts w:hint="eastAsia" w:ascii="Times New Roman" w:hAnsi="Times New Roman"/>
          <w:color w:val="auto"/>
          <w:sz w:val="32"/>
          <w:highlight w:val="none"/>
          <w:lang w:eastAsia="zh-CN"/>
        </w:rPr>
        <w:t>”“</w:t>
      </w:r>
      <w:r>
        <w:rPr>
          <w:rFonts w:hint="eastAsia" w:ascii="Times New Roman" w:hAnsi="Times New Roman"/>
          <w:color w:val="auto"/>
          <w:sz w:val="32"/>
          <w:highlight w:val="none"/>
          <w:lang w:val="en-US" w:eastAsia="zh-CN"/>
        </w:rPr>
        <w:t>履约监管协议</w:t>
      </w:r>
      <w:r>
        <w:rPr>
          <w:rFonts w:hint="eastAsia" w:ascii="Times New Roman" w:hAnsi="Times New Roman"/>
          <w:color w:val="auto"/>
          <w:sz w:val="32"/>
          <w:highlight w:val="none"/>
          <w:lang w:eastAsia="zh-CN"/>
        </w:rPr>
        <w:t>”</w:t>
      </w:r>
      <w:r>
        <w:rPr>
          <w:rFonts w:hint="eastAsia" w:ascii="Times New Roman" w:hAnsi="Times New Roman"/>
          <w:color w:val="auto"/>
          <w:sz w:val="32"/>
          <w:highlight w:val="none"/>
          <w:lang w:val="en-US" w:eastAsia="zh-CN"/>
        </w:rPr>
        <w:t>5</w:t>
      </w:r>
      <w:r>
        <w:rPr>
          <w:rFonts w:ascii="Times New Roman" w:hAnsi="Times New Roman" w:eastAsia="仿宋_GB2312"/>
          <w:color w:val="auto"/>
          <w:sz w:val="32"/>
          <w:highlight w:val="none"/>
        </w:rPr>
        <w:t>个二级指标，反映企业诚信开展经营活动的情况。</w:t>
      </w:r>
    </w:p>
    <w:p w14:paraId="04761B42">
      <w:pPr>
        <w:spacing w:line="540" w:lineRule="exact"/>
        <w:ind w:firstLine="640" w:firstLineChars="200"/>
        <w:rPr>
          <w:rFonts w:ascii="Times New Roman" w:hAnsi="Times New Roman" w:eastAsia="仿宋_GB2312"/>
          <w:color w:val="auto"/>
          <w:sz w:val="32"/>
          <w:highlight w:val="none"/>
        </w:rPr>
      </w:pPr>
      <w:r>
        <w:rPr>
          <w:rFonts w:ascii="Times New Roman" w:hAnsi="Times New Roman" w:eastAsia="仿宋_GB2312"/>
          <w:color w:val="auto"/>
          <w:sz w:val="32"/>
          <w:highlight w:val="none"/>
        </w:rPr>
        <w:t>（二）遵纪守法包含</w:t>
      </w:r>
      <w:r>
        <w:rPr>
          <w:rFonts w:hint="eastAsia" w:ascii="Times New Roman" w:hAnsi="Times New Roman"/>
          <w:color w:val="auto"/>
          <w:sz w:val="32"/>
          <w:highlight w:val="none"/>
          <w:lang w:eastAsia="zh-CN"/>
        </w:rPr>
        <w:t>“</w:t>
      </w:r>
      <w:r>
        <w:rPr>
          <w:rFonts w:ascii="Times New Roman" w:hAnsi="Times New Roman" w:eastAsia="仿宋_GB2312"/>
          <w:color w:val="auto"/>
          <w:sz w:val="32"/>
          <w:highlight w:val="none"/>
        </w:rPr>
        <w:t>行政执法</w:t>
      </w:r>
      <w:r>
        <w:rPr>
          <w:rFonts w:hint="eastAsia" w:ascii="Times New Roman" w:hAnsi="Times New Roman"/>
          <w:color w:val="auto"/>
          <w:sz w:val="32"/>
          <w:highlight w:val="none"/>
          <w:lang w:eastAsia="zh-CN"/>
        </w:rPr>
        <w:t>”“</w:t>
      </w:r>
      <w:r>
        <w:rPr>
          <w:rFonts w:hint="eastAsia" w:ascii="Times New Roman" w:hAnsi="Times New Roman"/>
          <w:color w:val="auto"/>
          <w:sz w:val="32"/>
          <w:highlight w:val="none"/>
          <w:lang w:val="en-US" w:eastAsia="zh-CN"/>
        </w:rPr>
        <w:t>行政许可撤销</w:t>
      </w:r>
      <w:r>
        <w:rPr>
          <w:rFonts w:hint="eastAsia" w:ascii="Times New Roman" w:hAnsi="Times New Roman"/>
          <w:color w:val="auto"/>
          <w:sz w:val="32"/>
          <w:highlight w:val="none"/>
          <w:lang w:eastAsia="zh-CN"/>
        </w:rPr>
        <w:t>”“</w:t>
      </w:r>
      <w:r>
        <w:rPr>
          <w:rFonts w:hint="eastAsia" w:ascii="Times New Roman" w:hAnsi="Times New Roman"/>
          <w:color w:val="auto"/>
          <w:sz w:val="32"/>
          <w:highlight w:val="none"/>
          <w:lang w:val="en-US" w:eastAsia="zh-CN"/>
        </w:rPr>
        <w:t>异常经营</w:t>
      </w:r>
      <w:r>
        <w:rPr>
          <w:rFonts w:hint="eastAsia" w:ascii="Times New Roman" w:hAnsi="Times New Roman"/>
          <w:color w:val="auto"/>
          <w:sz w:val="32"/>
          <w:highlight w:val="none"/>
          <w:lang w:eastAsia="zh-CN"/>
        </w:rPr>
        <w:t>”“</w:t>
      </w:r>
      <w:r>
        <w:rPr>
          <w:rFonts w:hint="eastAsia" w:ascii="Times New Roman" w:hAnsi="Times New Roman"/>
          <w:color w:val="auto"/>
          <w:sz w:val="32"/>
          <w:highlight w:val="none"/>
          <w:lang w:val="en-US" w:eastAsia="zh-CN"/>
        </w:rPr>
        <w:t>纳税异常</w:t>
      </w:r>
      <w:r>
        <w:rPr>
          <w:rFonts w:hint="eastAsia" w:ascii="Times New Roman" w:hAnsi="Times New Roman"/>
          <w:color w:val="auto"/>
          <w:sz w:val="32"/>
          <w:highlight w:val="none"/>
          <w:lang w:eastAsia="zh-CN"/>
        </w:rPr>
        <w:t>”“</w:t>
      </w:r>
      <w:r>
        <w:rPr>
          <w:rFonts w:hint="eastAsia" w:ascii="Times New Roman" w:hAnsi="Times New Roman"/>
          <w:color w:val="auto"/>
          <w:sz w:val="32"/>
          <w:highlight w:val="none"/>
          <w:lang w:val="en-US" w:eastAsia="zh-CN"/>
        </w:rPr>
        <w:t>行业监管评价</w:t>
      </w:r>
      <w:r>
        <w:rPr>
          <w:rFonts w:hint="eastAsia" w:ascii="Times New Roman" w:hAnsi="Times New Roman"/>
          <w:color w:val="auto"/>
          <w:sz w:val="32"/>
          <w:highlight w:val="none"/>
          <w:lang w:eastAsia="zh-CN"/>
        </w:rPr>
        <w:t>”</w:t>
      </w:r>
      <w:r>
        <w:rPr>
          <w:rFonts w:hint="eastAsia" w:ascii="Times New Roman" w:hAnsi="Times New Roman"/>
          <w:color w:val="auto"/>
          <w:sz w:val="32"/>
          <w:highlight w:val="none"/>
          <w:lang w:val="en-US" w:eastAsia="zh-CN"/>
        </w:rPr>
        <w:t>5</w:t>
      </w:r>
      <w:r>
        <w:rPr>
          <w:rFonts w:ascii="Times New Roman" w:hAnsi="Times New Roman" w:eastAsia="仿宋_GB2312"/>
          <w:color w:val="auto"/>
          <w:sz w:val="32"/>
          <w:highlight w:val="none"/>
        </w:rPr>
        <w:t>个二级指标，反映企业遵守法律法规、行政规章制度等情况。</w:t>
      </w:r>
    </w:p>
    <w:p w14:paraId="39F31B4E">
      <w:pPr>
        <w:spacing w:line="540" w:lineRule="exact"/>
        <w:ind w:firstLine="640" w:firstLineChars="200"/>
        <w:rPr>
          <w:rFonts w:ascii="Times New Roman" w:hAnsi="Times New Roman" w:eastAsia="仿宋_GB2312"/>
          <w:color w:val="auto"/>
          <w:sz w:val="32"/>
          <w:highlight w:val="none"/>
        </w:rPr>
      </w:pPr>
      <w:bookmarkStart w:id="13" w:name="_Hlk117521203"/>
      <w:r>
        <w:rPr>
          <w:rFonts w:ascii="Times New Roman" w:hAnsi="Times New Roman" w:eastAsia="仿宋_GB2312"/>
          <w:color w:val="auto"/>
          <w:sz w:val="32"/>
          <w:highlight w:val="none"/>
        </w:rPr>
        <w:t>（三）</w:t>
      </w:r>
      <w:bookmarkEnd w:id="13"/>
      <w:r>
        <w:rPr>
          <w:rFonts w:hint="eastAsia" w:ascii="Times New Roman" w:hAnsi="Times New Roman"/>
          <w:color w:val="auto"/>
          <w:sz w:val="32"/>
          <w:highlight w:val="none"/>
          <w:lang w:val="en-US" w:eastAsia="zh-CN"/>
        </w:rPr>
        <w:t>社会责任</w:t>
      </w:r>
      <w:r>
        <w:rPr>
          <w:rFonts w:ascii="Times New Roman" w:hAnsi="Times New Roman" w:eastAsia="仿宋_GB2312"/>
          <w:color w:val="auto"/>
          <w:sz w:val="32"/>
          <w:highlight w:val="none"/>
        </w:rPr>
        <w:t>包含</w:t>
      </w:r>
      <w:r>
        <w:rPr>
          <w:rFonts w:hint="eastAsia" w:ascii="Times New Roman" w:hAnsi="Times New Roman"/>
          <w:color w:val="auto"/>
          <w:sz w:val="32"/>
          <w:highlight w:val="none"/>
          <w:lang w:eastAsia="zh-CN"/>
        </w:rPr>
        <w:t>“</w:t>
      </w:r>
      <w:r>
        <w:rPr>
          <w:rFonts w:hint="eastAsia" w:ascii="Times New Roman" w:hAnsi="Times New Roman"/>
          <w:color w:val="auto"/>
          <w:sz w:val="32"/>
          <w:highlight w:val="none"/>
          <w:lang w:val="en-US" w:eastAsia="zh-CN"/>
        </w:rPr>
        <w:t>纳税贡献</w:t>
      </w:r>
      <w:r>
        <w:rPr>
          <w:rFonts w:hint="eastAsia" w:ascii="Times New Roman" w:hAnsi="Times New Roman"/>
          <w:color w:val="auto"/>
          <w:sz w:val="32"/>
          <w:highlight w:val="none"/>
          <w:lang w:eastAsia="zh-CN"/>
        </w:rPr>
        <w:t>”“</w:t>
      </w:r>
      <w:r>
        <w:rPr>
          <w:rFonts w:hint="eastAsia" w:ascii="Times New Roman" w:hAnsi="Times New Roman"/>
          <w:color w:val="auto"/>
          <w:sz w:val="32"/>
          <w:highlight w:val="none"/>
          <w:lang w:val="en-US" w:eastAsia="zh-CN"/>
        </w:rPr>
        <w:t>科技创新</w:t>
      </w:r>
      <w:r>
        <w:rPr>
          <w:rFonts w:hint="eastAsia" w:ascii="Times New Roman" w:hAnsi="Times New Roman"/>
          <w:color w:val="auto"/>
          <w:sz w:val="32"/>
          <w:highlight w:val="none"/>
          <w:lang w:eastAsia="zh-CN"/>
        </w:rPr>
        <w:t>”“</w:t>
      </w:r>
      <w:r>
        <w:rPr>
          <w:rFonts w:hint="eastAsia" w:ascii="Times New Roman" w:hAnsi="Times New Roman"/>
          <w:color w:val="auto"/>
          <w:sz w:val="32"/>
          <w:highlight w:val="none"/>
          <w:lang w:val="en-US" w:eastAsia="zh-CN"/>
        </w:rPr>
        <w:t>绿色环保</w:t>
      </w:r>
      <w:r>
        <w:rPr>
          <w:rFonts w:hint="eastAsia" w:ascii="Times New Roman" w:hAnsi="Times New Roman"/>
          <w:color w:val="auto"/>
          <w:sz w:val="32"/>
          <w:highlight w:val="none"/>
          <w:lang w:eastAsia="zh-CN"/>
        </w:rPr>
        <w:t>”“</w:t>
      </w:r>
      <w:r>
        <w:rPr>
          <w:rFonts w:hint="eastAsia" w:ascii="Times New Roman" w:hAnsi="Times New Roman"/>
          <w:color w:val="auto"/>
          <w:sz w:val="32"/>
          <w:highlight w:val="none"/>
          <w:lang w:val="en-US" w:eastAsia="zh-CN"/>
        </w:rPr>
        <w:t>表彰奖励</w:t>
      </w:r>
      <w:r>
        <w:rPr>
          <w:rFonts w:hint="eastAsia" w:ascii="Times New Roman" w:hAnsi="Times New Roman"/>
          <w:color w:val="auto"/>
          <w:sz w:val="32"/>
          <w:highlight w:val="none"/>
          <w:lang w:eastAsia="zh-CN"/>
        </w:rPr>
        <w:t>”</w:t>
      </w:r>
      <w:r>
        <w:rPr>
          <w:rFonts w:hint="eastAsia" w:ascii="Times New Roman" w:hAnsi="Times New Roman"/>
          <w:color w:val="auto"/>
          <w:sz w:val="32"/>
          <w:highlight w:val="none"/>
          <w:lang w:val="en-US" w:eastAsia="zh-CN"/>
        </w:rPr>
        <w:t>4</w:t>
      </w:r>
      <w:r>
        <w:rPr>
          <w:rFonts w:ascii="Times New Roman" w:hAnsi="Times New Roman" w:eastAsia="仿宋_GB2312"/>
          <w:color w:val="auto"/>
          <w:sz w:val="32"/>
          <w:highlight w:val="none"/>
        </w:rPr>
        <w:t>个二级指标，反映企业履行社会责任</w:t>
      </w:r>
      <w:r>
        <w:rPr>
          <w:rFonts w:hint="eastAsia" w:ascii="Times New Roman" w:hAnsi="Times New Roman"/>
          <w:color w:val="auto"/>
          <w:sz w:val="32"/>
          <w:highlight w:val="none"/>
          <w:lang w:eastAsia="zh-CN"/>
        </w:rPr>
        <w:t>、</w:t>
      </w:r>
      <w:r>
        <w:rPr>
          <w:rFonts w:ascii="Times New Roman" w:hAnsi="Times New Roman" w:eastAsia="仿宋_GB2312"/>
          <w:color w:val="auto"/>
          <w:sz w:val="32"/>
          <w:highlight w:val="none"/>
        </w:rPr>
        <w:t>获得政府激励、表彰和资质等情况。</w:t>
      </w:r>
    </w:p>
    <w:p w14:paraId="16FB4E03">
      <w:pPr>
        <w:widowControl/>
        <w:numPr>
          <w:ilvl w:val="0"/>
          <w:numId w:val="4"/>
        </w:numPr>
        <w:snapToGrid w:val="0"/>
        <w:spacing w:line="540" w:lineRule="exact"/>
        <w:ind w:firstLine="640" w:firstLineChars="200"/>
        <w:contextualSpacing/>
        <w:rPr>
          <w:rFonts w:ascii="Times New Roman" w:hAnsi="Times New Roman" w:eastAsia="仿宋_GB2312"/>
          <w:color w:val="auto"/>
          <w:sz w:val="32"/>
          <w:szCs w:val="32"/>
          <w:highlight w:val="none"/>
        </w:rPr>
      </w:pPr>
      <w:r>
        <w:rPr>
          <w:rFonts w:hint="eastAsia" w:ascii="楷体_GB2312" w:hAnsi="楷体_GB2312" w:eastAsia="楷体_GB2312" w:cs="楷体_GB2312"/>
          <w:color w:val="auto"/>
          <w:sz w:val="32"/>
          <w:szCs w:val="32"/>
          <w:highlight w:val="none"/>
        </w:rPr>
        <w:t>【评价方法】</w:t>
      </w:r>
      <w:r>
        <w:rPr>
          <w:rFonts w:ascii="Times New Roman" w:hAnsi="Times New Roman" w:eastAsia="仿宋_GB2312"/>
          <w:color w:val="auto"/>
          <w:sz w:val="32"/>
          <w:szCs w:val="32"/>
          <w:highlight w:val="none"/>
        </w:rPr>
        <w:t>根据</w:t>
      </w:r>
      <w:r>
        <w:rPr>
          <w:rFonts w:hint="eastAsia" w:ascii="Times New Roman" w:hAnsi="Times New Roman"/>
          <w:color w:val="auto"/>
          <w:sz w:val="32"/>
          <w:szCs w:val="32"/>
          <w:highlight w:val="none"/>
          <w:lang w:val="en-US" w:eastAsia="zh-CN"/>
        </w:rPr>
        <w:t>行政相对人信用</w:t>
      </w:r>
      <w:r>
        <w:rPr>
          <w:rFonts w:ascii="Times New Roman" w:hAnsi="Times New Roman" w:eastAsia="仿宋_GB2312"/>
          <w:color w:val="auto"/>
          <w:sz w:val="32"/>
          <w:szCs w:val="32"/>
          <w:highlight w:val="none"/>
        </w:rPr>
        <w:t>评价指标体系，</w:t>
      </w:r>
      <w:r>
        <w:rPr>
          <w:rFonts w:hint="eastAsia" w:ascii="Times New Roman" w:hAnsi="Times New Roman" w:eastAsia="仿宋_GB2312"/>
          <w:color w:val="auto"/>
          <w:sz w:val="32"/>
          <w:szCs w:val="32"/>
          <w:highlight w:val="none"/>
        </w:rPr>
        <w:t>依托</w:t>
      </w:r>
      <w:r>
        <w:rPr>
          <w:rFonts w:hint="eastAsia" w:ascii="Times New Roman" w:hAnsi="Times New Roman"/>
          <w:color w:val="auto"/>
          <w:sz w:val="32"/>
          <w:szCs w:val="32"/>
          <w:highlight w:val="none"/>
          <w:lang w:val="en-US" w:eastAsia="zh-CN"/>
        </w:rPr>
        <w:t>信用信息平台</w:t>
      </w:r>
      <w:r>
        <w:rPr>
          <w:rFonts w:ascii="Times New Roman" w:hAnsi="Times New Roman" w:eastAsia="仿宋_GB2312"/>
          <w:color w:val="auto"/>
          <w:sz w:val="32"/>
          <w:szCs w:val="32"/>
          <w:highlight w:val="none"/>
        </w:rPr>
        <w:t>建立</w:t>
      </w:r>
      <w:r>
        <w:rPr>
          <w:rFonts w:hint="eastAsia" w:ascii="Times New Roman" w:hAnsi="Times New Roman" w:eastAsia="仿宋_GB2312"/>
          <w:color w:val="auto"/>
          <w:sz w:val="32"/>
          <w:szCs w:val="32"/>
          <w:highlight w:val="none"/>
        </w:rPr>
        <w:t>评分规则</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基于平台归集的数据，</w:t>
      </w:r>
      <w:r>
        <w:rPr>
          <w:rFonts w:ascii="Times New Roman" w:hAnsi="Times New Roman" w:eastAsia="仿宋_GB2312"/>
          <w:color w:val="auto"/>
          <w:sz w:val="32"/>
          <w:szCs w:val="32"/>
          <w:highlight w:val="none"/>
        </w:rPr>
        <w:t>运用模型算法自动计算</w:t>
      </w:r>
      <w:r>
        <w:rPr>
          <w:rFonts w:hint="eastAsia" w:ascii="Times New Roman" w:hAnsi="Times New Roman"/>
          <w:color w:val="auto"/>
          <w:sz w:val="32"/>
          <w:szCs w:val="32"/>
          <w:highlight w:val="none"/>
          <w:lang w:val="en-US" w:eastAsia="zh-CN"/>
        </w:rPr>
        <w:t>及人工辅助核算</w:t>
      </w:r>
      <w:r>
        <w:rPr>
          <w:rFonts w:hint="eastAsia" w:ascii="Times New Roman" w:hAnsi="Times New Roman" w:eastAsia="仿宋_GB2312"/>
          <w:color w:val="auto"/>
          <w:sz w:val="32"/>
          <w:szCs w:val="32"/>
          <w:highlight w:val="none"/>
        </w:rPr>
        <w:t>，完成</w:t>
      </w:r>
      <w:r>
        <w:rPr>
          <w:rFonts w:hint="eastAsia" w:ascii="Times New Roman" w:hAnsi="Times New Roman"/>
          <w:color w:val="auto"/>
          <w:sz w:val="32"/>
          <w:szCs w:val="32"/>
          <w:highlight w:val="none"/>
          <w:lang w:val="en-US" w:eastAsia="zh-CN"/>
        </w:rPr>
        <w:t>行政相对人信用</w:t>
      </w:r>
      <w:r>
        <w:rPr>
          <w:rFonts w:hint="eastAsia" w:ascii="Times New Roman" w:hAnsi="Times New Roman" w:eastAsia="仿宋_GB2312"/>
          <w:color w:val="auto"/>
          <w:sz w:val="32"/>
          <w:szCs w:val="32"/>
          <w:highlight w:val="none"/>
        </w:rPr>
        <w:t>评价</w:t>
      </w:r>
      <w:r>
        <w:rPr>
          <w:rFonts w:ascii="Times New Roman" w:hAnsi="Times New Roman" w:eastAsia="仿宋_GB2312"/>
          <w:color w:val="auto"/>
          <w:sz w:val="32"/>
          <w:szCs w:val="32"/>
          <w:highlight w:val="none"/>
        </w:rPr>
        <w:t>。</w:t>
      </w:r>
    </w:p>
    <w:p w14:paraId="1D74FD56">
      <w:pPr>
        <w:pStyle w:val="2"/>
        <w:spacing w:line="540" w:lineRule="exact"/>
        <w:ind w:firstLine="64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第一步，判断评价指标的基本特征。根据指标数据对输出结果的影响，将评价指标的基本特征分为正向相关和负向相关两类。</w:t>
      </w:r>
    </w:p>
    <w:p w14:paraId="1B481B7F">
      <w:pPr>
        <w:pStyle w:val="2"/>
        <w:spacing w:line="540" w:lineRule="exact"/>
        <w:ind w:firstLine="64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第二步，确定指标权重。综合考察现有的权重计算方法和评价指标体系特点，运用大数据技术、德尔菲法和层次分析法综合分析指标权重，通过AHP分析软件进行矩阵运算，确定指标权重系数。</w:t>
      </w:r>
    </w:p>
    <w:p w14:paraId="24FC51AE">
      <w:pPr>
        <w:pStyle w:val="2"/>
        <w:spacing w:line="540" w:lineRule="exact"/>
        <w:ind w:firstLine="64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第三步，计算指标得分值。根据指标基本特征和评价数据的分布情况以及对</w:t>
      </w:r>
      <w:r>
        <w:rPr>
          <w:rFonts w:hint="eastAsia" w:ascii="Times New Roman" w:hAnsi="Times New Roman" w:eastAsia="仿宋_GB2312"/>
          <w:color w:val="auto"/>
          <w:sz w:val="32"/>
          <w:szCs w:val="32"/>
          <w:highlight w:val="none"/>
          <w:lang w:val="en-US" w:eastAsia="zh-CN"/>
        </w:rPr>
        <w:t>行政相对人</w:t>
      </w:r>
      <w:r>
        <w:rPr>
          <w:rFonts w:ascii="Times New Roman" w:hAnsi="Times New Roman" w:eastAsia="仿宋_GB2312"/>
          <w:color w:val="auto"/>
          <w:sz w:val="32"/>
          <w:szCs w:val="32"/>
          <w:highlight w:val="none"/>
        </w:rPr>
        <w:t>信用状况的影响程度，对数据进行处理，计算出指标得分值X</w:t>
      </w:r>
      <w:r>
        <w:rPr>
          <w:rFonts w:ascii="Times New Roman" w:hAnsi="Times New Roman" w:eastAsia="仿宋_GB2312"/>
          <w:color w:val="auto"/>
          <w:sz w:val="32"/>
          <w:szCs w:val="32"/>
          <w:highlight w:val="none"/>
          <w:vertAlign w:val="subscript"/>
        </w:rPr>
        <w:t>n</w:t>
      </w:r>
      <w:r>
        <w:rPr>
          <w:rFonts w:ascii="Times New Roman" w:hAnsi="Times New Roman" w:eastAsia="仿宋_GB2312"/>
          <w:color w:val="auto"/>
          <w:sz w:val="32"/>
          <w:szCs w:val="32"/>
          <w:highlight w:val="none"/>
        </w:rPr>
        <w:t>。</w:t>
      </w:r>
    </w:p>
    <w:p w14:paraId="56945EB4">
      <w:pPr>
        <w:ind w:firstLine="640" w:firstLineChars="200"/>
        <w:rPr>
          <w:rFonts w:ascii="Times New Roman" w:hAnsi="Times New Roman" w:eastAsia="仿宋_GB2312"/>
          <w:color w:val="auto"/>
          <w:sz w:val="32"/>
          <w:szCs w:val="32"/>
          <w:highlight w:val="none"/>
        </w:rPr>
      </w:pPr>
      <w:r>
        <w:rPr>
          <w:rFonts w:ascii="仿宋_GB2312" w:hAnsi="宋体" w:eastAsia="仿宋_GB2312" w:cs="仿宋_GB2312"/>
          <w:i w:val="0"/>
          <w:iCs w:val="0"/>
          <w:caps w:val="0"/>
          <w:color w:val="auto"/>
          <w:spacing w:val="0"/>
          <w:sz w:val="32"/>
          <w:szCs w:val="32"/>
          <w:highlight w:val="none"/>
          <w:shd w:val="clear" w:color="auto" w:fill="FFFFFF"/>
        </w:rPr>
        <w:t>同一个行为符合不同计分标准的，采用分值较高的指标进行认定；符合同一指标加减分的行为发生多次的，</w:t>
      </w:r>
      <w:r>
        <w:rPr>
          <w:rFonts w:hint="eastAsia" w:ascii="仿宋_GB2312" w:hAnsi="宋体" w:eastAsia="仿宋_GB2312" w:cs="仿宋_GB2312"/>
          <w:i w:val="0"/>
          <w:iCs w:val="0"/>
          <w:caps w:val="0"/>
          <w:color w:val="auto"/>
          <w:spacing w:val="0"/>
          <w:sz w:val="32"/>
          <w:szCs w:val="32"/>
          <w:highlight w:val="none"/>
          <w:shd w:val="clear" w:color="auto" w:fill="FFFFFF"/>
        </w:rPr>
        <w:t>累计参与计分</w:t>
      </w:r>
      <w:r>
        <w:rPr>
          <w:rFonts w:hint="eastAsia" w:hAnsi="宋体" w:cs="仿宋_GB2312"/>
          <w:i w:val="0"/>
          <w:iCs w:val="0"/>
          <w:caps w:val="0"/>
          <w:color w:val="auto"/>
          <w:spacing w:val="0"/>
          <w:sz w:val="32"/>
          <w:szCs w:val="32"/>
          <w:highlight w:val="none"/>
          <w:shd w:val="clear" w:color="auto" w:fill="FFFFFF"/>
          <w:lang w:eastAsia="zh-CN"/>
        </w:rPr>
        <w:t>，</w:t>
      </w:r>
      <w:r>
        <w:rPr>
          <w:rFonts w:hint="eastAsia" w:hAnsi="宋体" w:cs="仿宋_GB2312"/>
          <w:i w:val="0"/>
          <w:iCs w:val="0"/>
          <w:caps w:val="0"/>
          <w:color w:val="auto"/>
          <w:spacing w:val="0"/>
          <w:sz w:val="32"/>
          <w:szCs w:val="32"/>
          <w:highlight w:val="none"/>
          <w:shd w:val="clear" w:color="auto" w:fill="FFFFFF"/>
          <w:lang w:val="en-US" w:eastAsia="zh-CN"/>
        </w:rPr>
        <w:t>减分累计不设上限，加分累计不超过对应二级指标最高分值设定</w:t>
      </w:r>
      <w:r>
        <w:rPr>
          <w:rFonts w:hint="eastAsia" w:ascii="仿宋_GB2312" w:hAnsi="宋体" w:eastAsia="仿宋_GB2312" w:cs="仿宋_GB2312"/>
          <w:i w:val="0"/>
          <w:iCs w:val="0"/>
          <w:caps w:val="0"/>
          <w:color w:val="auto"/>
          <w:spacing w:val="0"/>
          <w:sz w:val="32"/>
          <w:szCs w:val="32"/>
          <w:highlight w:val="none"/>
          <w:shd w:val="clear" w:color="auto" w:fill="FFFFFF"/>
        </w:rPr>
        <w:t>。</w:t>
      </w:r>
    </w:p>
    <w:p w14:paraId="59E320BD">
      <w:pPr>
        <w:pStyle w:val="2"/>
        <w:spacing w:line="540" w:lineRule="exact"/>
        <w:ind w:firstLine="64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第四步，将第三步计算出的各项指标得分值相加，得出</w:t>
      </w:r>
      <w:r>
        <w:rPr>
          <w:rFonts w:hint="eastAsia" w:ascii="Times New Roman" w:hAnsi="Times New Roman" w:eastAsia="仿宋_GB2312" w:cs="Times New Roman"/>
          <w:color w:val="auto"/>
          <w:sz w:val="32"/>
          <w:szCs w:val="32"/>
          <w:highlight w:val="none"/>
          <w:lang w:val="en-US" w:eastAsia="zh-CN"/>
        </w:rPr>
        <w:t>行政相对人临空区特色信用</w:t>
      </w:r>
      <w:r>
        <w:rPr>
          <w:rFonts w:hint="eastAsia" w:ascii="Times New Roman" w:hAnsi="Times New Roman" w:eastAsia="仿宋_GB2312" w:cs="Times New Roman"/>
          <w:color w:val="auto"/>
          <w:sz w:val="32"/>
          <w:szCs w:val="32"/>
          <w:highlight w:val="none"/>
        </w:rPr>
        <w:t>得分，得分计算公式：</w:t>
      </w:r>
    </w:p>
    <w:p w14:paraId="7A0E6F66">
      <w:pPr>
        <w:widowControl/>
        <w:snapToGrid w:val="0"/>
        <w:spacing w:line="360" w:lineRule="auto"/>
        <w:contextualSpacing/>
        <w:jc w:val="center"/>
        <w:rPr>
          <w:rFonts w:ascii="Times New Roman" w:hAnsi="Times New Roman" w:eastAsia="仿宋_GB2312"/>
          <w:color w:val="auto"/>
          <w:sz w:val="32"/>
          <w:szCs w:val="32"/>
          <w:highlight w:val="none"/>
        </w:rPr>
      </w:pPr>
      <w:r>
        <w:rPr>
          <w:color w:val="auto"/>
          <w:highlight w:val="none"/>
        </w:rPr>
        <w:drawing>
          <wp:inline distT="0" distB="0" distL="114300" distR="114300">
            <wp:extent cx="2710815" cy="577215"/>
            <wp:effectExtent l="0" t="0" r="0"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0"/>
                    <a:stretch>
                      <a:fillRect/>
                    </a:stretch>
                  </pic:blipFill>
                  <pic:spPr>
                    <a:xfrm>
                      <a:off x="0" y="0"/>
                      <a:ext cx="2710815" cy="577215"/>
                    </a:xfrm>
                    <a:prstGeom prst="rect">
                      <a:avLst/>
                    </a:prstGeom>
                    <a:noFill/>
                    <a:ln>
                      <a:noFill/>
                    </a:ln>
                  </pic:spPr>
                </pic:pic>
              </a:graphicData>
            </a:graphic>
          </wp:inline>
        </w:drawing>
      </w:r>
    </w:p>
    <w:p w14:paraId="32A326BE">
      <w:pPr>
        <w:widowControl/>
        <w:snapToGrid w:val="0"/>
        <w:spacing w:line="540" w:lineRule="exact"/>
        <w:ind w:firstLine="640" w:firstLineChars="200"/>
        <w:contextualSpacing/>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其中，</w:t>
      </w:r>
      <w:r>
        <w:rPr>
          <w:rFonts w:hint="eastAsia" w:ascii="Times New Roman" w:hAnsi="Times New Roman" w:eastAsia="仿宋_GB2312"/>
          <w:color w:val="auto"/>
          <w:sz w:val="32"/>
          <w:szCs w:val="32"/>
          <w:highlight w:val="none"/>
        </w:rPr>
        <w:t>n为</w:t>
      </w:r>
      <w:r>
        <w:rPr>
          <w:rFonts w:hint="eastAsia" w:ascii="Times New Roman" w:hAnsi="Times New Roman"/>
          <w:color w:val="auto"/>
          <w:sz w:val="32"/>
          <w:szCs w:val="32"/>
          <w:highlight w:val="none"/>
          <w:lang w:val="en-US" w:eastAsia="zh-CN"/>
        </w:rPr>
        <w:t>行政相对人临空区特色</w:t>
      </w:r>
      <w:r>
        <w:rPr>
          <w:rFonts w:hint="eastAsia" w:ascii="Times New Roman" w:hAnsi="Times New Roman" w:eastAsia="仿宋_GB2312"/>
          <w:color w:val="auto"/>
          <w:sz w:val="32"/>
          <w:szCs w:val="32"/>
          <w:highlight w:val="none"/>
        </w:rPr>
        <w:t>信用评价指标体系中的第n项三级指标，其上界为m，下界为1；X</w:t>
      </w:r>
      <w:r>
        <w:rPr>
          <w:rFonts w:ascii="Times New Roman" w:hAnsi="Times New Roman" w:eastAsia="仿宋_GB2312"/>
          <w:color w:val="auto"/>
          <w:sz w:val="32"/>
          <w:szCs w:val="32"/>
          <w:highlight w:val="none"/>
          <w:vertAlign w:val="subscript"/>
        </w:rPr>
        <w:t>n</w:t>
      </w:r>
      <w:r>
        <w:rPr>
          <w:rFonts w:ascii="Times New Roman" w:hAnsi="Times New Roman" w:eastAsia="仿宋_GB2312"/>
          <w:color w:val="auto"/>
          <w:sz w:val="32"/>
          <w:szCs w:val="32"/>
          <w:highlight w:val="none"/>
        </w:rPr>
        <w:t>为</w:t>
      </w:r>
      <w:r>
        <w:rPr>
          <w:rFonts w:hint="eastAsia" w:ascii="Times New Roman" w:hAnsi="Times New Roman" w:eastAsia="仿宋_GB2312"/>
          <w:color w:val="auto"/>
          <w:sz w:val="32"/>
          <w:szCs w:val="32"/>
          <w:highlight w:val="none"/>
        </w:rPr>
        <w:t>第n项评价</w:t>
      </w:r>
      <w:r>
        <w:rPr>
          <w:rFonts w:ascii="Times New Roman" w:hAnsi="Times New Roman" w:eastAsia="仿宋_GB2312"/>
          <w:color w:val="auto"/>
          <w:sz w:val="32"/>
          <w:szCs w:val="32"/>
          <w:highlight w:val="none"/>
        </w:rPr>
        <w:t>指标得分值；m为</w:t>
      </w:r>
      <w:r>
        <w:rPr>
          <w:rFonts w:hint="eastAsia" w:ascii="Times New Roman" w:hAnsi="Times New Roman"/>
          <w:color w:val="auto"/>
          <w:sz w:val="32"/>
          <w:szCs w:val="32"/>
          <w:highlight w:val="none"/>
          <w:lang w:val="en-US" w:eastAsia="zh-CN"/>
        </w:rPr>
        <w:t>行政相对人信用</w:t>
      </w:r>
      <w:r>
        <w:rPr>
          <w:rFonts w:hint="eastAsia" w:ascii="Times New Roman" w:hAnsi="Times New Roman" w:eastAsia="仿宋_GB2312"/>
          <w:color w:val="auto"/>
          <w:sz w:val="32"/>
          <w:szCs w:val="32"/>
          <w:highlight w:val="none"/>
        </w:rPr>
        <w:t>评价</w:t>
      </w:r>
      <w:r>
        <w:rPr>
          <w:rFonts w:ascii="Times New Roman" w:hAnsi="Times New Roman" w:eastAsia="仿宋_GB2312"/>
          <w:color w:val="auto"/>
          <w:sz w:val="32"/>
          <w:szCs w:val="32"/>
          <w:highlight w:val="none"/>
        </w:rPr>
        <w:t>指标</w:t>
      </w:r>
      <w:r>
        <w:rPr>
          <w:rFonts w:hint="eastAsia" w:ascii="Times New Roman" w:hAnsi="Times New Roman" w:eastAsia="仿宋_GB2312"/>
          <w:color w:val="auto"/>
          <w:sz w:val="32"/>
          <w:szCs w:val="32"/>
          <w:highlight w:val="none"/>
        </w:rPr>
        <w:t>体系中三级指标的</w:t>
      </w:r>
      <w:r>
        <w:rPr>
          <w:rFonts w:ascii="Times New Roman" w:hAnsi="Times New Roman" w:eastAsia="仿宋_GB2312"/>
          <w:color w:val="auto"/>
          <w:sz w:val="32"/>
          <w:szCs w:val="32"/>
          <w:highlight w:val="none"/>
        </w:rPr>
        <w:t>项数。</w:t>
      </w:r>
    </w:p>
    <w:p w14:paraId="07B1CED1">
      <w:pPr>
        <w:bidi w:val="0"/>
        <w:ind w:firstLine="640" w:firstLineChars="200"/>
        <w:rPr>
          <w:rFonts w:hint="eastAsia"/>
          <w:color w:val="auto"/>
          <w:highlight w:val="none"/>
          <w:lang w:eastAsia="zh-CN"/>
        </w:rPr>
      </w:pPr>
      <w:bookmarkStart w:id="14" w:name="_Toc18542"/>
      <w:r>
        <w:rPr>
          <w:rFonts w:hint="eastAsia"/>
          <w:color w:val="auto"/>
          <w:highlight w:val="none"/>
          <w:lang w:val="en-US" w:eastAsia="zh-CN"/>
        </w:rPr>
        <w:t>第五步，计算总分值，</w:t>
      </w:r>
      <w:r>
        <w:rPr>
          <w:rFonts w:hint="eastAsia"/>
          <w:color w:val="auto"/>
          <w:highlight w:val="none"/>
        </w:rPr>
        <w:t>并根据综合得分确定</w:t>
      </w:r>
      <w:r>
        <w:rPr>
          <w:rFonts w:hint="eastAsia"/>
          <w:color w:val="auto"/>
          <w:highlight w:val="none"/>
          <w:lang w:val="en-US" w:eastAsia="zh-CN"/>
        </w:rPr>
        <w:t>行政相对人信用</w:t>
      </w:r>
      <w:r>
        <w:rPr>
          <w:rFonts w:hint="eastAsia"/>
          <w:color w:val="auto"/>
          <w:highlight w:val="none"/>
        </w:rPr>
        <w:t>评价等</w:t>
      </w:r>
      <w:r>
        <w:rPr>
          <w:rFonts w:hint="eastAsia"/>
          <w:color w:val="auto"/>
          <w:highlight w:val="none"/>
          <w:lang w:val="en-US" w:eastAsia="zh-CN"/>
        </w:rPr>
        <w:t>次</w:t>
      </w:r>
      <w:r>
        <w:rPr>
          <w:rFonts w:hint="eastAsia"/>
          <w:color w:val="auto"/>
          <w:highlight w:val="none"/>
          <w:lang w:eastAsia="zh-CN"/>
        </w:rPr>
        <w:t>（</w:t>
      </w:r>
      <w:r>
        <w:rPr>
          <w:rFonts w:hint="default" w:ascii="Times New Roman" w:hAnsi="Times New Roman"/>
          <w:color w:val="auto"/>
          <w:highlight w:val="none"/>
          <w:lang w:val="en-US" w:eastAsia="zh-CN"/>
        </w:rPr>
        <w:t>A、A-、B+、B、B-、C+、C、C-、D</w:t>
      </w:r>
      <w:r>
        <w:rPr>
          <w:rFonts w:hint="eastAsia"/>
          <w:color w:val="auto"/>
          <w:highlight w:val="none"/>
          <w:lang w:val="en-US" w:eastAsia="zh-CN"/>
        </w:rPr>
        <w:t>九等</w:t>
      </w:r>
      <w:r>
        <w:rPr>
          <w:rFonts w:hint="eastAsia"/>
          <w:color w:val="auto"/>
          <w:highlight w:val="none"/>
          <w:lang w:eastAsia="zh-CN"/>
        </w:rPr>
        <w:t>）。</w:t>
      </w:r>
      <w:bookmarkEnd w:id="14"/>
    </w:p>
    <w:p w14:paraId="35032625">
      <w:pPr>
        <w:widowControl/>
        <w:numPr>
          <w:ilvl w:val="0"/>
          <w:numId w:val="4"/>
        </w:numPr>
        <w:snapToGrid w:val="0"/>
        <w:spacing w:line="540" w:lineRule="exact"/>
        <w:ind w:firstLine="640" w:firstLineChars="200"/>
        <w:contextualSpacing/>
        <w:rPr>
          <w:rFonts w:ascii="Times New Roman" w:hAnsi="Times New Roman" w:eastAsia="仿宋_GB2312"/>
          <w:color w:val="auto"/>
          <w:sz w:val="32"/>
          <w:szCs w:val="32"/>
          <w:highlight w:val="none"/>
        </w:rPr>
      </w:pPr>
      <w:r>
        <w:rPr>
          <w:rFonts w:hint="eastAsia" w:ascii="楷体_GB2312" w:hAnsi="楷体_GB2312" w:eastAsia="楷体_GB2312" w:cs="楷体_GB2312"/>
          <w:b w:val="0"/>
          <w:bCs w:val="0"/>
          <w:color w:val="auto"/>
          <w:sz w:val="32"/>
          <w:szCs w:val="32"/>
          <w:highlight w:val="none"/>
        </w:rPr>
        <w:t>【</w:t>
      </w:r>
      <w:r>
        <w:rPr>
          <w:rFonts w:hint="eastAsia" w:ascii="楷体_GB2312" w:hAnsi="楷体_GB2312" w:eastAsia="楷体_GB2312" w:cs="楷体_GB2312"/>
          <w:b w:val="0"/>
          <w:bCs w:val="0"/>
          <w:color w:val="auto"/>
          <w:sz w:val="32"/>
          <w:szCs w:val="32"/>
          <w:highlight w:val="none"/>
          <w:lang w:val="en-US" w:eastAsia="zh-CN"/>
        </w:rPr>
        <w:t>信用修复</w:t>
      </w:r>
      <w:r>
        <w:rPr>
          <w:rFonts w:hint="eastAsia" w:ascii="楷体_GB2312" w:hAnsi="楷体_GB2312" w:eastAsia="楷体_GB2312" w:cs="楷体_GB2312"/>
          <w:b w:val="0"/>
          <w:bCs w:val="0"/>
          <w:color w:val="auto"/>
          <w:sz w:val="32"/>
          <w:szCs w:val="32"/>
          <w:highlight w:val="none"/>
        </w:rPr>
        <w:t>】</w:t>
      </w:r>
      <w:r>
        <w:rPr>
          <w:rFonts w:hint="eastAsia" w:ascii="Times New Roman" w:hAnsi="Times New Roman" w:eastAsia="仿宋_GB2312"/>
          <w:b w:val="0"/>
          <w:bCs w:val="0"/>
          <w:color w:val="auto"/>
          <w:sz w:val="32"/>
          <w:szCs w:val="32"/>
          <w:highlight w:val="none"/>
          <w:lang w:val="en-US" w:eastAsia="zh-CN"/>
        </w:rPr>
        <w:t>鼓励行政相对人主动开展信用修复，</w:t>
      </w:r>
      <w:r>
        <w:rPr>
          <w:rFonts w:hint="eastAsia" w:ascii="Times New Roman" w:hAnsi="Times New Roman" w:eastAsia="仿宋_GB2312"/>
          <w:b w:val="0"/>
          <w:bCs w:val="0"/>
          <w:color w:val="auto"/>
          <w:sz w:val="32"/>
          <w:szCs w:val="32"/>
          <w:highlight w:val="none"/>
          <w:lang w:eastAsia="zh-CN"/>
        </w:rPr>
        <w:t>在信息有效期内，完成负向信息相关的信用</w:t>
      </w:r>
      <w:r>
        <w:rPr>
          <w:rFonts w:hint="eastAsia" w:ascii="Times New Roman" w:hAnsi="Times New Roman" w:eastAsia="仿宋_GB2312" w:cs="Times New Roman"/>
          <w:b w:val="0"/>
          <w:bCs w:val="0"/>
          <w:color w:val="auto"/>
          <w:sz w:val="32"/>
          <w:szCs w:val="32"/>
          <w:highlight w:val="none"/>
          <w:lang w:eastAsia="zh-CN"/>
        </w:rPr>
        <w:t>修复工作</w:t>
      </w:r>
      <w:r>
        <w:rPr>
          <w:rFonts w:hint="eastAsia" w:ascii="Times New Roman" w:hAnsi="Times New Roman" w:cs="Times New Roman"/>
          <w:b w:val="0"/>
          <w:bCs w:val="0"/>
          <w:color w:val="auto"/>
          <w:sz w:val="32"/>
          <w:szCs w:val="32"/>
          <w:highlight w:val="none"/>
          <w:lang w:val="en-US" w:eastAsia="zh-CN"/>
        </w:rPr>
        <w:t>或</w:t>
      </w:r>
      <w:r>
        <w:rPr>
          <w:rFonts w:ascii="Times New Roman" w:hAnsi="Times New Roman" w:eastAsia="仿宋_GB2312" w:cs="Times New Roman"/>
          <w:color w:val="auto"/>
          <w:sz w:val="32"/>
          <w:szCs w:val="32"/>
          <w:highlight w:val="none"/>
          <w:lang w:val="en-US" w:eastAsia="zh-CN" w:bidi="ar"/>
        </w:rPr>
        <w:t>移出相关名录</w:t>
      </w:r>
      <w:r>
        <w:rPr>
          <w:rFonts w:hint="eastAsia" w:ascii="Times New Roman" w:hAnsi="Times New Roman" w:eastAsia="仿宋_GB2312" w:cs="Times New Roman"/>
          <w:b w:val="0"/>
          <w:bCs w:val="0"/>
          <w:color w:val="auto"/>
          <w:sz w:val="32"/>
          <w:szCs w:val="32"/>
          <w:highlight w:val="none"/>
          <w:lang w:eastAsia="zh-CN"/>
        </w:rPr>
        <w:t>，部分分值予以</w:t>
      </w:r>
      <w:r>
        <w:rPr>
          <w:rFonts w:hint="eastAsia" w:ascii="Times New Roman" w:hAnsi="Times New Roman" w:cs="Times New Roman"/>
          <w:b w:val="0"/>
          <w:bCs w:val="0"/>
          <w:color w:val="auto"/>
          <w:sz w:val="32"/>
          <w:szCs w:val="32"/>
          <w:highlight w:val="none"/>
          <w:lang w:val="en-US" w:eastAsia="zh-CN"/>
        </w:rPr>
        <w:t>相应比例</w:t>
      </w:r>
      <w:r>
        <w:rPr>
          <w:rFonts w:hint="eastAsia" w:ascii="Times New Roman" w:hAnsi="Times New Roman" w:eastAsia="仿宋_GB2312" w:cs="Times New Roman"/>
          <w:b w:val="0"/>
          <w:bCs w:val="0"/>
          <w:color w:val="auto"/>
          <w:sz w:val="32"/>
          <w:szCs w:val="32"/>
          <w:highlight w:val="none"/>
          <w:lang w:eastAsia="zh-CN"/>
        </w:rPr>
        <w:t>加回</w:t>
      </w:r>
      <w:r>
        <w:rPr>
          <w:rFonts w:hint="eastAsia" w:ascii="Times New Roman" w:hAnsi="Times New Roman" w:cs="Times New Roman"/>
          <w:b w:val="0"/>
          <w:bCs w:val="0"/>
          <w:color w:val="auto"/>
          <w:sz w:val="32"/>
          <w:szCs w:val="32"/>
          <w:highlight w:val="none"/>
          <w:lang w:eastAsia="zh-CN"/>
        </w:rPr>
        <w:t>。</w:t>
      </w:r>
    </w:p>
    <w:p w14:paraId="693E9DBD">
      <w:pPr>
        <w:widowControl/>
        <w:numPr>
          <w:ilvl w:val="0"/>
          <w:numId w:val="4"/>
        </w:numPr>
        <w:snapToGrid w:val="0"/>
        <w:spacing w:line="540" w:lineRule="exact"/>
        <w:ind w:firstLine="640" w:firstLineChars="200"/>
        <w:contextualSpacing/>
        <w:rPr>
          <w:rFonts w:ascii="Times New Roman" w:hAnsi="Times New Roman" w:eastAsia="仿宋_GB2312"/>
          <w:color w:val="auto"/>
          <w:sz w:val="32"/>
          <w:szCs w:val="32"/>
          <w:highlight w:val="none"/>
        </w:rPr>
      </w:pPr>
      <w:r>
        <w:rPr>
          <w:rFonts w:hint="eastAsia" w:ascii="楷体_GB2312" w:hAnsi="楷体_GB2312" w:eastAsia="楷体_GB2312" w:cs="楷体_GB2312"/>
          <w:color w:val="auto"/>
          <w:sz w:val="32"/>
          <w:szCs w:val="32"/>
          <w:highlight w:val="none"/>
        </w:rPr>
        <w:t>【评价方式】</w:t>
      </w:r>
      <w:r>
        <w:rPr>
          <w:rFonts w:hint="eastAsia" w:ascii="Times New Roman" w:hAnsi="Times New Roman"/>
          <w:color w:val="auto"/>
          <w:sz w:val="32"/>
          <w:szCs w:val="32"/>
          <w:highlight w:val="none"/>
          <w:lang w:val="en-US" w:eastAsia="zh-CN"/>
        </w:rPr>
        <w:t>行政相对人</w:t>
      </w:r>
      <w:r>
        <w:rPr>
          <w:rFonts w:ascii="Times New Roman" w:hAnsi="Times New Roman" w:eastAsia="仿宋_GB2312"/>
          <w:color w:val="auto"/>
          <w:sz w:val="32"/>
          <w:szCs w:val="32"/>
          <w:highlight w:val="none"/>
        </w:rPr>
        <w:t>信用评价依托</w:t>
      </w:r>
      <w:r>
        <w:rPr>
          <w:rFonts w:hint="eastAsia" w:ascii="Times New Roman" w:hAnsi="Times New Roman"/>
          <w:color w:val="auto"/>
          <w:sz w:val="32"/>
          <w:szCs w:val="32"/>
          <w:highlight w:val="none"/>
          <w:lang w:val="en-US" w:eastAsia="zh-CN"/>
        </w:rPr>
        <w:t>临空区</w:t>
      </w:r>
      <w:r>
        <w:rPr>
          <w:rFonts w:hint="default" w:ascii="仿宋_GB2312" w:hAnsi="仿宋_GB2312" w:eastAsia="仿宋_GB2312" w:cs="仿宋_GB2312"/>
          <w:snapToGrid w:val="0"/>
          <w:color w:val="auto"/>
          <w:kern w:val="0"/>
          <w:sz w:val="32"/>
          <w:szCs w:val="32"/>
          <w:highlight w:val="none"/>
          <w:lang w:val="en-US" w:eastAsia="zh-CN" w:bidi="ar-SA"/>
        </w:rPr>
        <w:t>信用信息平台</w:t>
      </w:r>
      <w:r>
        <w:rPr>
          <w:rFonts w:ascii="Times New Roman" w:hAnsi="Times New Roman" w:eastAsia="仿宋_GB2312"/>
          <w:color w:val="auto"/>
          <w:sz w:val="32"/>
          <w:szCs w:val="32"/>
          <w:highlight w:val="none"/>
        </w:rPr>
        <w:t>完成。</w:t>
      </w:r>
    </w:p>
    <w:p w14:paraId="63C9F92F">
      <w:pPr>
        <w:widowControl/>
        <w:numPr>
          <w:ilvl w:val="0"/>
          <w:numId w:val="4"/>
        </w:numPr>
        <w:snapToGrid w:val="0"/>
        <w:spacing w:line="540" w:lineRule="exact"/>
        <w:ind w:firstLine="640" w:firstLineChars="200"/>
        <w:contextualSpacing/>
        <w:rPr>
          <w:rFonts w:ascii="Times New Roman" w:hAnsi="Times New Roman" w:eastAsia="仿宋_GB2312"/>
          <w:color w:val="auto"/>
          <w:sz w:val="32"/>
          <w:szCs w:val="32"/>
          <w:highlight w:val="none"/>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val="en-US" w:eastAsia="zh-CN"/>
        </w:rPr>
        <w:t>动态管理</w:t>
      </w:r>
      <w:r>
        <w:rPr>
          <w:rFonts w:hint="eastAsia" w:ascii="楷体_GB2312" w:hAnsi="楷体_GB2312" w:eastAsia="楷体_GB2312" w:cs="楷体_GB2312"/>
          <w:color w:val="auto"/>
          <w:sz w:val="32"/>
          <w:szCs w:val="32"/>
          <w:highlight w:val="none"/>
        </w:rPr>
        <w:t>】</w:t>
      </w:r>
      <w:r>
        <w:rPr>
          <w:rFonts w:hint="eastAsia" w:ascii="Times New Roman" w:hAnsi="Times New Roman"/>
          <w:color w:val="auto"/>
          <w:sz w:val="32"/>
          <w:szCs w:val="32"/>
          <w:highlight w:val="none"/>
          <w:lang w:val="en-US" w:eastAsia="zh-CN"/>
        </w:rPr>
        <w:t>行政相对人评</w:t>
      </w:r>
      <w:r>
        <w:rPr>
          <w:rFonts w:ascii="Times New Roman" w:hAnsi="Times New Roman" w:eastAsia="仿宋_GB2312"/>
          <w:color w:val="auto"/>
          <w:sz w:val="32"/>
          <w:szCs w:val="32"/>
          <w:highlight w:val="none"/>
        </w:rPr>
        <w:t>价指标项及权重实行动态管理。</w:t>
      </w:r>
      <w:r>
        <w:rPr>
          <w:rFonts w:hint="eastAsia" w:ascii="Times New Roman" w:hAnsi="Times New Roman"/>
          <w:color w:val="auto"/>
          <w:sz w:val="32"/>
          <w:szCs w:val="32"/>
          <w:highlight w:val="none"/>
          <w:lang w:val="en-US" w:eastAsia="zh-CN"/>
        </w:rPr>
        <w:t>临空区大兴片区管委会</w:t>
      </w:r>
      <w:r>
        <w:rPr>
          <w:rFonts w:ascii="Times New Roman" w:hAnsi="Times New Roman" w:eastAsia="仿宋_GB2312"/>
          <w:color w:val="auto"/>
          <w:sz w:val="32"/>
          <w:szCs w:val="32"/>
          <w:highlight w:val="none"/>
        </w:rPr>
        <w:t>根据实际情况，定期对</w:t>
      </w:r>
      <w:r>
        <w:rPr>
          <w:rFonts w:hint="eastAsia" w:ascii="Times New Roman" w:hAnsi="Times New Roman"/>
          <w:color w:val="auto"/>
          <w:sz w:val="32"/>
          <w:szCs w:val="32"/>
          <w:highlight w:val="none"/>
          <w:lang w:val="en-US" w:eastAsia="zh-CN"/>
        </w:rPr>
        <w:t>行政相对人评</w:t>
      </w:r>
      <w:r>
        <w:rPr>
          <w:rFonts w:ascii="Times New Roman" w:hAnsi="Times New Roman" w:eastAsia="仿宋_GB2312"/>
          <w:color w:val="auto"/>
          <w:sz w:val="32"/>
          <w:szCs w:val="32"/>
          <w:highlight w:val="none"/>
        </w:rPr>
        <w:t>价指标进行全方位评估，并根据评估结果进行优化和调整、更新评分细则。</w:t>
      </w:r>
    </w:p>
    <w:p w14:paraId="744C6F2F">
      <w:pPr>
        <w:widowControl/>
        <w:numPr>
          <w:ilvl w:val="0"/>
          <w:numId w:val="4"/>
        </w:numPr>
        <w:snapToGrid w:val="0"/>
        <w:spacing w:line="540" w:lineRule="exact"/>
        <w:ind w:firstLine="640" w:firstLineChars="200"/>
        <w:contextualSpacing/>
        <w:rPr>
          <w:rFonts w:hint="default"/>
          <w:color w:val="auto"/>
          <w:highlight w:val="none"/>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val="en-US" w:eastAsia="zh-CN"/>
        </w:rPr>
        <w:t>有效期</w:t>
      </w:r>
      <w:r>
        <w:rPr>
          <w:rFonts w:hint="eastAsia" w:ascii="楷体_GB2312" w:hAnsi="楷体_GB2312" w:eastAsia="楷体_GB2312" w:cs="楷体_GB2312"/>
          <w:color w:val="auto"/>
          <w:sz w:val="32"/>
          <w:szCs w:val="32"/>
          <w:highlight w:val="none"/>
        </w:rPr>
        <w:t>】</w:t>
      </w:r>
      <w:r>
        <w:rPr>
          <w:rFonts w:ascii="Times New Roman" w:hAnsi="Times New Roman" w:eastAsia="仿宋_GB2312"/>
          <w:color w:val="auto"/>
          <w:sz w:val="32"/>
          <w:szCs w:val="32"/>
          <w:highlight w:val="none"/>
        </w:rPr>
        <w:t>本细则</w:t>
      </w:r>
      <w:r>
        <w:rPr>
          <w:rFonts w:hint="eastAsia" w:ascii="Times New Roman" w:hAnsi="Times New Roman" w:eastAsia="仿宋_GB2312"/>
          <w:color w:val="auto"/>
          <w:sz w:val="32"/>
          <w:szCs w:val="32"/>
          <w:highlight w:val="none"/>
        </w:rPr>
        <w:t>有效期与《</w:t>
      </w:r>
      <w:r>
        <w:rPr>
          <w:rFonts w:hint="eastAsia" w:ascii="Times New Roman" w:hAnsi="Times New Roman"/>
          <w:color w:val="auto"/>
          <w:szCs w:val="32"/>
          <w:highlight w:val="none"/>
        </w:rPr>
        <w:t>北京大兴国际机场临空经济区（北京部分）行政相对人信用信息归集与评价管理办法</w:t>
      </w:r>
      <w:r>
        <w:rPr>
          <w:rFonts w:hint="eastAsia" w:ascii="Times New Roman" w:hAnsi="Times New Roman" w:eastAsia="仿宋_GB2312"/>
          <w:color w:val="auto"/>
          <w:sz w:val="32"/>
          <w:szCs w:val="32"/>
          <w:highlight w:val="none"/>
        </w:rPr>
        <w:t>》一致</w:t>
      </w:r>
      <w:r>
        <w:rPr>
          <w:rFonts w:ascii="Times New Roman" w:hAnsi="Times New Roman" w:eastAsia="仿宋_GB2312"/>
          <w:color w:val="auto"/>
          <w:sz w:val="32"/>
          <w:szCs w:val="32"/>
          <w:highlight w:val="none"/>
        </w:rPr>
        <w:t>。</w:t>
      </w:r>
      <w:r>
        <w:rPr>
          <w:color w:val="auto"/>
          <w:highlight w:val="none"/>
        </w:rPr>
        <w:t>临空区</w:t>
      </w:r>
      <w:r>
        <w:rPr>
          <w:rFonts w:hint="eastAsia" w:ascii="Times New Roman" w:hAnsi="Times New Roman"/>
          <w:color w:val="auto"/>
          <w:sz w:val="32"/>
          <w:szCs w:val="32"/>
          <w:highlight w:val="none"/>
          <w:lang w:val="en-US" w:eastAsia="zh-CN"/>
        </w:rPr>
        <w:t>大兴片区</w:t>
      </w:r>
      <w:r>
        <w:rPr>
          <w:color w:val="auto"/>
          <w:highlight w:val="none"/>
        </w:rPr>
        <w:t>管委会根据区域发展和政策引导需要，</w:t>
      </w:r>
      <w:r>
        <w:rPr>
          <w:rFonts w:hint="eastAsia"/>
          <w:color w:val="auto"/>
          <w:highlight w:val="none"/>
          <w:lang w:val="en-US" w:eastAsia="zh-CN"/>
        </w:rPr>
        <w:t>对本细则</w:t>
      </w:r>
      <w:r>
        <w:rPr>
          <w:rFonts w:hint="eastAsia" w:cs="Times New Roman"/>
          <w:color w:val="auto"/>
          <w:highlight w:val="none"/>
          <w:lang w:val="en-US" w:eastAsia="zh-CN"/>
        </w:rPr>
        <w:t>实施动态管理，</w:t>
      </w:r>
      <w:r>
        <w:rPr>
          <w:rFonts w:hint="eastAsia" w:ascii="仿宋_GB2312" w:hAnsi="仿宋_GB2312" w:eastAsia="仿宋_GB2312" w:cs="Times New Roman"/>
          <w:i w:val="0"/>
          <w:iCs w:val="0"/>
          <w:caps w:val="0"/>
          <w:color w:val="auto"/>
          <w:spacing w:val="0"/>
          <w:sz w:val="32"/>
          <w:szCs w:val="24"/>
          <w:highlight w:val="none"/>
          <w:u w:val="none"/>
          <w:vertAlign w:val="baseline"/>
          <w:lang w:val="en-US" w:eastAsia="zh-CN"/>
        </w:rPr>
        <w:t>及时</w:t>
      </w:r>
      <w:r>
        <w:rPr>
          <w:rFonts w:hint="eastAsia" w:cs="Times New Roman"/>
          <w:i w:val="0"/>
          <w:iCs w:val="0"/>
          <w:caps w:val="0"/>
          <w:color w:val="auto"/>
          <w:spacing w:val="0"/>
          <w:sz w:val="32"/>
          <w:szCs w:val="24"/>
          <w:highlight w:val="none"/>
          <w:u w:val="none"/>
          <w:vertAlign w:val="baseline"/>
          <w:lang w:val="en-US" w:eastAsia="zh-CN"/>
        </w:rPr>
        <w:t>予以调整、更新和</w:t>
      </w:r>
      <w:r>
        <w:rPr>
          <w:rFonts w:hint="eastAsia" w:ascii="仿宋_GB2312" w:hAnsi="仿宋_GB2312" w:eastAsia="仿宋_GB2312" w:cs="Times New Roman"/>
          <w:i w:val="0"/>
          <w:iCs w:val="0"/>
          <w:caps w:val="0"/>
          <w:color w:val="auto"/>
          <w:spacing w:val="0"/>
          <w:sz w:val="32"/>
          <w:szCs w:val="24"/>
          <w:highlight w:val="none"/>
          <w:u w:val="none"/>
          <w:vertAlign w:val="baseline"/>
        </w:rPr>
        <w:t>对外发布。</w:t>
      </w:r>
    </w:p>
    <w:p w14:paraId="2E8E46EE">
      <w:pPr>
        <w:widowControl/>
        <w:snapToGrid w:val="0"/>
        <w:spacing w:line="540" w:lineRule="exact"/>
        <w:contextualSpacing/>
        <w:rPr>
          <w:rFonts w:ascii="Times New Roman" w:hAnsi="Times New Roman" w:eastAsia="仿宋_GB2312"/>
          <w:color w:val="auto"/>
          <w:sz w:val="32"/>
          <w:szCs w:val="32"/>
          <w:highlight w:val="none"/>
        </w:rPr>
      </w:pPr>
    </w:p>
    <w:p w14:paraId="4AB49A97">
      <w:pPr>
        <w:widowControl/>
        <w:snapToGrid/>
        <w:spacing w:line="240" w:lineRule="auto"/>
        <w:ind w:firstLine="0" w:firstLineChars="0"/>
        <w:rPr>
          <w:rFonts w:ascii="Times New Roman" w:hAnsi="Times New Roman" w:eastAsia="仿宋_GB2312"/>
          <w:color w:val="auto"/>
          <w:sz w:val="32"/>
          <w:szCs w:val="32"/>
          <w:highlight w:val="none"/>
        </w:rPr>
        <w:sectPr>
          <w:headerReference r:id="rId3" w:type="default"/>
          <w:footerReference r:id="rId4" w:type="default"/>
          <w:footerReference r:id="rId5" w:type="even"/>
          <w:pgSz w:w="11906" w:h="16838"/>
          <w:pgMar w:top="2098" w:right="1474" w:bottom="1984" w:left="1587" w:header="851" w:footer="992" w:gutter="0"/>
          <w:pgNumType w:fmt="numberInDash"/>
          <w:cols w:space="720" w:num="1"/>
          <w:docGrid w:type="lines" w:linePitch="312" w:charSpace="0"/>
        </w:sectPr>
      </w:pPr>
    </w:p>
    <w:p w14:paraId="689594F5">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黑体" w:hAnsi="黑体" w:eastAsia="黑体" w:cs="黑体"/>
          <w:color w:val="auto"/>
          <w:highlight w:val="none"/>
        </w:rPr>
      </w:pPr>
      <w:r>
        <w:rPr>
          <w:rFonts w:hint="eastAsia" w:ascii="黑体" w:hAnsi="黑体" w:eastAsia="黑体" w:cs="黑体"/>
          <w:color w:val="auto"/>
          <w:highlight w:val="none"/>
        </w:rPr>
        <w:t>附</w:t>
      </w:r>
      <w:r>
        <w:rPr>
          <w:rFonts w:hint="eastAsia" w:ascii="黑体" w:hAnsi="黑体" w:eastAsia="黑体" w:cs="黑体"/>
          <w:color w:val="auto"/>
          <w:highlight w:val="none"/>
          <w:lang w:val="en-US" w:eastAsia="zh-CN"/>
        </w:rPr>
        <w:t>件2</w:t>
      </w:r>
    </w:p>
    <w:p w14:paraId="0FDA670A">
      <w:pPr>
        <w:spacing w:line="560" w:lineRule="exact"/>
        <w:jc w:val="center"/>
        <w:rPr>
          <w:rFonts w:hint="eastAsia" w:eastAsia="方正小标宋简体"/>
          <w:color w:val="auto"/>
          <w:sz w:val="36"/>
          <w:szCs w:val="36"/>
          <w:highlight w:val="none"/>
        </w:rPr>
      </w:pPr>
      <w:r>
        <w:rPr>
          <w:rFonts w:hint="eastAsia" w:eastAsia="方正小标宋简体"/>
          <w:color w:val="auto"/>
          <w:sz w:val="36"/>
          <w:szCs w:val="36"/>
          <w:highlight w:val="none"/>
        </w:rPr>
        <w:t>北京大兴国际机场临空经济区（北京部分）行政相对人信用评价指标</w:t>
      </w:r>
    </w:p>
    <w:p w14:paraId="0DD1120E">
      <w:pPr>
        <w:spacing w:line="560" w:lineRule="exact"/>
        <w:jc w:val="center"/>
        <w:rPr>
          <w:rFonts w:hint="eastAsia" w:eastAsia="方正小标宋简体"/>
          <w:color w:val="auto"/>
          <w:sz w:val="36"/>
          <w:szCs w:val="36"/>
          <w:highlight w:val="none"/>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190"/>
        <w:gridCol w:w="1192"/>
        <w:gridCol w:w="6143"/>
        <w:gridCol w:w="1444"/>
        <w:gridCol w:w="2219"/>
      </w:tblGrid>
      <w:tr w14:paraId="1F88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blHeader/>
        </w:trPr>
        <w:tc>
          <w:tcPr>
            <w:tcW w:w="302" w:type="pct"/>
            <w:noWrap w:val="0"/>
            <w:vAlign w:val="center"/>
          </w:tcPr>
          <w:p w14:paraId="5A43A999">
            <w:pPr>
              <w:keepNext w:val="0"/>
              <w:keepLines w:val="0"/>
              <w:widowControl/>
              <w:suppressLineNumbers w:val="0"/>
              <w:snapToGrid w:val="0"/>
              <w:spacing w:line="240" w:lineRule="auto"/>
              <w:ind w:firstLine="0" w:firstLineChars="0"/>
              <w:jc w:val="center"/>
              <w:textAlignment w:val="top"/>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序号</w:t>
            </w:r>
          </w:p>
        </w:tc>
        <w:tc>
          <w:tcPr>
            <w:tcW w:w="458" w:type="pct"/>
            <w:noWrap w:val="0"/>
            <w:vAlign w:val="center"/>
          </w:tcPr>
          <w:p w14:paraId="26027927">
            <w:pPr>
              <w:keepNext w:val="0"/>
              <w:keepLines w:val="0"/>
              <w:widowControl/>
              <w:suppressLineNumbers w:val="0"/>
              <w:snapToGrid w:val="0"/>
              <w:spacing w:line="240" w:lineRule="auto"/>
              <w:ind w:firstLine="0" w:firstLineChars="0"/>
              <w:jc w:val="center"/>
              <w:textAlignment w:val="top"/>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一级指标</w:t>
            </w:r>
          </w:p>
        </w:tc>
        <w:tc>
          <w:tcPr>
            <w:tcW w:w="459" w:type="pct"/>
            <w:noWrap w:val="0"/>
            <w:vAlign w:val="center"/>
          </w:tcPr>
          <w:p w14:paraId="4559C0DE">
            <w:pPr>
              <w:keepNext w:val="0"/>
              <w:keepLines w:val="0"/>
              <w:widowControl/>
              <w:suppressLineNumbers w:val="0"/>
              <w:snapToGrid w:val="0"/>
              <w:spacing w:line="240" w:lineRule="auto"/>
              <w:ind w:firstLine="0" w:firstLineChars="0"/>
              <w:jc w:val="center"/>
              <w:textAlignment w:val="top"/>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二级指标</w:t>
            </w:r>
          </w:p>
        </w:tc>
        <w:tc>
          <w:tcPr>
            <w:tcW w:w="2367" w:type="pct"/>
            <w:noWrap w:val="0"/>
            <w:vAlign w:val="center"/>
          </w:tcPr>
          <w:p w14:paraId="1334B60E">
            <w:pPr>
              <w:keepNext w:val="0"/>
              <w:keepLines w:val="0"/>
              <w:widowControl/>
              <w:suppressLineNumbers w:val="0"/>
              <w:snapToGrid w:val="0"/>
              <w:spacing w:line="240" w:lineRule="auto"/>
              <w:ind w:firstLine="0" w:firstLineChars="0"/>
              <w:jc w:val="center"/>
              <w:textAlignment w:val="top"/>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指标含义</w:t>
            </w:r>
          </w:p>
        </w:tc>
        <w:tc>
          <w:tcPr>
            <w:tcW w:w="556" w:type="pct"/>
            <w:noWrap w:val="0"/>
            <w:vAlign w:val="center"/>
          </w:tcPr>
          <w:p w14:paraId="56B45722">
            <w:pPr>
              <w:keepNext w:val="0"/>
              <w:keepLines w:val="0"/>
              <w:widowControl/>
              <w:suppressLineNumbers w:val="0"/>
              <w:snapToGrid w:val="0"/>
              <w:spacing w:line="240" w:lineRule="auto"/>
              <w:ind w:firstLine="0" w:firstLineChars="0"/>
              <w:jc w:val="center"/>
              <w:textAlignment w:val="top"/>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数据来源</w:t>
            </w:r>
          </w:p>
        </w:tc>
        <w:tc>
          <w:tcPr>
            <w:tcW w:w="855" w:type="pct"/>
            <w:noWrap w:val="0"/>
            <w:vAlign w:val="center"/>
          </w:tcPr>
          <w:p w14:paraId="00B25FC5">
            <w:pPr>
              <w:keepNext w:val="0"/>
              <w:keepLines w:val="0"/>
              <w:widowControl/>
              <w:suppressLineNumbers w:val="0"/>
              <w:snapToGrid w:val="0"/>
              <w:spacing w:line="240" w:lineRule="auto"/>
              <w:ind w:firstLine="0" w:firstLineChars="0"/>
              <w:jc w:val="center"/>
              <w:textAlignment w:val="top"/>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bCs/>
                <w:i w:val="0"/>
                <w:iCs w:val="0"/>
                <w:snapToGrid w:val="0"/>
                <w:color w:val="auto"/>
                <w:kern w:val="0"/>
                <w:sz w:val="21"/>
                <w:szCs w:val="21"/>
                <w:highlight w:val="none"/>
                <w:u w:val="none"/>
                <w:lang w:val="en-US" w:eastAsia="zh-CN" w:bidi="ar"/>
              </w:rPr>
              <w:t>信息有效期</w:t>
            </w:r>
          </w:p>
        </w:tc>
      </w:tr>
      <w:tr w14:paraId="3E79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5000" w:type="pct"/>
            <w:gridSpan w:val="6"/>
            <w:noWrap/>
            <w:vAlign w:val="center"/>
          </w:tcPr>
          <w:p w14:paraId="3E4B5DFD">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b/>
                <w:bCs/>
                <w:i w:val="0"/>
                <w:iCs w:val="0"/>
                <w:snapToGrid w:val="0"/>
                <w:color w:val="auto"/>
                <w:kern w:val="0"/>
                <w:sz w:val="28"/>
                <w:szCs w:val="28"/>
                <w:highlight w:val="none"/>
                <w:u w:val="none"/>
                <w:lang w:val="en-US" w:eastAsia="zh-CN" w:bidi="ar"/>
              </w:rPr>
            </w:pPr>
            <w:r>
              <w:rPr>
                <w:rFonts w:hint="eastAsia" w:ascii="宋体" w:hAnsi="宋体" w:eastAsia="宋体" w:cs="宋体"/>
                <w:b/>
                <w:bCs/>
                <w:i w:val="0"/>
                <w:iCs w:val="0"/>
                <w:snapToGrid w:val="0"/>
                <w:color w:val="auto"/>
                <w:kern w:val="0"/>
                <w:sz w:val="21"/>
                <w:szCs w:val="21"/>
                <w:highlight w:val="none"/>
                <w:u w:val="none"/>
                <w:lang w:val="en-US" w:eastAsia="zh-CN" w:bidi="ar"/>
              </w:rPr>
              <w:t>第一部分：公共信用</w:t>
            </w:r>
          </w:p>
        </w:tc>
      </w:tr>
      <w:tr w14:paraId="6AB77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3588" w:type="pct"/>
            <w:gridSpan w:val="4"/>
            <w:noWrap/>
            <w:vAlign w:val="center"/>
          </w:tcPr>
          <w:p w14:paraId="5DE2DE27">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采用北京市统一的当期企业公共信用综合评价结果（信用分值范围为0—100分），乘以权重系数得出分值。无有效企业公共信用综合评价结果的，默认为平均分值。</w:t>
            </w:r>
          </w:p>
        </w:tc>
        <w:tc>
          <w:tcPr>
            <w:tcW w:w="556" w:type="pct"/>
            <w:noWrap w:val="0"/>
            <w:vAlign w:val="center"/>
          </w:tcPr>
          <w:p w14:paraId="40B3A540">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市区大数据平台</w:t>
            </w:r>
          </w:p>
        </w:tc>
        <w:tc>
          <w:tcPr>
            <w:tcW w:w="855" w:type="pct"/>
            <w:noWrap w:val="0"/>
            <w:vAlign w:val="center"/>
          </w:tcPr>
          <w:p w14:paraId="7AE7F35B">
            <w:pPr>
              <w:keepNext w:val="0"/>
              <w:keepLines w:val="0"/>
              <w:widowControl/>
              <w:suppressLineNumbers w:val="0"/>
              <w:snapToGrid w:val="0"/>
              <w:spacing w:line="240" w:lineRule="auto"/>
              <w:ind w:firstLine="0" w:firstLineChars="0"/>
              <w:jc w:val="center"/>
              <w:textAlignment w:val="center"/>
              <w:rPr>
                <w:rFonts w:hint="default"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w:t>
            </w:r>
          </w:p>
        </w:tc>
      </w:tr>
      <w:tr w14:paraId="7A6D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5000" w:type="pct"/>
            <w:gridSpan w:val="6"/>
            <w:noWrap/>
            <w:vAlign w:val="center"/>
          </w:tcPr>
          <w:p w14:paraId="06DC6703">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b/>
                <w:bCs/>
                <w:i w:val="0"/>
                <w:iCs w:val="0"/>
                <w:snapToGrid w:val="0"/>
                <w:color w:val="auto"/>
                <w:kern w:val="0"/>
                <w:sz w:val="28"/>
                <w:szCs w:val="28"/>
                <w:highlight w:val="none"/>
                <w:u w:val="none"/>
                <w:lang w:val="en-US" w:eastAsia="zh-CN" w:bidi="ar"/>
              </w:rPr>
            </w:pPr>
            <w:r>
              <w:rPr>
                <w:rFonts w:hint="eastAsia" w:ascii="宋体" w:hAnsi="宋体" w:eastAsia="宋体" w:cs="宋体"/>
                <w:b/>
                <w:bCs/>
                <w:i w:val="0"/>
                <w:iCs w:val="0"/>
                <w:snapToGrid w:val="0"/>
                <w:color w:val="auto"/>
                <w:kern w:val="0"/>
                <w:sz w:val="22"/>
                <w:szCs w:val="22"/>
                <w:highlight w:val="none"/>
                <w:u w:val="none"/>
                <w:lang w:val="en-US" w:eastAsia="zh-CN" w:bidi="ar"/>
              </w:rPr>
              <w:t>第二部分：临空区特色信用</w:t>
            </w:r>
          </w:p>
        </w:tc>
      </w:tr>
      <w:tr w14:paraId="496C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302" w:type="pct"/>
            <w:vMerge w:val="restart"/>
            <w:noWrap/>
            <w:vAlign w:val="center"/>
          </w:tcPr>
          <w:p w14:paraId="633402D5">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1</w:t>
            </w:r>
          </w:p>
        </w:tc>
        <w:tc>
          <w:tcPr>
            <w:tcW w:w="458" w:type="pct"/>
            <w:vMerge w:val="restart"/>
            <w:noWrap w:val="0"/>
            <w:vAlign w:val="center"/>
          </w:tcPr>
          <w:p w14:paraId="0C6B43D1">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r>
              <w:rPr>
                <w:rFonts w:hint="eastAsia" w:ascii="宋体" w:hAnsi="宋体" w:eastAsia="宋体" w:cs="宋体"/>
                <w:b/>
                <w:bCs/>
                <w:i w:val="0"/>
                <w:iCs w:val="0"/>
                <w:snapToGrid w:val="0"/>
                <w:color w:val="auto"/>
                <w:kern w:val="0"/>
                <w:sz w:val="21"/>
                <w:szCs w:val="21"/>
                <w:highlight w:val="none"/>
                <w:u w:val="none"/>
                <w:lang w:val="en-US" w:eastAsia="zh-CN" w:bidi="ar"/>
              </w:rPr>
              <w:t>守信履约</w:t>
            </w:r>
          </w:p>
          <w:p w14:paraId="7FC1BA08">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p>
        </w:tc>
        <w:tc>
          <w:tcPr>
            <w:tcW w:w="459" w:type="pct"/>
            <w:noWrap w:val="0"/>
            <w:vAlign w:val="center"/>
          </w:tcPr>
          <w:p w14:paraId="619AF7F6">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告知承诺</w:t>
            </w:r>
          </w:p>
        </w:tc>
        <w:tc>
          <w:tcPr>
            <w:tcW w:w="2367" w:type="pct"/>
            <w:noWrap w:val="0"/>
            <w:vAlign w:val="center"/>
          </w:tcPr>
          <w:p w14:paraId="521B9666">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snapToGrid w:val="0"/>
                <w:color w:val="auto"/>
                <w:kern w:val="0"/>
                <w:sz w:val="20"/>
                <w:szCs w:val="20"/>
                <w:highlight w:val="none"/>
                <w:u w:val="none"/>
                <w:lang w:val="en-US" w:eastAsia="zh-CN" w:bidi="ar"/>
              </w:rPr>
              <w:t>事项实行告知承诺制，发现存在违诺失信行为，按照失信情节的严重、一般、轻微认定，予以扣分。</w:t>
            </w:r>
          </w:p>
        </w:tc>
        <w:tc>
          <w:tcPr>
            <w:tcW w:w="556" w:type="pct"/>
            <w:vMerge w:val="restart"/>
            <w:noWrap w:val="0"/>
            <w:vAlign w:val="center"/>
          </w:tcPr>
          <w:p w14:paraId="041562DB">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临空区大兴片区管委会</w:t>
            </w:r>
          </w:p>
          <w:p w14:paraId="7EDB226B">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0"/>
                <w:szCs w:val="20"/>
                <w:highlight w:val="none"/>
                <w:u w:val="none"/>
              </w:rPr>
            </w:pPr>
          </w:p>
        </w:tc>
        <w:tc>
          <w:tcPr>
            <w:tcW w:w="855" w:type="pct"/>
            <w:vMerge w:val="restart"/>
            <w:noWrap w:val="0"/>
            <w:vAlign w:val="center"/>
          </w:tcPr>
          <w:p w14:paraId="724EB2B3">
            <w:pPr>
              <w:keepNext w:val="0"/>
              <w:keepLines w:val="0"/>
              <w:widowControl/>
              <w:suppressLineNumbers w:val="0"/>
              <w:snapToGrid w:val="0"/>
              <w:spacing w:line="240" w:lineRule="auto"/>
              <w:ind w:left="0" w:leftChars="0"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以相关认定决定作出之日为生效日期，有效期3年。</w:t>
            </w:r>
          </w:p>
        </w:tc>
      </w:tr>
      <w:tr w14:paraId="1B382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302" w:type="pct"/>
            <w:vMerge w:val="continue"/>
            <w:noWrap/>
            <w:vAlign w:val="center"/>
          </w:tcPr>
          <w:p w14:paraId="7A3DB456">
            <w:pPr>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458" w:type="pct"/>
            <w:vMerge w:val="continue"/>
            <w:noWrap w:val="0"/>
            <w:vAlign w:val="center"/>
          </w:tcPr>
          <w:p w14:paraId="4B2602D4">
            <w:pPr>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459" w:type="pct"/>
            <w:noWrap w:val="0"/>
            <w:vAlign w:val="center"/>
          </w:tcPr>
          <w:p w14:paraId="149AAC3C">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备查制</w:t>
            </w:r>
          </w:p>
        </w:tc>
        <w:tc>
          <w:tcPr>
            <w:tcW w:w="2367" w:type="pct"/>
            <w:noWrap w:val="0"/>
            <w:vAlign w:val="center"/>
          </w:tcPr>
          <w:p w14:paraId="7D43943E">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snapToGrid w:val="0"/>
                <w:color w:val="auto"/>
                <w:kern w:val="0"/>
                <w:sz w:val="20"/>
                <w:szCs w:val="20"/>
                <w:highlight w:val="none"/>
                <w:u w:val="none"/>
                <w:lang w:val="en-US" w:eastAsia="zh-CN" w:bidi="ar"/>
              </w:rPr>
              <w:t>事项实行备查制，不符合备查制核查要求的，予以扣分。</w:t>
            </w:r>
          </w:p>
        </w:tc>
        <w:tc>
          <w:tcPr>
            <w:tcW w:w="556" w:type="pct"/>
            <w:vMerge w:val="continue"/>
            <w:noWrap w:val="0"/>
            <w:vAlign w:val="center"/>
          </w:tcPr>
          <w:p w14:paraId="77E4586F">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0"/>
                <w:szCs w:val="20"/>
                <w:highlight w:val="none"/>
                <w:u w:val="none"/>
              </w:rPr>
            </w:pPr>
          </w:p>
        </w:tc>
        <w:tc>
          <w:tcPr>
            <w:tcW w:w="855" w:type="pct"/>
            <w:vMerge w:val="continue"/>
            <w:noWrap w:val="0"/>
            <w:vAlign w:val="center"/>
          </w:tcPr>
          <w:p w14:paraId="4608A605">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p>
        </w:tc>
      </w:tr>
      <w:tr w14:paraId="7AA23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302" w:type="pct"/>
            <w:vMerge w:val="continue"/>
            <w:noWrap/>
            <w:vAlign w:val="center"/>
          </w:tcPr>
          <w:p w14:paraId="6F813315">
            <w:pPr>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458" w:type="pct"/>
            <w:vMerge w:val="continue"/>
            <w:noWrap w:val="0"/>
            <w:vAlign w:val="center"/>
          </w:tcPr>
          <w:p w14:paraId="05294958">
            <w:pPr>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459" w:type="pct"/>
            <w:noWrap w:val="0"/>
            <w:vAlign w:val="center"/>
          </w:tcPr>
          <w:p w14:paraId="25783742">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云踏勘</w:t>
            </w:r>
          </w:p>
        </w:tc>
        <w:tc>
          <w:tcPr>
            <w:tcW w:w="2367" w:type="pct"/>
            <w:noWrap w:val="0"/>
            <w:vAlign w:val="center"/>
          </w:tcPr>
          <w:p w14:paraId="3BA4D8CD">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snapToGrid w:val="0"/>
                <w:color w:val="auto"/>
                <w:kern w:val="0"/>
                <w:sz w:val="20"/>
                <w:szCs w:val="20"/>
                <w:highlight w:val="none"/>
                <w:u w:val="none"/>
                <w:lang w:val="en-US" w:eastAsia="zh-CN" w:bidi="ar"/>
              </w:rPr>
              <w:t>事项实行云踏勘，不符合云踏勘核查要求的，予以扣分。</w:t>
            </w:r>
          </w:p>
        </w:tc>
        <w:tc>
          <w:tcPr>
            <w:tcW w:w="556" w:type="pct"/>
            <w:vMerge w:val="continue"/>
            <w:noWrap w:val="0"/>
            <w:vAlign w:val="center"/>
          </w:tcPr>
          <w:p w14:paraId="39DBE6D1">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p>
        </w:tc>
        <w:tc>
          <w:tcPr>
            <w:tcW w:w="855" w:type="pct"/>
            <w:vMerge w:val="continue"/>
            <w:noWrap w:val="0"/>
            <w:vAlign w:val="center"/>
          </w:tcPr>
          <w:p w14:paraId="076A5D1B">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p>
        </w:tc>
      </w:tr>
      <w:tr w14:paraId="3FDA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trPr>
        <w:tc>
          <w:tcPr>
            <w:tcW w:w="302" w:type="pct"/>
            <w:vMerge w:val="continue"/>
            <w:noWrap/>
            <w:vAlign w:val="center"/>
          </w:tcPr>
          <w:p w14:paraId="74733A43">
            <w:pPr>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458" w:type="pct"/>
            <w:vMerge w:val="continue"/>
            <w:noWrap w:val="0"/>
            <w:vAlign w:val="center"/>
          </w:tcPr>
          <w:p w14:paraId="700ACFC9">
            <w:pPr>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459" w:type="pct"/>
            <w:noWrap w:val="0"/>
            <w:vAlign w:val="center"/>
          </w:tcPr>
          <w:p w14:paraId="54F4C443">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容缺后补</w:t>
            </w:r>
          </w:p>
        </w:tc>
        <w:tc>
          <w:tcPr>
            <w:tcW w:w="2367" w:type="pct"/>
            <w:noWrap w:val="0"/>
            <w:vAlign w:val="center"/>
          </w:tcPr>
          <w:p w14:paraId="2DC58655">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snapToGrid w:val="0"/>
                <w:color w:val="auto"/>
                <w:kern w:val="0"/>
                <w:sz w:val="20"/>
                <w:szCs w:val="20"/>
                <w:highlight w:val="none"/>
                <w:u w:val="none"/>
                <w:lang w:val="en-US" w:eastAsia="zh-CN" w:bidi="ar"/>
              </w:rPr>
              <w:t>事项实行容缺后补，不符合容缺后补核查要求的，予以扣分。</w:t>
            </w:r>
          </w:p>
        </w:tc>
        <w:tc>
          <w:tcPr>
            <w:tcW w:w="556" w:type="pct"/>
            <w:vMerge w:val="continue"/>
            <w:noWrap w:val="0"/>
            <w:vAlign w:val="center"/>
          </w:tcPr>
          <w:p w14:paraId="6286E091">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p>
        </w:tc>
        <w:tc>
          <w:tcPr>
            <w:tcW w:w="855" w:type="pct"/>
            <w:vMerge w:val="continue"/>
            <w:noWrap w:val="0"/>
            <w:vAlign w:val="center"/>
          </w:tcPr>
          <w:p w14:paraId="48B90491">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p>
        </w:tc>
      </w:tr>
      <w:tr w14:paraId="0990D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302" w:type="pct"/>
            <w:vMerge w:val="continue"/>
            <w:noWrap/>
            <w:vAlign w:val="center"/>
          </w:tcPr>
          <w:p w14:paraId="4384A6F4">
            <w:pPr>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458" w:type="pct"/>
            <w:vMerge w:val="continue"/>
            <w:noWrap w:val="0"/>
            <w:vAlign w:val="center"/>
          </w:tcPr>
          <w:p w14:paraId="0F1DEB9C">
            <w:pPr>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459" w:type="pct"/>
            <w:noWrap w:val="0"/>
            <w:vAlign w:val="center"/>
          </w:tcPr>
          <w:p w14:paraId="1A296BFD">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履约监管</w:t>
            </w:r>
          </w:p>
          <w:p w14:paraId="0B3A5C42">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协议</w:t>
            </w:r>
          </w:p>
        </w:tc>
        <w:tc>
          <w:tcPr>
            <w:tcW w:w="2367" w:type="pct"/>
            <w:noWrap w:val="0"/>
            <w:vAlign w:val="center"/>
          </w:tcPr>
          <w:p w14:paraId="78AFDA7F">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b w:val="0"/>
                <w:bCs w:val="0"/>
                <w:i w:val="0"/>
                <w:iCs w:val="0"/>
                <w:snapToGrid w:val="0"/>
                <w:color w:val="auto"/>
                <w:kern w:val="0"/>
                <w:sz w:val="20"/>
                <w:szCs w:val="20"/>
                <w:highlight w:val="none"/>
                <w:u w:val="none"/>
                <w:lang w:bidi="ar"/>
              </w:rPr>
            </w:pPr>
            <w:r>
              <w:rPr>
                <w:rFonts w:hint="eastAsia" w:ascii="宋体" w:hAnsi="宋体" w:eastAsia="宋体" w:cs="宋体"/>
                <w:b w:val="0"/>
                <w:bCs w:val="0"/>
                <w:i w:val="0"/>
                <w:iCs w:val="0"/>
                <w:snapToGrid w:val="0"/>
                <w:color w:val="auto"/>
                <w:kern w:val="0"/>
                <w:sz w:val="20"/>
                <w:szCs w:val="20"/>
                <w:highlight w:val="none"/>
                <w:u w:val="none"/>
                <w:lang w:val="en-US" w:eastAsia="zh-CN" w:bidi="ar"/>
              </w:rPr>
              <w:t>企业与临空区（大兴）管委会签订履约监管协议合同，存在违反履约监管协议合同的行为，予以扣分。</w:t>
            </w:r>
          </w:p>
        </w:tc>
        <w:tc>
          <w:tcPr>
            <w:tcW w:w="556" w:type="pct"/>
            <w:vMerge w:val="continue"/>
            <w:noWrap w:val="0"/>
            <w:vAlign w:val="center"/>
          </w:tcPr>
          <w:p w14:paraId="2837C837">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p>
        </w:tc>
        <w:tc>
          <w:tcPr>
            <w:tcW w:w="855" w:type="pct"/>
            <w:noWrap w:val="0"/>
            <w:vAlign w:val="center"/>
          </w:tcPr>
          <w:p w14:paraId="6C2C168C">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以协议签订日期为生效日期，有效期与协议有效期限一致。</w:t>
            </w:r>
          </w:p>
        </w:tc>
      </w:tr>
      <w:tr w14:paraId="4B86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302" w:type="pct"/>
            <w:vMerge w:val="restart"/>
            <w:noWrap/>
            <w:vAlign w:val="center"/>
          </w:tcPr>
          <w:p w14:paraId="324342AE">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2</w:t>
            </w:r>
          </w:p>
        </w:tc>
        <w:tc>
          <w:tcPr>
            <w:tcW w:w="458" w:type="pct"/>
            <w:vMerge w:val="restart"/>
            <w:noWrap w:val="0"/>
            <w:vAlign w:val="center"/>
          </w:tcPr>
          <w:p w14:paraId="25CB7256">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r>
              <w:rPr>
                <w:rFonts w:hint="eastAsia" w:ascii="宋体" w:hAnsi="宋体" w:eastAsia="宋体" w:cs="宋体"/>
                <w:b/>
                <w:bCs/>
                <w:i w:val="0"/>
                <w:iCs w:val="0"/>
                <w:snapToGrid w:val="0"/>
                <w:color w:val="auto"/>
                <w:kern w:val="0"/>
                <w:sz w:val="21"/>
                <w:szCs w:val="21"/>
                <w:highlight w:val="none"/>
                <w:u w:val="none"/>
                <w:lang w:val="en-US" w:eastAsia="zh-CN" w:bidi="ar"/>
              </w:rPr>
              <w:t>遵纪守法</w:t>
            </w:r>
          </w:p>
          <w:p w14:paraId="77D12550">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p>
        </w:tc>
        <w:tc>
          <w:tcPr>
            <w:tcW w:w="459" w:type="pct"/>
            <w:noWrap w:val="0"/>
            <w:vAlign w:val="center"/>
          </w:tcPr>
          <w:p w14:paraId="5EACA04B">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b w:val="0"/>
                <w:bCs w:val="0"/>
                <w:i w:val="0"/>
                <w:iCs w:val="0"/>
                <w:snapToGrid w:val="0"/>
                <w:color w:val="auto"/>
                <w:kern w:val="0"/>
                <w:sz w:val="21"/>
                <w:szCs w:val="21"/>
                <w:highlight w:val="none"/>
                <w:u w:val="none"/>
                <w:lang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行政处罚</w:t>
            </w:r>
          </w:p>
        </w:tc>
        <w:tc>
          <w:tcPr>
            <w:tcW w:w="2367" w:type="pct"/>
            <w:noWrap w:val="0"/>
            <w:vAlign w:val="center"/>
          </w:tcPr>
          <w:p w14:paraId="25938D22">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b w:val="0"/>
                <w:bCs w:val="0"/>
                <w:i w:val="0"/>
                <w:iCs w:val="0"/>
                <w:snapToGrid w:val="0"/>
                <w:color w:val="auto"/>
                <w:kern w:val="0"/>
                <w:sz w:val="20"/>
                <w:szCs w:val="20"/>
                <w:highlight w:val="none"/>
                <w:u w:val="none"/>
                <w:lang w:bidi="ar"/>
              </w:rPr>
            </w:pPr>
            <w:r>
              <w:rPr>
                <w:rFonts w:hint="eastAsia" w:ascii="宋体" w:hAnsi="宋体" w:eastAsia="宋体" w:cs="宋体"/>
                <w:b w:val="0"/>
                <w:bCs w:val="0"/>
                <w:i w:val="0"/>
                <w:iCs w:val="0"/>
                <w:snapToGrid w:val="0"/>
                <w:color w:val="auto"/>
                <w:kern w:val="0"/>
                <w:sz w:val="20"/>
                <w:szCs w:val="20"/>
                <w:highlight w:val="none"/>
                <w:u w:val="none"/>
                <w:lang w:val="en-US" w:eastAsia="zh-CN" w:bidi="ar"/>
              </w:rPr>
              <w:t>企业在临空区内存在临空区赋权事项、市场监管、税务方面的行政处罚的，按照处罚类别认定，予以扣分。</w:t>
            </w:r>
          </w:p>
        </w:tc>
        <w:tc>
          <w:tcPr>
            <w:tcW w:w="556" w:type="pct"/>
            <w:noWrap w:val="0"/>
            <w:vAlign w:val="center"/>
          </w:tcPr>
          <w:p w14:paraId="2B495973">
            <w:pPr>
              <w:keepNext w:val="0"/>
              <w:keepLines w:val="0"/>
              <w:widowControl/>
              <w:suppressLineNumbers w:val="0"/>
              <w:snapToGrid w:val="0"/>
              <w:spacing w:line="240" w:lineRule="auto"/>
              <w:ind w:firstLine="0" w:firstLineChars="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snapToGrid w:val="0"/>
                <w:color w:val="auto"/>
                <w:kern w:val="0"/>
                <w:sz w:val="20"/>
                <w:szCs w:val="20"/>
                <w:highlight w:val="none"/>
                <w:u w:val="none"/>
                <w:lang w:val="en-US" w:eastAsia="zh-CN" w:bidi="ar"/>
              </w:rPr>
              <w:t>市区大数据平台</w:t>
            </w:r>
          </w:p>
        </w:tc>
        <w:tc>
          <w:tcPr>
            <w:tcW w:w="855" w:type="pct"/>
            <w:noWrap w:val="0"/>
            <w:vAlign w:val="center"/>
          </w:tcPr>
          <w:p w14:paraId="3E4A315C">
            <w:pPr>
              <w:keepNext w:val="0"/>
              <w:keepLines w:val="0"/>
              <w:widowControl/>
              <w:suppressLineNumbers w:val="0"/>
              <w:tabs>
                <w:tab w:val="left" w:pos="483"/>
              </w:tabs>
              <w:snapToGrid w:val="0"/>
              <w:spacing w:line="240" w:lineRule="auto"/>
              <w:ind w:firstLine="0" w:firstLineChars="0"/>
              <w:jc w:val="left"/>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以行政处罚决定书下发时间为生效日期，有效期3年。</w:t>
            </w:r>
          </w:p>
        </w:tc>
      </w:tr>
      <w:tr w14:paraId="7BFC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302" w:type="pct"/>
            <w:vMerge w:val="continue"/>
            <w:noWrap/>
            <w:vAlign w:val="center"/>
          </w:tcPr>
          <w:p w14:paraId="1137F607">
            <w:pPr>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458" w:type="pct"/>
            <w:vMerge w:val="continue"/>
            <w:noWrap w:val="0"/>
            <w:vAlign w:val="center"/>
          </w:tcPr>
          <w:p w14:paraId="194536FF">
            <w:pPr>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459" w:type="pct"/>
            <w:noWrap w:val="0"/>
            <w:vAlign w:val="center"/>
          </w:tcPr>
          <w:p w14:paraId="62BACF99">
            <w:pPr>
              <w:widowControl/>
              <w:spacing w:line="240" w:lineRule="auto"/>
              <w:ind w:firstLine="0" w:firstLineChars="0"/>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行政许可</w:t>
            </w:r>
          </w:p>
          <w:p w14:paraId="081239DE">
            <w:pPr>
              <w:widowControl/>
              <w:spacing w:line="240" w:lineRule="auto"/>
              <w:ind w:firstLine="0" w:firstLineChars="0"/>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撤销</w:t>
            </w:r>
          </w:p>
        </w:tc>
        <w:tc>
          <w:tcPr>
            <w:tcW w:w="2367" w:type="pct"/>
            <w:noWrap w:val="0"/>
            <w:vAlign w:val="center"/>
          </w:tcPr>
          <w:p w14:paraId="3638387E">
            <w:pPr>
              <w:keepNext w:val="0"/>
              <w:keepLines w:val="0"/>
              <w:widowControl/>
              <w:suppressLineNumbers w:val="0"/>
              <w:spacing w:line="240" w:lineRule="auto"/>
              <w:ind w:firstLine="0" w:firstLineChars="0"/>
              <w:jc w:val="left"/>
              <w:textAlignment w:val="center"/>
              <w:rPr>
                <w:rFonts w:hint="eastAsia" w:ascii="宋体" w:hAnsi="宋体" w:eastAsia="宋体" w:cs="宋体"/>
                <w:b w:val="0"/>
                <w:bCs w:val="0"/>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因行政相对人过错产生的，在临空区管委会办理的行政许可决定依法撤销的，予以扣分。</w:t>
            </w:r>
          </w:p>
        </w:tc>
        <w:tc>
          <w:tcPr>
            <w:tcW w:w="556" w:type="pct"/>
            <w:noWrap w:val="0"/>
            <w:vAlign w:val="center"/>
          </w:tcPr>
          <w:p w14:paraId="3939E5AE">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临空区大兴片区管委会</w:t>
            </w:r>
          </w:p>
        </w:tc>
        <w:tc>
          <w:tcPr>
            <w:tcW w:w="855" w:type="pct"/>
            <w:noWrap w:val="0"/>
            <w:vAlign w:val="center"/>
          </w:tcPr>
          <w:p w14:paraId="26CBB584">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以撤销行政许可决定书下发时间为生效日期，有效期3年。</w:t>
            </w:r>
          </w:p>
        </w:tc>
      </w:tr>
      <w:tr w14:paraId="0FAB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302" w:type="pct"/>
            <w:vMerge w:val="continue"/>
            <w:noWrap/>
            <w:vAlign w:val="center"/>
          </w:tcPr>
          <w:p w14:paraId="6082203E">
            <w:pPr>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458" w:type="pct"/>
            <w:vMerge w:val="continue"/>
            <w:noWrap w:val="0"/>
            <w:vAlign w:val="center"/>
          </w:tcPr>
          <w:p w14:paraId="067D4573">
            <w:pPr>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459" w:type="pct"/>
            <w:noWrap w:val="0"/>
            <w:vAlign w:val="center"/>
          </w:tcPr>
          <w:p w14:paraId="384D8174">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snapToGrid w:val="0"/>
                <w:color w:val="auto"/>
                <w:kern w:val="0"/>
                <w:sz w:val="21"/>
                <w:szCs w:val="21"/>
                <w:highlight w:val="none"/>
                <w:lang w:val="en-US" w:eastAsia="zh-CN" w:bidi="ar"/>
              </w:rPr>
              <w:t>纳税异常</w:t>
            </w:r>
          </w:p>
        </w:tc>
        <w:tc>
          <w:tcPr>
            <w:tcW w:w="2367" w:type="pct"/>
            <w:noWrap w:val="0"/>
            <w:vAlign w:val="center"/>
          </w:tcPr>
          <w:p w14:paraId="6F0B495D">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snapToGrid w:val="0"/>
                <w:color w:val="auto"/>
                <w:kern w:val="0"/>
                <w:sz w:val="20"/>
                <w:szCs w:val="20"/>
                <w:highlight w:val="none"/>
                <w:u w:val="none"/>
                <w:lang w:val="en-US" w:eastAsia="zh-CN" w:bidi="ar"/>
              </w:rPr>
              <w:t>企业被税务主管部门认定存在欠税情况、存在非正常户记录的，予以扣分。</w:t>
            </w:r>
          </w:p>
        </w:tc>
        <w:tc>
          <w:tcPr>
            <w:tcW w:w="556" w:type="pct"/>
            <w:noWrap w:val="0"/>
            <w:vAlign w:val="center"/>
          </w:tcPr>
          <w:p w14:paraId="3CFA0594">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市区大数据平台</w:t>
            </w:r>
          </w:p>
        </w:tc>
        <w:tc>
          <w:tcPr>
            <w:tcW w:w="855" w:type="pct"/>
            <w:noWrap w:val="0"/>
            <w:vAlign w:val="center"/>
          </w:tcPr>
          <w:p w14:paraId="25CDAB86">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以非正常户认定、欠税公告发布之日为生效日期，有效期</w:t>
            </w:r>
            <w:r>
              <w:rPr>
                <w:rFonts w:hint="eastAsia" w:ascii="宋体" w:hAnsi="宋体" w:eastAsia="宋体" w:cs="宋体"/>
                <w:i w:val="0"/>
                <w:iCs w:val="0"/>
                <w:color w:val="auto"/>
                <w:sz w:val="20"/>
                <w:szCs w:val="20"/>
                <w:highlight w:val="none"/>
                <w:u w:val="none"/>
                <w:lang w:val="en-US" w:eastAsia="zh-CN"/>
              </w:rPr>
              <w:t>3</w:t>
            </w:r>
            <w:r>
              <w:rPr>
                <w:rFonts w:hint="eastAsia" w:ascii="宋体" w:hAnsi="宋体" w:eastAsia="宋体" w:cs="宋体"/>
                <w:i w:val="0"/>
                <w:iCs w:val="0"/>
                <w:color w:val="auto"/>
                <w:sz w:val="20"/>
                <w:szCs w:val="20"/>
                <w:highlight w:val="none"/>
                <w:u w:val="none"/>
              </w:rPr>
              <w:t>年。</w:t>
            </w:r>
          </w:p>
        </w:tc>
      </w:tr>
      <w:tr w14:paraId="73AD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302" w:type="pct"/>
            <w:vMerge w:val="continue"/>
            <w:noWrap/>
            <w:vAlign w:val="center"/>
          </w:tcPr>
          <w:p w14:paraId="04679480">
            <w:pPr>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458" w:type="pct"/>
            <w:vMerge w:val="continue"/>
            <w:noWrap w:val="0"/>
            <w:vAlign w:val="center"/>
          </w:tcPr>
          <w:p w14:paraId="407D5F75">
            <w:pPr>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459" w:type="pct"/>
            <w:noWrap w:val="0"/>
            <w:vAlign w:val="center"/>
          </w:tcPr>
          <w:p w14:paraId="1BBD046B">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b w:val="0"/>
                <w:bCs w:val="0"/>
                <w:i w:val="0"/>
                <w:iCs w:val="0"/>
                <w:snapToGrid w:val="0"/>
                <w:color w:val="auto"/>
                <w:kern w:val="0"/>
                <w:sz w:val="21"/>
                <w:szCs w:val="21"/>
                <w:highlight w:val="none"/>
                <w:u w:val="none"/>
                <w:lang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异常经营</w:t>
            </w:r>
          </w:p>
        </w:tc>
        <w:tc>
          <w:tcPr>
            <w:tcW w:w="2367" w:type="pct"/>
            <w:noWrap w:val="0"/>
            <w:vAlign w:val="center"/>
          </w:tcPr>
          <w:p w14:paraId="7FAE2C8C">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snapToGrid w:val="0"/>
                <w:color w:val="auto"/>
                <w:kern w:val="0"/>
                <w:sz w:val="20"/>
                <w:szCs w:val="20"/>
                <w:highlight w:val="none"/>
                <w:u w:val="none"/>
                <w:lang w:val="en-US" w:eastAsia="zh-CN" w:bidi="ar"/>
              </w:rPr>
              <w:t>企业被市场监管部门列为经营异常名录（状态）记录的，予以扣分。</w:t>
            </w:r>
          </w:p>
        </w:tc>
        <w:tc>
          <w:tcPr>
            <w:tcW w:w="556" w:type="pct"/>
            <w:noWrap w:val="0"/>
            <w:vAlign w:val="center"/>
          </w:tcPr>
          <w:p w14:paraId="5B83333C">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市区大数据平台</w:t>
            </w:r>
          </w:p>
        </w:tc>
        <w:tc>
          <w:tcPr>
            <w:tcW w:w="855" w:type="pct"/>
            <w:noWrap w:val="0"/>
            <w:vAlign w:val="center"/>
          </w:tcPr>
          <w:p w14:paraId="476C4319">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以列入异常经营名录</w:t>
            </w:r>
            <w:r>
              <w:rPr>
                <w:rFonts w:hint="eastAsia" w:ascii="宋体" w:hAnsi="宋体" w:eastAsia="宋体" w:cs="宋体"/>
                <w:i w:val="0"/>
                <w:iCs w:val="0"/>
                <w:color w:val="auto"/>
                <w:sz w:val="20"/>
                <w:szCs w:val="20"/>
                <w:highlight w:val="none"/>
                <w:u w:val="none"/>
                <w:lang w:eastAsia="zh-CN"/>
              </w:rPr>
              <w:t>（</w:t>
            </w:r>
            <w:r>
              <w:rPr>
                <w:rFonts w:hint="eastAsia" w:ascii="宋体" w:hAnsi="宋体" w:eastAsia="宋体" w:cs="宋体"/>
                <w:i w:val="0"/>
                <w:iCs w:val="0"/>
                <w:color w:val="auto"/>
                <w:sz w:val="20"/>
                <w:szCs w:val="20"/>
                <w:highlight w:val="none"/>
                <w:u w:val="none"/>
                <w:lang w:val="en-US" w:eastAsia="zh-CN"/>
              </w:rPr>
              <w:t>状态</w:t>
            </w:r>
            <w:r>
              <w:rPr>
                <w:rFonts w:hint="eastAsia" w:ascii="宋体" w:hAnsi="宋体" w:eastAsia="宋体" w:cs="宋体"/>
                <w:i w:val="0"/>
                <w:iCs w:val="0"/>
                <w:color w:val="auto"/>
                <w:sz w:val="20"/>
                <w:szCs w:val="20"/>
                <w:highlight w:val="none"/>
                <w:u w:val="none"/>
                <w:lang w:eastAsia="zh-CN"/>
              </w:rPr>
              <w:t>）</w:t>
            </w:r>
            <w:r>
              <w:rPr>
                <w:rFonts w:hint="eastAsia" w:ascii="宋体" w:hAnsi="宋体" w:eastAsia="宋体" w:cs="宋体"/>
                <w:i w:val="0"/>
                <w:iCs w:val="0"/>
                <w:color w:val="auto"/>
                <w:sz w:val="20"/>
                <w:szCs w:val="20"/>
                <w:highlight w:val="none"/>
                <w:u w:val="none"/>
              </w:rPr>
              <w:t>之日为生效日期，有效期3年。</w:t>
            </w:r>
          </w:p>
        </w:tc>
      </w:tr>
      <w:tr w14:paraId="5CEA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trPr>
        <w:tc>
          <w:tcPr>
            <w:tcW w:w="302" w:type="pct"/>
            <w:vMerge w:val="continue"/>
            <w:noWrap/>
            <w:vAlign w:val="center"/>
          </w:tcPr>
          <w:p w14:paraId="152BDB77">
            <w:pPr>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458" w:type="pct"/>
            <w:vMerge w:val="continue"/>
            <w:noWrap w:val="0"/>
            <w:vAlign w:val="center"/>
          </w:tcPr>
          <w:p w14:paraId="2B1744C6">
            <w:pPr>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459" w:type="pct"/>
            <w:noWrap w:val="0"/>
            <w:vAlign w:val="center"/>
          </w:tcPr>
          <w:p w14:paraId="6A50FCF0">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b w:val="0"/>
                <w:bCs w:val="0"/>
                <w:i w:val="0"/>
                <w:iCs w:val="0"/>
                <w:snapToGrid w:val="0"/>
                <w:color w:val="auto"/>
                <w:kern w:val="0"/>
                <w:sz w:val="21"/>
                <w:szCs w:val="21"/>
                <w:highlight w:val="none"/>
                <w:u w:val="none"/>
                <w:lang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行业监管评价</w:t>
            </w:r>
          </w:p>
        </w:tc>
        <w:tc>
          <w:tcPr>
            <w:tcW w:w="2367" w:type="pct"/>
            <w:noWrap w:val="0"/>
            <w:vAlign w:val="center"/>
          </w:tcPr>
          <w:p w14:paraId="06EC7830">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snapToGrid w:val="0"/>
                <w:color w:val="auto"/>
                <w:kern w:val="0"/>
                <w:sz w:val="20"/>
                <w:szCs w:val="20"/>
                <w:highlight w:val="none"/>
                <w:u w:val="none"/>
                <w:lang w:val="en-US" w:eastAsia="zh-CN" w:bidi="ar"/>
              </w:rPr>
              <w:t>企业在北京市对临空区赋权的行业管理部门以及税务、海关、住建、园林、水务等行业信用等级评价中获得最高级别的，予以加分。</w:t>
            </w:r>
          </w:p>
        </w:tc>
        <w:tc>
          <w:tcPr>
            <w:tcW w:w="556" w:type="pct"/>
            <w:noWrap w:val="0"/>
            <w:vAlign w:val="center"/>
          </w:tcPr>
          <w:p w14:paraId="32AF5134">
            <w:pPr>
              <w:keepNext w:val="0"/>
              <w:keepLines w:val="0"/>
              <w:widowControl/>
              <w:suppressLineNumbers w:val="0"/>
              <w:snapToGrid w:val="0"/>
              <w:spacing w:line="240" w:lineRule="auto"/>
              <w:ind w:firstLine="0" w:firstLineChars="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市区</w:t>
            </w:r>
            <w:r>
              <w:rPr>
                <w:rFonts w:hint="eastAsia" w:ascii="宋体" w:hAnsi="宋体" w:eastAsia="宋体" w:cs="宋体"/>
                <w:i w:val="0"/>
                <w:iCs w:val="0"/>
                <w:color w:val="auto"/>
                <w:sz w:val="20"/>
                <w:szCs w:val="20"/>
                <w:highlight w:val="none"/>
                <w:u w:val="none"/>
              </w:rPr>
              <w:t>大数据平台</w:t>
            </w:r>
            <w:r>
              <w:rPr>
                <w:rFonts w:hint="eastAsia" w:ascii="宋体" w:hAnsi="宋体" w:eastAsia="宋体" w:cs="宋体"/>
                <w:i w:val="0"/>
                <w:iCs w:val="0"/>
                <w:color w:val="auto"/>
                <w:sz w:val="20"/>
                <w:szCs w:val="20"/>
                <w:highlight w:val="none"/>
                <w:u w:val="none"/>
                <w:lang w:val="en-US" w:eastAsia="zh-CN"/>
              </w:rPr>
              <w:t>/企业自主申报</w:t>
            </w:r>
          </w:p>
        </w:tc>
        <w:tc>
          <w:tcPr>
            <w:tcW w:w="855" w:type="pct"/>
            <w:noWrap w:val="0"/>
            <w:vAlign w:val="center"/>
          </w:tcPr>
          <w:p w14:paraId="33FD0ACF">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以行业评价结果发布信息日期为生效日期，有效期与行业信用评价、信用认证有效期一致。</w:t>
            </w:r>
          </w:p>
        </w:tc>
      </w:tr>
      <w:tr w14:paraId="0169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302" w:type="pct"/>
            <w:vMerge w:val="restart"/>
            <w:noWrap/>
            <w:vAlign w:val="center"/>
          </w:tcPr>
          <w:p w14:paraId="7AFDA784">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3</w:t>
            </w:r>
          </w:p>
        </w:tc>
        <w:tc>
          <w:tcPr>
            <w:tcW w:w="458" w:type="pct"/>
            <w:vMerge w:val="restart"/>
            <w:noWrap w:val="0"/>
            <w:vAlign w:val="center"/>
          </w:tcPr>
          <w:p w14:paraId="7700E569">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r>
              <w:rPr>
                <w:rFonts w:hint="eastAsia" w:ascii="宋体" w:hAnsi="宋体" w:eastAsia="宋体" w:cs="宋体"/>
                <w:b/>
                <w:bCs/>
                <w:i w:val="0"/>
                <w:iCs w:val="0"/>
                <w:snapToGrid w:val="0"/>
                <w:color w:val="auto"/>
                <w:kern w:val="0"/>
                <w:sz w:val="21"/>
                <w:szCs w:val="21"/>
                <w:highlight w:val="none"/>
                <w:u w:val="none"/>
                <w:lang w:val="en-US" w:eastAsia="zh-CN" w:bidi="ar"/>
              </w:rPr>
              <w:t>社会责任</w:t>
            </w:r>
          </w:p>
          <w:p w14:paraId="74A186DD">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p>
        </w:tc>
        <w:tc>
          <w:tcPr>
            <w:tcW w:w="459" w:type="pct"/>
            <w:noWrap w:val="0"/>
            <w:vAlign w:val="center"/>
          </w:tcPr>
          <w:p w14:paraId="1072DC0C">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b w:val="0"/>
                <w:bCs w:val="0"/>
                <w:i w:val="0"/>
                <w:iCs w:val="0"/>
                <w:snapToGrid w:val="0"/>
                <w:color w:val="auto"/>
                <w:kern w:val="0"/>
                <w:sz w:val="21"/>
                <w:szCs w:val="21"/>
                <w:highlight w:val="none"/>
                <w:u w:val="none"/>
                <w:lang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纳税贡献</w:t>
            </w:r>
          </w:p>
        </w:tc>
        <w:tc>
          <w:tcPr>
            <w:tcW w:w="2367" w:type="pct"/>
            <w:noWrap w:val="0"/>
            <w:vAlign w:val="center"/>
          </w:tcPr>
          <w:p w14:paraId="1DBE1B24">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b w:val="0"/>
                <w:bCs w:val="0"/>
                <w:i w:val="0"/>
                <w:iCs w:val="0"/>
                <w:snapToGrid w:val="0"/>
                <w:color w:val="auto"/>
                <w:kern w:val="0"/>
                <w:sz w:val="20"/>
                <w:szCs w:val="20"/>
                <w:highlight w:val="none"/>
                <w:u w:val="none"/>
                <w:lang w:bidi="ar"/>
              </w:rPr>
            </w:pPr>
            <w:r>
              <w:rPr>
                <w:rFonts w:hint="eastAsia" w:ascii="宋体" w:hAnsi="宋体" w:eastAsia="宋体" w:cs="宋体"/>
                <w:b w:val="0"/>
                <w:bCs w:val="0"/>
                <w:i w:val="0"/>
                <w:iCs w:val="0"/>
                <w:snapToGrid w:val="0"/>
                <w:color w:val="auto"/>
                <w:kern w:val="0"/>
                <w:sz w:val="20"/>
                <w:szCs w:val="20"/>
                <w:highlight w:val="none"/>
                <w:u w:val="none"/>
                <w:lang w:val="en-US" w:eastAsia="zh-CN" w:bidi="ar"/>
              </w:rPr>
              <w:t>根据企业在临空区内近3年内的累计缴纳税款额，予以加分。</w:t>
            </w:r>
          </w:p>
        </w:tc>
        <w:tc>
          <w:tcPr>
            <w:tcW w:w="556" w:type="pct"/>
            <w:noWrap w:val="0"/>
            <w:vAlign w:val="center"/>
          </w:tcPr>
          <w:p w14:paraId="4B17D301">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临空区大兴片区管委会/企业自主申报</w:t>
            </w:r>
          </w:p>
        </w:tc>
        <w:tc>
          <w:tcPr>
            <w:tcW w:w="855" w:type="pct"/>
            <w:noWrap w:val="0"/>
            <w:vAlign w:val="center"/>
          </w:tcPr>
          <w:p w14:paraId="0B749176">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以税款缴纳凭证日期为生效日期，有效期3年。</w:t>
            </w:r>
          </w:p>
        </w:tc>
      </w:tr>
      <w:tr w14:paraId="0BD1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302" w:type="pct"/>
            <w:vMerge w:val="continue"/>
            <w:noWrap/>
            <w:vAlign w:val="center"/>
          </w:tcPr>
          <w:p w14:paraId="1B5B5618">
            <w:pPr>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458" w:type="pct"/>
            <w:vMerge w:val="continue"/>
            <w:noWrap w:val="0"/>
            <w:vAlign w:val="center"/>
          </w:tcPr>
          <w:p w14:paraId="018C0EEC">
            <w:pPr>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459" w:type="pct"/>
            <w:noWrap w:val="0"/>
            <w:vAlign w:val="center"/>
          </w:tcPr>
          <w:p w14:paraId="74A55E10">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b w:val="0"/>
                <w:bCs w:val="0"/>
                <w:i w:val="0"/>
                <w:iCs w:val="0"/>
                <w:snapToGrid w:val="0"/>
                <w:color w:val="auto"/>
                <w:kern w:val="0"/>
                <w:sz w:val="21"/>
                <w:szCs w:val="21"/>
                <w:highlight w:val="none"/>
                <w:u w:val="none"/>
                <w:lang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科技创新</w:t>
            </w:r>
          </w:p>
        </w:tc>
        <w:tc>
          <w:tcPr>
            <w:tcW w:w="2367" w:type="pct"/>
            <w:noWrap w:val="0"/>
            <w:vAlign w:val="center"/>
          </w:tcPr>
          <w:p w14:paraId="704C0DAA">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b w:val="0"/>
                <w:bCs w:val="0"/>
                <w:i w:val="0"/>
                <w:iCs w:val="0"/>
                <w:snapToGrid w:val="0"/>
                <w:color w:val="auto"/>
                <w:kern w:val="0"/>
                <w:sz w:val="20"/>
                <w:szCs w:val="20"/>
                <w:highlight w:val="none"/>
                <w:u w:val="none"/>
                <w:lang w:bidi="ar"/>
              </w:rPr>
            </w:pPr>
            <w:r>
              <w:rPr>
                <w:rFonts w:hint="eastAsia" w:ascii="宋体" w:hAnsi="宋体" w:eastAsia="宋体" w:cs="宋体"/>
                <w:i w:val="0"/>
                <w:iCs w:val="0"/>
                <w:snapToGrid w:val="0"/>
                <w:color w:val="auto"/>
                <w:kern w:val="0"/>
                <w:sz w:val="20"/>
                <w:szCs w:val="20"/>
                <w:highlight w:val="none"/>
                <w:u w:val="none"/>
                <w:lang w:val="en-US" w:eastAsia="zh-CN" w:bidi="ar"/>
              </w:rPr>
              <w:t>企业科技研发领域增信信息，包括获得国家级及省级科技创新平台认定、科技型企业认定、科学技术领域奖项的信息，予以加分。</w:t>
            </w:r>
          </w:p>
        </w:tc>
        <w:tc>
          <w:tcPr>
            <w:tcW w:w="556" w:type="pct"/>
            <w:vMerge w:val="restart"/>
            <w:noWrap w:val="0"/>
            <w:vAlign w:val="center"/>
          </w:tcPr>
          <w:p w14:paraId="74025DDD">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企业</w:t>
            </w:r>
          </w:p>
          <w:p w14:paraId="6F3F0B9A">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自主申报</w:t>
            </w:r>
          </w:p>
        </w:tc>
        <w:tc>
          <w:tcPr>
            <w:tcW w:w="855" w:type="pct"/>
            <w:noWrap w:val="0"/>
            <w:vAlign w:val="center"/>
          </w:tcPr>
          <w:p w14:paraId="5A1493CE">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以证书颁发时间为生效日期，有效期与证书期限一致。</w:t>
            </w:r>
          </w:p>
        </w:tc>
      </w:tr>
      <w:tr w14:paraId="5EEB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302" w:type="pct"/>
            <w:vMerge w:val="continue"/>
            <w:noWrap/>
            <w:vAlign w:val="center"/>
          </w:tcPr>
          <w:p w14:paraId="3227A55E">
            <w:pPr>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458" w:type="pct"/>
            <w:vMerge w:val="continue"/>
            <w:noWrap w:val="0"/>
            <w:vAlign w:val="center"/>
          </w:tcPr>
          <w:p w14:paraId="4552F6C0">
            <w:pPr>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459" w:type="pct"/>
            <w:noWrap w:val="0"/>
            <w:vAlign w:val="center"/>
          </w:tcPr>
          <w:p w14:paraId="76A10692">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b w:val="0"/>
                <w:bCs w:val="0"/>
                <w:i w:val="0"/>
                <w:iCs w:val="0"/>
                <w:snapToGrid w:val="0"/>
                <w:color w:val="auto"/>
                <w:kern w:val="0"/>
                <w:sz w:val="21"/>
                <w:szCs w:val="21"/>
                <w:highlight w:val="none"/>
                <w:u w:val="none"/>
                <w:lang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绿色环保</w:t>
            </w:r>
          </w:p>
        </w:tc>
        <w:tc>
          <w:tcPr>
            <w:tcW w:w="2367" w:type="pct"/>
            <w:noWrap w:val="0"/>
            <w:vAlign w:val="center"/>
          </w:tcPr>
          <w:p w14:paraId="0A6260BD">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snapToGrid w:val="0"/>
                <w:color w:val="auto"/>
                <w:kern w:val="0"/>
                <w:sz w:val="20"/>
                <w:szCs w:val="20"/>
                <w:highlight w:val="none"/>
                <w:u w:val="none"/>
                <w:lang w:val="en-US" w:eastAsia="zh-CN" w:bidi="ar"/>
              </w:rPr>
              <w:t>企业纳入大兴区年度绿色信用企业名录的、在临空经济区内投资建设超低能耗建筑的，予以加分。</w:t>
            </w:r>
          </w:p>
        </w:tc>
        <w:tc>
          <w:tcPr>
            <w:tcW w:w="556" w:type="pct"/>
            <w:vMerge w:val="continue"/>
            <w:noWrap w:val="0"/>
            <w:vAlign w:val="center"/>
          </w:tcPr>
          <w:p w14:paraId="4C7D3A15">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855" w:type="pct"/>
            <w:noWrap w:val="0"/>
            <w:vAlign w:val="center"/>
          </w:tcPr>
          <w:p w14:paraId="1BD27FEF">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以认定时间或官方文件发布时间为生效日期，有效期3年。</w:t>
            </w:r>
          </w:p>
        </w:tc>
      </w:tr>
      <w:tr w14:paraId="0D00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trPr>
        <w:tc>
          <w:tcPr>
            <w:tcW w:w="302" w:type="pct"/>
            <w:vMerge w:val="continue"/>
            <w:noWrap/>
            <w:vAlign w:val="center"/>
          </w:tcPr>
          <w:p w14:paraId="04B7D3F5">
            <w:pPr>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458" w:type="pct"/>
            <w:vMerge w:val="continue"/>
            <w:noWrap w:val="0"/>
            <w:vAlign w:val="center"/>
          </w:tcPr>
          <w:p w14:paraId="2D322999">
            <w:pPr>
              <w:snapToGrid w:val="0"/>
              <w:spacing w:line="240" w:lineRule="auto"/>
              <w:ind w:firstLine="0" w:firstLineChars="0"/>
              <w:jc w:val="center"/>
              <w:rPr>
                <w:rFonts w:hint="eastAsia" w:ascii="宋体" w:hAnsi="宋体" w:eastAsia="宋体" w:cs="宋体"/>
                <w:b/>
                <w:bCs/>
                <w:i w:val="0"/>
                <w:iCs w:val="0"/>
                <w:color w:val="auto"/>
                <w:sz w:val="21"/>
                <w:szCs w:val="21"/>
                <w:highlight w:val="none"/>
                <w:u w:val="none"/>
              </w:rPr>
            </w:pPr>
          </w:p>
        </w:tc>
        <w:tc>
          <w:tcPr>
            <w:tcW w:w="459" w:type="pct"/>
            <w:noWrap w:val="0"/>
            <w:vAlign w:val="center"/>
          </w:tcPr>
          <w:p w14:paraId="4D3BCFB5">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b w:val="0"/>
                <w:bCs w:val="0"/>
                <w:i w:val="0"/>
                <w:iCs w:val="0"/>
                <w:snapToGrid w:val="0"/>
                <w:color w:val="auto"/>
                <w:kern w:val="0"/>
                <w:sz w:val="21"/>
                <w:szCs w:val="21"/>
                <w:highlight w:val="none"/>
                <w:u w:val="none"/>
                <w:lang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表彰奖励</w:t>
            </w:r>
          </w:p>
        </w:tc>
        <w:tc>
          <w:tcPr>
            <w:tcW w:w="2367" w:type="pct"/>
            <w:noWrap w:val="0"/>
            <w:vAlign w:val="center"/>
          </w:tcPr>
          <w:p w14:paraId="4B8B654B">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b w:val="0"/>
                <w:bCs w:val="0"/>
                <w:i w:val="0"/>
                <w:iCs w:val="0"/>
                <w:color w:val="auto"/>
                <w:sz w:val="20"/>
                <w:szCs w:val="20"/>
                <w:highlight w:val="none"/>
                <w:u w:val="none"/>
                <w:lang w:bidi="ar"/>
              </w:rPr>
            </w:pPr>
            <w:r>
              <w:rPr>
                <w:rFonts w:hint="eastAsia" w:ascii="宋体" w:hAnsi="宋体" w:eastAsia="宋体" w:cs="宋体"/>
                <w:b w:val="0"/>
                <w:bCs w:val="0"/>
                <w:i w:val="0"/>
                <w:iCs w:val="0"/>
                <w:snapToGrid w:val="0"/>
                <w:color w:val="auto"/>
                <w:kern w:val="0"/>
                <w:sz w:val="20"/>
                <w:szCs w:val="20"/>
                <w:highlight w:val="none"/>
                <w:u w:val="none"/>
                <w:lang w:val="en-US" w:eastAsia="zh-CN" w:bidi="ar"/>
              </w:rPr>
              <w:t>企业存在国家、市、区政府、临空区（大兴）管委会表彰奖励记录的，予以加分。</w:t>
            </w:r>
          </w:p>
        </w:tc>
        <w:tc>
          <w:tcPr>
            <w:tcW w:w="556" w:type="pct"/>
            <w:vMerge w:val="continue"/>
            <w:noWrap w:val="0"/>
            <w:vAlign w:val="center"/>
          </w:tcPr>
          <w:p w14:paraId="6D0E410E">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855" w:type="pct"/>
            <w:noWrap w:val="0"/>
            <w:vAlign w:val="center"/>
          </w:tcPr>
          <w:p w14:paraId="08774406">
            <w:pPr>
              <w:keepNext w:val="0"/>
              <w:keepLines w:val="0"/>
              <w:widowControl/>
              <w:suppressLineNumbers w:val="0"/>
              <w:snapToGrid w:val="0"/>
              <w:spacing w:line="240" w:lineRule="auto"/>
              <w:ind w:firstLine="0" w:firstLineChars="0"/>
              <w:jc w:val="center"/>
              <w:textAlignment w:val="center"/>
              <w:rPr>
                <w:rFonts w:hint="default"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自奖励颁发之日起生效，长期有效。</w:t>
            </w:r>
          </w:p>
        </w:tc>
      </w:tr>
      <w:tr w14:paraId="2F62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220" w:type="pct"/>
            <w:gridSpan w:val="3"/>
            <w:noWrap w:val="0"/>
            <w:vAlign w:val="center"/>
          </w:tcPr>
          <w:p w14:paraId="43CEB45C">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信用修复</w:t>
            </w:r>
          </w:p>
        </w:tc>
        <w:tc>
          <w:tcPr>
            <w:tcW w:w="2367" w:type="pct"/>
            <w:noWrap w:val="0"/>
            <w:vAlign w:val="center"/>
          </w:tcPr>
          <w:p w14:paraId="7CCB4FCB">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b w:val="0"/>
                <w:bCs w:val="0"/>
                <w:i w:val="0"/>
                <w:iCs w:val="0"/>
                <w:color w:val="auto"/>
                <w:sz w:val="20"/>
                <w:szCs w:val="20"/>
                <w:highlight w:val="none"/>
                <w:u w:val="none"/>
                <w:lang w:bidi="ar"/>
              </w:rPr>
            </w:pPr>
            <w:r>
              <w:rPr>
                <w:rFonts w:hint="eastAsia" w:ascii="宋体" w:hAnsi="宋体" w:eastAsia="宋体" w:cs="宋体"/>
                <w:b w:val="0"/>
                <w:bCs w:val="0"/>
                <w:i w:val="0"/>
                <w:iCs w:val="0"/>
                <w:snapToGrid w:val="0"/>
                <w:color w:val="auto"/>
                <w:kern w:val="0"/>
                <w:sz w:val="20"/>
                <w:szCs w:val="20"/>
                <w:highlight w:val="none"/>
                <w:u w:val="none"/>
                <w:lang w:val="en-US" w:eastAsia="zh-CN" w:bidi="ar"/>
              </w:rPr>
              <w:t>在信息有效期内，完成负向信息相关的信用整改、修复工作、移出相关名录名单后，对应分值予以70%加回。</w:t>
            </w:r>
          </w:p>
        </w:tc>
        <w:tc>
          <w:tcPr>
            <w:tcW w:w="556" w:type="pct"/>
            <w:noWrap w:val="0"/>
            <w:vAlign w:val="center"/>
          </w:tcPr>
          <w:p w14:paraId="0ED4B803">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市区大数据平台/企业</w:t>
            </w:r>
          </w:p>
          <w:p w14:paraId="7C619EDC">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自主申报</w:t>
            </w:r>
          </w:p>
        </w:tc>
        <w:tc>
          <w:tcPr>
            <w:tcW w:w="855" w:type="pct"/>
            <w:noWrap w:val="0"/>
            <w:vAlign w:val="center"/>
          </w:tcPr>
          <w:p w14:paraId="459DD082">
            <w:pPr>
              <w:keepNext w:val="0"/>
              <w:keepLines w:val="0"/>
              <w:widowControl/>
              <w:suppressLineNumbers w:val="0"/>
              <w:snapToGrid w:val="0"/>
              <w:spacing w:line="240" w:lineRule="auto"/>
              <w:ind w:firstLine="0" w:firstLineChars="0"/>
              <w:jc w:val="both"/>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与对应负向信息有效期一致。</w:t>
            </w:r>
          </w:p>
        </w:tc>
      </w:tr>
      <w:tr w14:paraId="18F98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220" w:type="pct"/>
            <w:gridSpan w:val="3"/>
            <w:vMerge w:val="restart"/>
            <w:noWrap w:val="0"/>
            <w:vAlign w:val="center"/>
          </w:tcPr>
          <w:p w14:paraId="38AB7F8B">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直接判定</w:t>
            </w:r>
          </w:p>
        </w:tc>
        <w:tc>
          <w:tcPr>
            <w:tcW w:w="2367" w:type="pct"/>
            <w:noWrap w:val="0"/>
            <w:vAlign w:val="center"/>
          </w:tcPr>
          <w:p w14:paraId="56A8D21B">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b w:val="0"/>
                <w:bCs w:val="0"/>
                <w:i w:val="0"/>
                <w:iCs w:val="0"/>
                <w:color w:val="auto"/>
                <w:sz w:val="20"/>
                <w:szCs w:val="20"/>
                <w:highlight w:val="none"/>
                <w:u w:val="none"/>
                <w:lang w:bidi="ar"/>
              </w:rPr>
            </w:pPr>
            <w:r>
              <w:rPr>
                <w:rFonts w:hint="eastAsia" w:ascii="宋体" w:hAnsi="宋体" w:eastAsia="宋体" w:cs="宋体"/>
                <w:b w:val="0"/>
                <w:bCs w:val="0"/>
                <w:i w:val="0"/>
                <w:iCs w:val="0"/>
                <w:snapToGrid w:val="0"/>
                <w:color w:val="auto"/>
                <w:kern w:val="0"/>
                <w:sz w:val="20"/>
                <w:szCs w:val="20"/>
                <w:highlight w:val="none"/>
                <w:u w:val="none"/>
                <w:lang w:val="en-US" w:eastAsia="zh-CN" w:bidi="ar"/>
              </w:rPr>
              <w:t>在评价周期内，行政相对人存在以下情形作为“直接判定”项，直接评定为C-等：</w:t>
            </w:r>
            <w:r>
              <w:rPr>
                <w:rFonts w:hint="eastAsia" w:ascii="宋体" w:hAnsi="宋体" w:eastAsia="宋体" w:cs="宋体"/>
                <w:b w:val="0"/>
                <w:bCs w:val="0"/>
                <w:i w:val="0"/>
                <w:iCs w:val="0"/>
                <w:snapToGrid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snapToGrid w:val="0"/>
                <w:color w:val="auto"/>
                <w:kern w:val="0"/>
                <w:sz w:val="20"/>
                <w:szCs w:val="20"/>
                <w:highlight w:val="none"/>
                <w:u w:val="none"/>
                <w:lang w:val="en-US" w:eastAsia="zh-CN" w:bidi="ar"/>
              </w:rPr>
              <w:t>被处责令停产停业、责令关闭、</w:t>
            </w:r>
            <w:r>
              <w:rPr>
                <w:rFonts w:hint="eastAsia" w:ascii="宋体" w:hAnsi="宋体" w:eastAsia="宋体" w:cs="宋体"/>
                <w:i w:val="0"/>
                <w:iCs w:val="0"/>
                <w:caps w:val="0"/>
                <w:snapToGrid w:val="0"/>
                <w:color w:val="auto"/>
                <w:spacing w:val="0"/>
                <w:kern w:val="0"/>
                <w:sz w:val="20"/>
                <w:szCs w:val="20"/>
                <w:highlight w:val="none"/>
                <w:u w:val="none"/>
                <w:shd w:val="clear" w:color="auto" w:fill="auto"/>
                <w:lang w:val="en-US" w:eastAsia="zh-CN" w:bidi="ar"/>
              </w:rPr>
              <w:t>限制开展生产经营活动等处罚</w:t>
            </w:r>
            <w:r>
              <w:rPr>
                <w:rFonts w:hint="eastAsia" w:ascii="宋体" w:hAnsi="宋体" w:eastAsia="宋体" w:cs="宋体"/>
                <w:b w:val="0"/>
                <w:bCs w:val="0"/>
                <w:i w:val="0"/>
                <w:iCs w:val="0"/>
                <w:snapToGrid w:val="0"/>
                <w:color w:val="auto"/>
                <w:kern w:val="0"/>
                <w:sz w:val="20"/>
                <w:szCs w:val="20"/>
                <w:highlight w:val="none"/>
                <w:u w:val="none"/>
                <w:lang w:val="en-US" w:eastAsia="zh-CN" w:bidi="ar"/>
              </w:rPr>
              <w:t>。</w:t>
            </w:r>
          </w:p>
        </w:tc>
        <w:tc>
          <w:tcPr>
            <w:tcW w:w="556" w:type="pct"/>
            <w:vMerge w:val="restart"/>
            <w:noWrap/>
            <w:vAlign w:val="center"/>
          </w:tcPr>
          <w:p w14:paraId="052164E7">
            <w:pPr>
              <w:keepNext w:val="0"/>
              <w:keepLines w:val="0"/>
              <w:widowControl/>
              <w:suppressLineNumbers w:val="0"/>
              <w:snapToGrid w:val="0"/>
              <w:spacing w:line="240" w:lineRule="auto"/>
              <w:ind w:firstLine="0" w:firstLineChars="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市区</w:t>
            </w:r>
          </w:p>
          <w:p w14:paraId="6FCAD079">
            <w:pPr>
              <w:widowControl/>
              <w:snapToGrid w:val="0"/>
              <w:spacing w:line="240" w:lineRule="auto"/>
              <w:ind w:firstLine="0" w:firstLineChars="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大数据平台</w:t>
            </w:r>
          </w:p>
          <w:p w14:paraId="77E2791A">
            <w:pPr>
              <w:widowControl/>
              <w:snapToGrid w:val="0"/>
              <w:spacing w:line="240" w:lineRule="auto"/>
              <w:ind w:firstLine="0" w:firstLineChars="0"/>
              <w:jc w:val="both"/>
              <w:textAlignment w:val="center"/>
              <w:rPr>
                <w:rFonts w:hint="eastAsia" w:ascii="宋体" w:hAnsi="宋体" w:eastAsia="宋体" w:cs="宋体"/>
                <w:i w:val="0"/>
                <w:iCs w:val="0"/>
                <w:snapToGrid w:val="0"/>
                <w:color w:val="auto"/>
                <w:kern w:val="0"/>
                <w:sz w:val="20"/>
                <w:szCs w:val="20"/>
                <w:highlight w:val="none"/>
                <w:u w:val="none"/>
                <w:lang w:val="en-US" w:eastAsia="zh-CN" w:bidi="ar"/>
              </w:rPr>
            </w:pPr>
          </w:p>
        </w:tc>
        <w:tc>
          <w:tcPr>
            <w:tcW w:w="855" w:type="pct"/>
            <w:vMerge w:val="restart"/>
            <w:noWrap/>
            <w:vAlign w:val="center"/>
          </w:tcPr>
          <w:p w14:paraId="6330B217">
            <w:pPr>
              <w:widowControl/>
              <w:snapToGrid w:val="0"/>
              <w:spacing w:line="240" w:lineRule="auto"/>
              <w:ind w:firstLine="0" w:firstLineChars="0"/>
              <w:jc w:val="both"/>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b w:val="0"/>
                <w:bCs w:val="0"/>
                <w:snapToGrid w:val="0"/>
                <w:color w:val="auto"/>
                <w:kern w:val="0"/>
                <w:sz w:val="20"/>
                <w:szCs w:val="20"/>
                <w:highlight w:val="none"/>
                <w:lang w:val="en-US" w:eastAsia="zh-CN" w:bidi="ar"/>
              </w:rPr>
              <w:t>与信用中国（北京）平台相关</w:t>
            </w:r>
            <w:r>
              <w:rPr>
                <w:rFonts w:hint="eastAsia" w:ascii="宋体" w:hAnsi="宋体" w:eastAsia="宋体" w:cs="宋体"/>
                <w:i w:val="0"/>
                <w:iCs w:val="0"/>
                <w:caps w:val="0"/>
                <w:snapToGrid w:val="0"/>
                <w:color w:val="auto"/>
                <w:spacing w:val="0"/>
                <w:kern w:val="0"/>
                <w:sz w:val="20"/>
                <w:szCs w:val="20"/>
                <w:highlight w:val="none"/>
                <w:shd w:val="clear" w:color="auto" w:fill="auto"/>
                <w:lang w:bidi="ar"/>
              </w:rPr>
              <w:t>信用信息公示</w:t>
            </w:r>
            <w:r>
              <w:rPr>
                <w:rFonts w:hint="eastAsia" w:ascii="宋体" w:hAnsi="宋体" w:eastAsia="宋体" w:cs="宋体"/>
                <w:i w:val="0"/>
                <w:iCs w:val="0"/>
                <w:caps w:val="0"/>
                <w:snapToGrid w:val="0"/>
                <w:color w:val="auto"/>
                <w:spacing w:val="0"/>
                <w:kern w:val="0"/>
                <w:sz w:val="20"/>
                <w:szCs w:val="20"/>
                <w:highlight w:val="none"/>
                <w:shd w:val="clear" w:color="auto" w:fill="auto"/>
                <w:lang w:val="en-US" w:eastAsia="zh-CN" w:bidi="ar"/>
              </w:rPr>
              <w:t>期一致，</w:t>
            </w:r>
            <w:r>
              <w:rPr>
                <w:rFonts w:hint="eastAsia" w:ascii="宋体" w:hAnsi="宋体" w:eastAsia="宋体" w:cs="宋体"/>
                <w:i w:val="0"/>
                <w:iCs w:val="0"/>
                <w:caps w:val="0"/>
                <w:snapToGrid w:val="0"/>
                <w:color w:val="auto"/>
                <w:spacing w:val="0"/>
                <w:kern w:val="0"/>
                <w:sz w:val="20"/>
                <w:szCs w:val="20"/>
                <w:highlight w:val="none"/>
                <w:shd w:val="clear" w:color="auto" w:fill="auto"/>
                <w:lang w:bidi="ar"/>
              </w:rPr>
              <w:t>信用信息修复</w:t>
            </w:r>
            <w:r>
              <w:rPr>
                <w:rFonts w:hint="eastAsia" w:ascii="宋体" w:hAnsi="宋体" w:eastAsia="宋体" w:cs="宋体"/>
                <w:i w:val="0"/>
                <w:iCs w:val="0"/>
                <w:snapToGrid w:val="0"/>
                <w:color w:val="auto"/>
                <w:kern w:val="0"/>
                <w:sz w:val="20"/>
                <w:szCs w:val="20"/>
                <w:highlight w:val="none"/>
                <w:u w:val="none"/>
                <w:lang w:val="en-US" w:eastAsia="zh-CN" w:bidi="ar"/>
              </w:rPr>
              <w:t>后即时更新</w:t>
            </w:r>
            <w:r>
              <w:rPr>
                <w:rFonts w:hint="eastAsia" w:ascii="宋体" w:hAnsi="宋体" w:eastAsia="宋体" w:cs="宋体"/>
                <w:i w:val="0"/>
                <w:iCs w:val="0"/>
                <w:snapToGrid w:val="0"/>
                <w:color w:val="auto"/>
                <w:kern w:val="0"/>
                <w:sz w:val="20"/>
                <w:szCs w:val="20"/>
                <w:highlight w:val="none"/>
                <w:u w:val="none"/>
                <w:lang w:eastAsia="zh-CN" w:bidi="ar"/>
              </w:rPr>
              <w:t>。</w:t>
            </w:r>
          </w:p>
        </w:tc>
      </w:tr>
      <w:tr w14:paraId="04E9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220" w:type="pct"/>
            <w:gridSpan w:val="3"/>
            <w:vMerge w:val="continue"/>
            <w:noWrap w:val="0"/>
            <w:vAlign w:val="center"/>
          </w:tcPr>
          <w:p w14:paraId="0BF9F98C">
            <w:pPr>
              <w:snapToGrid w:val="0"/>
              <w:spacing w:line="240" w:lineRule="auto"/>
              <w:ind w:firstLine="0" w:firstLineChars="0"/>
              <w:jc w:val="center"/>
              <w:rPr>
                <w:rFonts w:hint="eastAsia" w:ascii="宋体" w:hAnsi="宋体" w:eastAsia="宋体" w:cs="宋体"/>
                <w:b/>
                <w:bCs/>
                <w:i w:val="0"/>
                <w:iCs w:val="0"/>
                <w:color w:val="auto"/>
                <w:sz w:val="28"/>
                <w:szCs w:val="28"/>
                <w:highlight w:val="none"/>
                <w:u w:val="none"/>
              </w:rPr>
            </w:pPr>
          </w:p>
        </w:tc>
        <w:tc>
          <w:tcPr>
            <w:tcW w:w="2367" w:type="pct"/>
            <w:noWrap w:val="0"/>
            <w:vAlign w:val="center"/>
          </w:tcPr>
          <w:p w14:paraId="344C1BE6">
            <w:pPr>
              <w:keepNext w:val="0"/>
              <w:keepLines w:val="0"/>
              <w:widowControl/>
              <w:suppressLineNumbers w:val="0"/>
              <w:snapToGrid w:val="0"/>
              <w:spacing w:line="240" w:lineRule="auto"/>
              <w:ind w:firstLine="0" w:firstLineChars="0"/>
              <w:jc w:val="left"/>
              <w:textAlignment w:val="center"/>
              <w:rPr>
                <w:rFonts w:hint="eastAsia" w:ascii="宋体" w:hAnsi="宋体" w:eastAsia="宋体" w:cs="宋体"/>
                <w:i w:val="0"/>
                <w:iCs w:val="0"/>
                <w:color w:val="auto"/>
                <w:sz w:val="20"/>
                <w:szCs w:val="20"/>
                <w:highlight w:val="none"/>
                <w:u w:val="none"/>
                <w:lang w:bidi="ar"/>
              </w:rPr>
            </w:pPr>
            <w:r>
              <w:rPr>
                <w:rFonts w:hint="eastAsia" w:ascii="宋体" w:hAnsi="宋体" w:eastAsia="宋体" w:cs="宋体"/>
                <w:i w:val="0"/>
                <w:iCs w:val="0"/>
                <w:snapToGrid w:val="0"/>
                <w:color w:val="auto"/>
                <w:kern w:val="0"/>
                <w:sz w:val="20"/>
                <w:szCs w:val="20"/>
                <w:highlight w:val="none"/>
                <w:u w:val="none"/>
                <w:lang w:val="en-US" w:eastAsia="zh-CN" w:bidi="ar"/>
              </w:rPr>
              <w:t>在评价周期内，行政相对人存在以下情形作为“直接判定”项，直接评定为D等：</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（一）被列入国家或北京市严重失信主体名单；</w:t>
            </w:r>
            <w:r>
              <w:rPr>
                <w:rFonts w:hint="eastAsia" w:ascii="宋体" w:hAnsi="宋体" w:eastAsia="宋体" w:cs="宋体"/>
                <w:i w:val="0"/>
                <w:iCs w:val="0"/>
                <w:snapToGrid w:val="0"/>
                <w:color w:val="auto"/>
                <w:kern w:val="0"/>
                <w:sz w:val="20"/>
                <w:szCs w:val="20"/>
                <w:highlight w:val="none"/>
                <w:u w:val="none"/>
                <w:lang w:val="en-US" w:eastAsia="zh-CN" w:bidi="ar"/>
              </w:rPr>
              <w:br w:type="textWrapping"/>
            </w:r>
            <w:r>
              <w:rPr>
                <w:rFonts w:hint="eastAsia" w:ascii="宋体" w:hAnsi="宋体" w:eastAsia="宋体" w:cs="宋体"/>
                <w:i w:val="0"/>
                <w:iCs w:val="0"/>
                <w:snapToGrid w:val="0"/>
                <w:color w:val="auto"/>
                <w:kern w:val="0"/>
                <w:sz w:val="20"/>
                <w:szCs w:val="20"/>
                <w:highlight w:val="none"/>
                <w:u w:val="none"/>
                <w:lang w:val="en-US" w:eastAsia="zh-CN" w:bidi="ar"/>
              </w:rPr>
              <w:t>（二）其法律、法规、规章规定的其他对社会造成重大负面影响的严重违法失信行为。</w:t>
            </w:r>
          </w:p>
        </w:tc>
        <w:tc>
          <w:tcPr>
            <w:tcW w:w="556" w:type="pct"/>
            <w:vMerge w:val="continue"/>
            <w:noWrap/>
            <w:vAlign w:val="center"/>
          </w:tcPr>
          <w:p w14:paraId="755E6279">
            <w:pPr>
              <w:snapToGrid w:val="0"/>
              <w:spacing w:line="240" w:lineRule="auto"/>
              <w:ind w:firstLine="0" w:firstLineChars="0"/>
              <w:jc w:val="center"/>
              <w:rPr>
                <w:rFonts w:hint="eastAsia" w:ascii="宋体" w:hAnsi="宋体" w:eastAsia="宋体" w:cs="宋体"/>
                <w:i w:val="0"/>
                <w:iCs w:val="0"/>
                <w:color w:val="auto"/>
                <w:sz w:val="20"/>
                <w:szCs w:val="20"/>
                <w:highlight w:val="none"/>
                <w:u w:val="none"/>
                <w:lang w:val="en-US" w:eastAsia="zh-CN"/>
              </w:rPr>
            </w:pPr>
          </w:p>
        </w:tc>
        <w:tc>
          <w:tcPr>
            <w:tcW w:w="855" w:type="pct"/>
            <w:vMerge w:val="continue"/>
            <w:noWrap/>
            <w:vAlign w:val="center"/>
          </w:tcPr>
          <w:p w14:paraId="31A09703">
            <w:pPr>
              <w:snapToGrid w:val="0"/>
              <w:spacing w:line="240" w:lineRule="auto"/>
              <w:ind w:firstLine="0" w:firstLineChars="0"/>
              <w:jc w:val="center"/>
              <w:rPr>
                <w:rFonts w:hint="eastAsia" w:ascii="宋体" w:hAnsi="宋体" w:eastAsia="宋体" w:cs="宋体"/>
                <w:i w:val="0"/>
                <w:iCs w:val="0"/>
                <w:snapToGrid w:val="0"/>
                <w:color w:val="auto"/>
                <w:kern w:val="0"/>
                <w:sz w:val="20"/>
                <w:szCs w:val="20"/>
                <w:highlight w:val="none"/>
                <w:u w:val="none"/>
                <w:lang w:val="en-US" w:eastAsia="zh-CN" w:bidi="ar"/>
              </w:rPr>
            </w:pPr>
          </w:p>
        </w:tc>
      </w:tr>
    </w:tbl>
    <w:p w14:paraId="75AD8E9A">
      <w:pPr>
        <w:ind w:firstLine="0" w:firstLineChars="0"/>
        <w:rPr>
          <w:rFonts w:hint="eastAsia" w:ascii="仿宋_GB2312" w:hAnsi="仿宋_GB2312" w:cs="仿宋_GB2312"/>
          <w:color w:val="auto"/>
          <w:szCs w:val="32"/>
          <w:highlight w:val="none"/>
        </w:rPr>
        <w:sectPr>
          <w:pgSz w:w="16838" w:h="11906" w:orient="landscape"/>
          <w:pgMar w:top="1587" w:right="2098" w:bottom="1474" w:left="1984" w:header="851" w:footer="992" w:gutter="0"/>
          <w:pgNumType w:fmt="numberInDash"/>
          <w:cols w:space="720" w:num="1"/>
          <w:docGrid w:type="lines" w:linePitch="312" w:charSpace="0"/>
        </w:sectPr>
      </w:pPr>
    </w:p>
    <w:p w14:paraId="02E972AF">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黑体" w:hAnsi="黑体" w:eastAsia="黑体" w:cs="黑体"/>
          <w:color w:val="auto"/>
          <w:highlight w:val="none"/>
          <w:lang w:val="en-US" w:eastAsia="zh-CN"/>
        </w:rPr>
      </w:pPr>
      <w:r>
        <w:rPr>
          <w:rFonts w:hint="eastAsia" w:ascii="黑体" w:hAnsi="黑体" w:eastAsia="黑体" w:cs="黑体"/>
          <w:color w:val="auto"/>
          <w:highlight w:val="none"/>
        </w:rPr>
        <w:t>附</w:t>
      </w:r>
      <w:r>
        <w:rPr>
          <w:rFonts w:hint="eastAsia" w:ascii="黑体" w:hAnsi="黑体" w:eastAsia="黑体" w:cs="黑体"/>
          <w:color w:val="auto"/>
          <w:highlight w:val="none"/>
          <w:lang w:val="en-US" w:eastAsia="zh-CN"/>
        </w:rPr>
        <w:t>件3</w:t>
      </w:r>
    </w:p>
    <w:p w14:paraId="442F432D">
      <w:pPr>
        <w:ind w:firstLine="0" w:firstLineChars="0"/>
        <w:jc w:val="center"/>
        <w:rPr>
          <w:rFonts w:hint="eastAsia" w:eastAsia="方正小标宋简体" w:cs="Times New Roman"/>
          <w:color w:val="auto"/>
          <w:sz w:val="36"/>
          <w:szCs w:val="36"/>
          <w:highlight w:val="none"/>
        </w:rPr>
      </w:pPr>
    </w:p>
    <w:p w14:paraId="000C9FD9">
      <w:pPr>
        <w:ind w:firstLine="0" w:firstLineChars="0"/>
        <w:jc w:val="center"/>
        <w:rPr>
          <w:rFonts w:hint="eastAsia" w:eastAsia="方正小标宋简体" w:cs="Times New Roman"/>
          <w:color w:val="auto"/>
          <w:sz w:val="36"/>
          <w:szCs w:val="36"/>
          <w:highlight w:val="none"/>
        </w:rPr>
      </w:pPr>
      <w:r>
        <w:rPr>
          <w:rFonts w:hint="eastAsia" w:eastAsia="方正小标宋简体" w:cs="Times New Roman"/>
          <w:color w:val="auto"/>
          <w:sz w:val="36"/>
          <w:szCs w:val="36"/>
          <w:highlight w:val="none"/>
        </w:rPr>
        <w:t>北京大兴国际机场临空经济区（北京部分）</w:t>
      </w:r>
    </w:p>
    <w:p w14:paraId="5B261795">
      <w:pPr>
        <w:ind w:firstLine="0" w:firstLineChars="0"/>
        <w:jc w:val="center"/>
        <w:rPr>
          <w:rFonts w:hint="eastAsia" w:eastAsia="方正小标宋简体" w:cs="Times New Roman"/>
          <w:color w:val="auto"/>
          <w:spacing w:val="-11"/>
          <w:sz w:val="36"/>
          <w:szCs w:val="36"/>
          <w:highlight w:val="none"/>
        </w:rPr>
      </w:pPr>
      <w:r>
        <w:rPr>
          <w:rFonts w:hint="eastAsia" w:eastAsia="方正小标宋简体" w:cs="Times New Roman"/>
          <w:color w:val="auto"/>
          <w:spacing w:val="-11"/>
          <w:sz w:val="36"/>
          <w:szCs w:val="36"/>
          <w:highlight w:val="none"/>
          <w:lang w:val="en-US" w:eastAsia="zh-CN"/>
        </w:rPr>
        <w:t>行政相对人“信用+”政务服务改革创新审批事项清单</w:t>
      </w:r>
    </w:p>
    <w:tbl>
      <w:tblPr>
        <w:tblStyle w:val="12"/>
        <w:tblpPr w:leftFromText="180" w:rightFromText="180" w:vertAnchor="text" w:horzAnchor="page" w:tblpX="1794" w:tblpY="539"/>
        <w:tblOverlap w:val="never"/>
        <w:tblW w:w="50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4069"/>
        <w:gridCol w:w="2357"/>
        <w:gridCol w:w="1500"/>
      </w:tblGrid>
      <w:tr w14:paraId="60A93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407" w:type="pct"/>
            <w:tcBorders>
              <w:top w:val="single" w:color="auto" w:sz="4" w:space="0"/>
              <w:left w:val="single" w:color="auto" w:sz="4" w:space="0"/>
              <w:bottom w:val="single" w:color="auto" w:sz="4" w:space="0"/>
              <w:right w:val="single" w:color="auto" w:sz="4" w:space="0"/>
            </w:tcBorders>
            <w:noWrap w:val="0"/>
            <w:vAlign w:val="center"/>
          </w:tcPr>
          <w:p w14:paraId="33B4754E">
            <w:pPr>
              <w:pStyle w:val="2"/>
              <w:spacing w:line="240" w:lineRule="auto"/>
              <w:ind w:left="0" w:leftChars="0" w:firstLine="0" w:firstLineChars="0"/>
              <w:jc w:val="center"/>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序号</w:t>
            </w:r>
          </w:p>
        </w:tc>
        <w:tc>
          <w:tcPr>
            <w:tcW w:w="2357" w:type="pct"/>
            <w:tcBorders>
              <w:top w:val="single" w:color="auto" w:sz="4" w:space="0"/>
              <w:left w:val="single" w:color="auto" w:sz="4" w:space="0"/>
              <w:bottom w:val="single" w:color="auto" w:sz="4" w:space="0"/>
              <w:right w:val="single" w:color="auto" w:sz="4" w:space="0"/>
            </w:tcBorders>
            <w:noWrap w:val="0"/>
            <w:vAlign w:val="center"/>
          </w:tcPr>
          <w:p w14:paraId="5B403E69">
            <w:pPr>
              <w:pStyle w:val="2"/>
              <w:spacing w:line="240" w:lineRule="auto"/>
              <w:ind w:firstLine="0" w:firstLineChars="0"/>
              <w:jc w:val="center"/>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事项名称</w:t>
            </w:r>
          </w:p>
        </w:tc>
        <w:tc>
          <w:tcPr>
            <w:tcW w:w="1365" w:type="pct"/>
            <w:tcBorders>
              <w:top w:val="single" w:color="auto" w:sz="4" w:space="0"/>
              <w:left w:val="single" w:color="auto" w:sz="4" w:space="0"/>
              <w:bottom w:val="single" w:color="auto" w:sz="4" w:space="0"/>
              <w:right w:val="single" w:color="auto" w:sz="4" w:space="0"/>
            </w:tcBorders>
            <w:noWrap w:val="0"/>
            <w:vAlign w:val="center"/>
          </w:tcPr>
          <w:p w14:paraId="0189BD04">
            <w:pPr>
              <w:pStyle w:val="2"/>
              <w:spacing w:line="240" w:lineRule="auto"/>
              <w:ind w:firstLine="0" w:firstLineChars="0"/>
              <w:jc w:val="center"/>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创新审批模式</w:t>
            </w:r>
          </w:p>
        </w:tc>
        <w:tc>
          <w:tcPr>
            <w:tcW w:w="869" w:type="pct"/>
            <w:tcBorders>
              <w:top w:val="single" w:color="auto" w:sz="4" w:space="0"/>
              <w:left w:val="single" w:color="auto" w:sz="4" w:space="0"/>
              <w:bottom w:val="single" w:color="auto" w:sz="4" w:space="0"/>
              <w:right w:val="single" w:color="auto" w:sz="4" w:space="0"/>
            </w:tcBorders>
            <w:noWrap w:val="0"/>
            <w:vAlign w:val="center"/>
          </w:tcPr>
          <w:p w14:paraId="30853C19">
            <w:pPr>
              <w:pStyle w:val="2"/>
              <w:spacing w:line="240" w:lineRule="auto"/>
              <w:ind w:firstLine="0" w:firstLineChars="0"/>
              <w:jc w:val="center"/>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业务指导部门</w:t>
            </w:r>
          </w:p>
        </w:tc>
      </w:tr>
      <w:tr w14:paraId="17B35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407" w:type="pct"/>
            <w:tcBorders>
              <w:top w:val="single" w:color="auto" w:sz="4" w:space="0"/>
              <w:left w:val="single" w:color="auto" w:sz="4" w:space="0"/>
              <w:bottom w:val="single" w:color="auto" w:sz="4" w:space="0"/>
              <w:right w:val="single" w:color="auto" w:sz="4" w:space="0"/>
            </w:tcBorders>
            <w:noWrap w:val="0"/>
            <w:vAlign w:val="center"/>
          </w:tcPr>
          <w:p w14:paraId="7BB3DDC9">
            <w:pPr>
              <w:pStyle w:val="2"/>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2357" w:type="pct"/>
            <w:tcBorders>
              <w:top w:val="single" w:color="auto" w:sz="4" w:space="0"/>
              <w:left w:val="single" w:color="auto" w:sz="4" w:space="0"/>
              <w:bottom w:val="single" w:color="auto" w:sz="4" w:space="0"/>
              <w:right w:val="single" w:color="auto" w:sz="4" w:space="0"/>
            </w:tcBorders>
            <w:noWrap w:val="0"/>
            <w:vAlign w:val="center"/>
          </w:tcPr>
          <w:p w14:paraId="69DE0CEC">
            <w:pPr>
              <w:pStyle w:val="2"/>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城建类固定资产投资项目核准</w:t>
            </w:r>
          </w:p>
        </w:tc>
        <w:tc>
          <w:tcPr>
            <w:tcW w:w="1365" w:type="pct"/>
            <w:tcBorders>
              <w:top w:val="single" w:color="auto" w:sz="4" w:space="0"/>
              <w:left w:val="single" w:color="auto" w:sz="4" w:space="0"/>
              <w:bottom w:val="single" w:color="auto" w:sz="4" w:space="0"/>
              <w:right w:val="single" w:color="auto" w:sz="4" w:space="0"/>
            </w:tcBorders>
            <w:noWrap w:val="0"/>
            <w:vAlign w:val="center"/>
          </w:tcPr>
          <w:p w14:paraId="24025DCB">
            <w:pPr>
              <w:pStyle w:val="2"/>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告知承诺制</w:t>
            </w:r>
          </w:p>
        </w:tc>
        <w:tc>
          <w:tcPr>
            <w:tcW w:w="869" w:type="pct"/>
            <w:vMerge w:val="restart"/>
            <w:tcBorders>
              <w:top w:val="single" w:color="auto" w:sz="4" w:space="0"/>
              <w:left w:val="single" w:color="auto" w:sz="4" w:space="0"/>
              <w:right w:val="single" w:color="auto" w:sz="4" w:space="0"/>
            </w:tcBorders>
            <w:noWrap w:val="0"/>
            <w:vAlign w:val="center"/>
          </w:tcPr>
          <w:p w14:paraId="58E6FA5D">
            <w:pPr>
              <w:keepNext w:val="0"/>
              <w:keepLines w:val="0"/>
              <w:widowControl/>
              <w:suppressLineNumbers w:val="0"/>
              <w:spacing w:line="240" w:lineRule="auto"/>
              <w:ind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市发展改革委</w:t>
            </w:r>
          </w:p>
        </w:tc>
      </w:tr>
      <w:tr w14:paraId="340A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blHeader/>
        </w:trPr>
        <w:tc>
          <w:tcPr>
            <w:tcW w:w="407" w:type="pct"/>
            <w:tcBorders>
              <w:top w:val="single" w:color="auto" w:sz="4" w:space="0"/>
              <w:left w:val="single" w:color="auto" w:sz="4" w:space="0"/>
              <w:bottom w:val="single" w:color="auto" w:sz="4" w:space="0"/>
              <w:right w:val="single" w:color="auto" w:sz="4" w:space="0"/>
            </w:tcBorders>
            <w:noWrap w:val="0"/>
            <w:vAlign w:val="center"/>
          </w:tcPr>
          <w:p w14:paraId="56D121E3">
            <w:pPr>
              <w:pStyle w:val="2"/>
              <w:spacing w:line="240" w:lineRule="auto"/>
              <w:ind w:left="0" w:leftChars="0" w:firstLine="0" w:firstLineChars="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w:t>
            </w:r>
          </w:p>
        </w:tc>
        <w:tc>
          <w:tcPr>
            <w:tcW w:w="2357" w:type="pct"/>
            <w:tcBorders>
              <w:top w:val="single" w:color="auto" w:sz="4" w:space="0"/>
              <w:left w:val="single" w:color="auto" w:sz="4" w:space="0"/>
              <w:bottom w:val="single" w:color="auto" w:sz="4" w:space="0"/>
              <w:right w:val="single" w:color="auto" w:sz="4" w:space="0"/>
            </w:tcBorders>
            <w:noWrap w:val="0"/>
            <w:vAlign w:val="center"/>
          </w:tcPr>
          <w:p w14:paraId="114F7969">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能源类固定资产投资项目核准</w:t>
            </w:r>
          </w:p>
          <w:p w14:paraId="77859C30">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能源类固定资产投资项目核准（含转报项目）</w:t>
            </w:r>
          </w:p>
        </w:tc>
        <w:tc>
          <w:tcPr>
            <w:tcW w:w="1365" w:type="pct"/>
            <w:tcBorders>
              <w:top w:val="single" w:color="auto" w:sz="4" w:space="0"/>
              <w:left w:val="single" w:color="auto" w:sz="4" w:space="0"/>
              <w:bottom w:val="single" w:color="auto" w:sz="4" w:space="0"/>
              <w:right w:val="single" w:color="auto" w:sz="4" w:space="0"/>
            </w:tcBorders>
            <w:noWrap w:val="0"/>
            <w:vAlign w:val="center"/>
          </w:tcPr>
          <w:p w14:paraId="34DEB559">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容缺后补</w:t>
            </w:r>
          </w:p>
        </w:tc>
        <w:tc>
          <w:tcPr>
            <w:tcW w:w="869" w:type="pct"/>
            <w:vMerge w:val="continue"/>
            <w:tcBorders>
              <w:left w:val="single" w:color="auto" w:sz="4" w:space="0"/>
              <w:right w:val="single" w:color="auto" w:sz="4" w:space="0"/>
            </w:tcBorders>
            <w:noWrap w:val="0"/>
            <w:vAlign w:val="center"/>
          </w:tcPr>
          <w:p w14:paraId="3899268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E5BF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exact"/>
          <w:tblHeader/>
        </w:trPr>
        <w:tc>
          <w:tcPr>
            <w:tcW w:w="407" w:type="pct"/>
            <w:tcBorders>
              <w:top w:val="single" w:color="auto" w:sz="4" w:space="0"/>
              <w:left w:val="single" w:color="auto" w:sz="4" w:space="0"/>
              <w:bottom w:val="single" w:color="auto" w:sz="4" w:space="0"/>
              <w:right w:val="single" w:color="auto" w:sz="4" w:space="0"/>
            </w:tcBorders>
            <w:noWrap w:val="0"/>
            <w:vAlign w:val="center"/>
          </w:tcPr>
          <w:p w14:paraId="09143CFF">
            <w:pPr>
              <w:pStyle w:val="2"/>
              <w:spacing w:line="240" w:lineRule="auto"/>
              <w:ind w:left="0" w:leftChars="0" w:firstLine="0" w:firstLineChars="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w:t>
            </w:r>
          </w:p>
        </w:tc>
        <w:tc>
          <w:tcPr>
            <w:tcW w:w="2357" w:type="pct"/>
            <w:tcBorders>
              <w:top w:val="single" w:color="auto" w:sz="4" w:space="0"/>
              <w:left w:val="single" w:color="auto" w:sz="4" w:space="0"/>
              <w:bottom w:val="single" w:color="auto" w:sz="4" w:space="0"/>
              <w:right w:val="single" w:color="auto" w:sz="4" w:space="0"/>
            </w:tcBorders>
            <w:noWrap w:val="0"/>
            <w:vAlign w:val="center"/>
          </w:tcPr>
          <w:p w14:paraId="3BEAB717">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交通运输类固定资产投资项目核准</w:t>
            </w:r>
          </w:p>
          <w:p w14:paraId="4D40FB3E">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交通运输类固定资产投资项目核准（含转报项目）</w:t>
            </w:r>
          </w:p>
        </w:tc>
        <w:tc>
          <w:tcPr>
            <w:tcW w:w="1365" w:type="pct"/>
            <w:tcBorders>
              <w:top w:val="single" w:color="auto" w:sz="4" w:space="0"/>
              <w:left w:val="single" w:color="auto" w:sz="4" w:space="0"/>
              <w:bottom w:val="single" w:color="auto" w:sz="4" w:space="0"/>
              <w:right w:val="single" w:color="auto" w:sz="4" w:space="0"/>
            </w:tcBorders>
            <w:noWrap w:val="0"/>
            <w:vAlign w:val="center"/>
          </w:tcPr>
          <w:p w14:paraId="46F4DDE2">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容缺后补</w:t>
            </w:r>
          </w:p>
        </w:tc>
        <w:tc>
          <w:tcPr>
            <w:tcW w:w="869" w:type="pct"/>
            <w:vMerge w:val="continue"/>
            <w:tcBorders>
              <w:left w:val="single" w:color="auto" w:sz="4" w:space="0"/>
              <w:right w:val="single" w:color="auto" w:sz="4" w:space="0"/>
            </w:tcBorders>
            <w:noWrap w:val="0"/>
            <w:vAlign w:val="center"/>
          </w:tcPr>
          <w:p w14:paraId="79FA069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26B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exact"/>
          <w:tblHeader/>
        </w:trPr>
        <w:tc>
          <w:tcPr>
            <w:tcW w:w="407" w:type="pct"/>
            <w:tcBorders>
              <w:top w:val="single" w:color="auto" w:sz="4" w:space="0"/>
              <w:left w:val="single" w:color="auto" w:sz="4" w:space="0"/>
              <w:bottom w:val="single" w:color="auto" w:sz="4" w:space="0"/>
              <w:right w:val="single" w:color="auto" w:sz="4" w:space="0"/>
            </w:tcBorders>
            <w:noWrap w:val="0"/>
            <w:vAlign w:val="center"/>
          </w:tcPr>
          <w:p w14:paraId="0B52AE73">
            <w:pPr>
              <w:pStyle w:val="2"/>
              <w:spacing w:line="240" w:lineRule="auto"/>
              <w:ind w:left="0" w:leftChars="0" w:firstLine="0" w:firstLineChars="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4</w:t>
            </w:r>
          </w:p>
        </w:tc>
        <w:tc>
          <w:tcPr>
            <w:tcW w:w="2357" w:type="pct"/>
            <w:tcBorders>
              <w:top w:val="single" w:color="auto" w:sz="4" w:space="0"/>
              <w:left w:val="single" w:color="auto" w:sz="4" w:space="0"/>
              <w:bottom w:val="single" w:color="auto" w:sz="4" w:space="0"/>
              <w:right w:val="single" w:color="auto" w:sz="4" w:space="0"/>
            </w:tcBorders>
            <w:noWrap w:val="0"/>
            <w:vAlign w:val="center"/>
          </w:tcPr>
          <w:p w14:paraId="5AAA6DD7">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社会事业类固定资产投资项目核准</w:t>
            </w:r>
          </w:p>
          <w:p w14:paraId="7AC9389B">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社会事业类固定资产投资项目核准（含转报项目）</w:t>
            </w:r>
          </w:p>
        </w:tc>
        <w:tc>
          <w:tcPr>
            <w:tcW w:w="1365" w:type="pct"/>
            <w:tcBorders>
              <w:top w:val="single" w:color="auto" w:sz="4" w:space="0"/>
              <w:left w:val="single" w:color="auto" w:sz="4" w:space="0"/>
              <w:bottom w:val="single" w:color="auto" w:sz="4" w:space="0"/>
              <w:right w:val="single" w:color="auto" w:sz="4" w:space="0"/>
            </w:tcBorders>
            <w:noWrap w:val="0"/>
            <w:vAlign w:val="center"/>
          </w:tcPr>
          <w:p w14:paraId="4964C4E5">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容缺后补</w:t>
            </w:r>
          </w:p>
        </w:tc>
        <w:tc>
          <w:tcPr>
            <w:tcW w:w="869" w:type="pct"/>
            <w:vMerge w:val="continue"/>
            <w:tcBorders>
              <w:left w:val="single" w:color="auto" w:sz="4" w:space="0"/>
              <w:right w:val="single" w:color="auto" w:sz="4" w:space="0"/>
            </w:tcBorders>
            <w:noWrap w:val="0"/>
            <w:vAlign w:val="center"/>
          </w:tcPr>
          <w:p w14:paraId="6E27BCF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55D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exact"/>
          <w:tblHeader/>
        </w:trPr>
        <w:tc>
          <w:tcPr>
            <w:tcW w:w="407" w:type="pct"/>
            <w:tcBorders>
              <w:top w:val="single" w:color="auto" w:sz="4" w:space="0"/>
              <w:left w:val="single" w:color="auto" w:sz="4" w:space="0"/>
              <w:bottom w:val="single" w:color="auto" w:sz="4" w:space="0"/>
              <w:right w:val="single" w:color="auto" w:sz="4" w:space="0"/>
            </w:tcBorders>
            <w:noWrap w:val="0"/>
            <w:vAlign w:val="center"/>
          </w:tcPr>
          <w:p w14:paraId="38FAD6F6">
            <w:pPr>
              <w:pStyle w:val="2"/>
              <w:spacing w:line="240" w:lineRule="auto"/>
              <w:ind w:left="0" w:leftChars="0" w:firstLine="0" w:firstLineChars="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5</w:t>
            </w:r>
          </w:p>
        </w:tc>
        <w:tc>
          <w:tcPr>
            <w:tcW w:w="2357" w:type="pct"/>
            <w:tcBorders>
              <w:top w:val="single" w:color="auto" w:sz="4" w:space="0"/>
              <w:left w:val="single" w:color="auto" w:sz="4" w:space="0"/>
              <w:bottom w:val="single" w:color="auto" w:sz="4" w:space="0"/>
              <w:right w:val="single" w:color="auto" w:sz="4" w:space="0"/>
            </w:tcBorders>
            <w:noWrap w:val="0"/>
            <w:vAlign w:val="center"/>
          </w:tcPr>
          <w:p w14:paraId="0B971CA7">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农林水利类固定资产投资项目核准（不含农业投资项目）</w:t>
            </w:r>
          </w:p>
          <w:p w14:paraId="067EE560">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农林水利类固定资产投资项目核准（不含农业投资项目）（含转报项目）</w:t>
            </w:r>
          </w:p>
        </w:tc>
        <w:tc>
          <w:tcPr>
            <w:tcW w:w="1365" w:type="pct"/>
            <w:tcBorders>
              <w:top w:val="single" w:color="auto" w:sz="4" w:space="0"/>
              <w:left w:val="single" w:color="auto" w:sz="4" w:space="0"/>
              <w:bottom w:val="single" w:color="auto" w:sz="4" w:space="0"/>
              <w:right w:val="single" w:color="auto" w:sz="4" w:space="0"/>
            </w:tcBorders>
            <w:noWrap w:val="0"/>
            <w:vAlign w:val="center"/>
          </w:tcPr>
          <w:p w14:paraId="6AA27364">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容缺后补</w:t>
            </w:r>
          </w:p>
        </w:tc>
        <w:tc>
          <w:tcPr>
            <w:tcW w:w="869" w:type="pct"/>
            <w:vMerge w:val="continue"/>
            <w:tcBorders>
              <w:left w:val="single" w:color="auto" w:sz="4" w:space="0"/>
              <w:right w:val="single" w:color="auto" w:sz="4" w:space="0"/>
            </w:tcBorders>
            <w:noWrap w:val="0"/>
            <w:vAlign w:val="center"/>
          </w:tcPr>
          <w:p w14:paraId="5DBEC59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AA2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407" w:type="pct"/>
            <w:tcBorders>
              <w:top w:val="single" w:color="auto" w:sz="4" w:space="0"/>
              <w:left w:val="single" w:color="auto" w:sz="4" w:space="0"/>
              <w:bottom w:val="single" w:color="auto" w:sz="4" w:space="0"/>
              <w:right w:val="single" w:color="auto" w:sz="4" w:space="0"/>
            </w:tcBorders>
            <w:noWrap w:val="0"/>
            <w:vAlign w:val="center"/>
          </w:tcPr>
          <w:p w14:paraId="76083644">
            <w:pPr>
              <w:pStyle w:val="2"/>
              <w:spacing w:line="240" w:lineRule="auto"/>
              <w:ind w:left="0" w:leftChars="0" w:firstLine="0" w:firstLineChars="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6</w:t>
            </w:r>
          </w:p>
        </w:tc>
        <w:tc>
          <w:tcPr>
            <w:tcW w:w="2357" w:type="pct"/>
            <w:tcBorders>
              <w:top w:val="single" w:color="auto" w:sz="4" w:space="0"/>
              <w:left w:val="single" w:color="auto" w:sz="4" w:space="0"/>
              <w:bottom w:val="single" w:color="auto" w:sz="4" w:space="0"/>
              <w:right w:val="single" w:color="auto" w:sz="4" w:space="0"/>
            </w:tcBorders>
            <w:noWrap w:val="0"/>
            <w:vAlign w:val="center"/>
          </w:tcPr>
          <w:p w14:paraId="7D6DEDF1">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外商投资项目核准</w:t>
            </w:r>
          </w:p>
        </w:tc>
        <w:tc>
          <w:tcPr>
            <w:tcW w:w="1365" w:type="pct"/>
            <w:tcBorders>
              <w:top w:val="single" w:color="auto" w:sz="4" w:space="0"/>
              <w:left w:val="single" w:color="auto" w:sz="4" w:space="0"/>
              <w:bottom w:val="single" w:color="auto" w:sz="4" w:space="0"/>
              <w:right w:val="single" w:color="auto" w:sz="4" w:space="0"/>
            </w:tcBorders>
            <w:noWrap w:val="0"/>
            <w:vAlign w:val="center"/>
          </w:tcPr>
          <w:p w14:paraId="36237FB9">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容缺后补</w:t>
            </w:r>
          </w:p>
        </w:tc>
        <w:tc>
          <w:tcPr>
            <w:tcW w:w="869" w:type="pct"/>
            <w:vMerge w:val="continue"/>
            <w:tcBorders>
              <w:left w:val="single" w:color="auto" w:sz="4" w:space="0"/>
              <w:bottom w:val="single" w:color="auto" w:sz="4" w:space="0"/>
              <w:right w:val="single" w:color="auto" w:sz="4" w:space="0"/>
            </w:tcBorders>
            <w:noWrap w:val="0"/>
            <w:vAlign w:val="center"/>
          </w:tcPr>
          <w:p w14:paraId="61FBB15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44EA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407" w:type="pct"/>
            <w:tcBorders>
              <w:top w:val="single" w:color="auto" w:sz="4" w:space="0"/>
              <w:left w:val="single" w:color="auto" w:sz="4" w:space="0"/>
              <w:bottom w:val="single" w:color="auto" w:sz="4" w:space="0"/>
              <w:right w:val="single" w:color="auto" w:sz="4" w:space="0"/>
            </w:tcBorders>
            <w:noWrap w:val="0"/>
            <w:vAlign w:val="center"/>
          </w:tcPr>
          <w:p w14:paraId="634AAAAE">
            <w:pPr>
              <w:pStyle w:val="2"/>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7</w:t>
            </w:r>
          </w:p>
        </w:tc>
        <w:tc>
          <w:tcPr>
            <w:tcW w:w="2357" w:type="pct"/>
            <w:tcBorders>
              <w:top w:val="single" w:color="auto" w:sz="4" w:space="0"/>
              <w:left w:val="single" w:color="auto" w:sz="4" w:space="0"/>
              <w:bottom w:val="single" w:color="auto" w:sz="4" w:space="0"/>
              <w:right w:val="single" w:color="auto" w:sz="4" w:space="0"/>
            </w:tcBorders>
            <w:noWrap w:val="0"/>
            <w:vAlign w:val="center"/>
          </w:tcPr>
          <w:p w14:paraId="4F020ECA">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建设工程规划许可证（社会投资房屋建筑工程）</w:t>
            </w:r>
          </w:p>
        </w:tc>
        <w:tc>
          <w:tcPr>
            <w:tcW w:w="1365" w:type="pct"/>
            <w:tcBorders>
              <w:top w:val="single" w:color="auto" w:sz="4" w:space="0"/>
              <w:left w:val="single" w:color="auto" w:sz="4" w:space="0"/>
              <w:bottom w:val="single" w:color="auto" w:sz="4" w:space="0"/>
              <w:right w:val="single" w:color="auto" w:sz="4" w:space="0"/>
            </w:tcBorders>
            <w:noWrap w:val="0"/>
            <w:vAlign w:val="center"/>
          </w:tcPr>
          <w:p w14:paraId="4BB7B010">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告知承诺制</w:t>
            </w:r>
          </w:p>
        </w:tc>
        <w:tc>
          <w:tcPr>
            <w:tcW w:w="869" w:type="pct"/>
            <w:tcBorders>
              <w:top w:val="single" w:color="auto" w:sz="4" w:space="0"/>
              <w:left w:val="single" w:color="auto" w:sz="4" w:space="0"/>
              <w:bottom w:val="single" w:color="auto" w:sz="4" w:space="0"/>
              <w:right w:val="single" w:color="auto" w:sz="4" w:space="0"/>
            </w:tcBorders>
            <w:noWrap w:val="0"/>
            <w:vAlign w:val="center"/>
          </w:tcPr>
          <w:p w14:paraId="40475659">
            <w:pPr>
              <w:keepNext w:val="0"/>
              <w:keepLines w:val="0"/>
              <w:widowControl/>
              <w:suppressLineNumbers w:val="0"/>
              <w:spacing w:line="240" w:lineRule="auto"/>
              <w:ind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市规划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自然资源委</w:t>
            </w:r>
          </w:p>
        </w:tc>
      </w:tr>
      <w:tr w14:paraId="67D5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407" w:type="pct"/>
            <w:tcBorders>
              <w:top w:val="single" w:color="auto" w:sz="4" w:space="0"/>
              <w:left w:val="single" w:color="auto" w:sz="4" w:space="0"/>
              <w:bottom w:val="single" w:color="auto" w:sz="4" w:space="0"/>
              <w:right w:val="single" w:color="auto" w:sz="4" w:space="0"/>
            </w:tcBorders>
            <w:noWrap w:val="0"/>
            <w:vAlign w:val="center"/>
          </w:tcPr>
          <w:p w14:paraId="43F589EB">
            <w:pPr>
              <w:pStyle w:val="2"/>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8</w:t>
            </w:r>
          </w:p>
        </w:tc>
        <w:tc>
          <w:tcPr>
            <w:tcW w:w="2357" w:type="pct"/>
            <w:tcBorders>
              <w:top w:val="single" w:color="auto" w:sz="4" w:space="0"/>
              <w:left w:val="single" w:color="auto" w:sz="4" w:space="0"/>
              <w:bottom w:val="single" w:color="auto" w:sz="4" w:space="0"/>
              <w:right w:val="single" w:color="auto" w:sz="4" w:space="0"/>
            </w:tcBorders>
            <w:noWrap w:val="0"/>
            <w:vAlign w:val="center"/>
          </w:tcPr>
          <w:p w14:paraId="44554DBA">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建筑工程施工许可（设区的市级权限）</w:t>
            </w:r>
          </w:p>
        </w:tc>
        <w:tc>
          <w:tcPr>
            <w:tcW w:w="1365" w:type="pct"/>
            <w:tcBorders>
              <w:top w:val="single" w:color="auto" w:sz="4" w:space="0"/>
              <w:left w:val="single" w:color="auto" w:sz="4" w:space="0"/>
              <w:bottom w:val="single" w:color="auto" w:sz="4" w:space="0"/>
              <w:right w:val="single" w:color="auto" w:sz="4" w:space="0"/>
            </w:tcBorders>
            <w:noWrap w:val="0"/>
            <w:vAlign w:val="center"/>
          </w:tcPr>
          <w:p w14:paraId="783B8DA4">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告知承诺制、云踏勘</w:t>
            </w:r>
          </w:p>
        </w:tc>
        <w:tc>
          <w:tcPr>
            <w:tcW w:w="869" w:type="pct"/>
            <w:tcBorders>
              <w:top w:val="single" w:color="auto" w:sz="4" w:space="0"/>
              <w:left w:val="single" w:color="auto" w:sz="4" w:space="0"/>
              <w:right w:val="single" w:color="auto" w:sz="4" w:space="0"/>
            </w:tcBorders>
            <w:noWrap w:val="0"/>
            <w:vAlign w:val="center"/>
          </w:tcPr>
          <w:p w14:paraId="24519AB6">
            <w:pPr>
              <w:keepNext w:val="0"/>
              <w:keepLines w:val="0"/>
              <w:widowControl/>
              <w:suppressLineNumbers w:val="0"/>
              <w:spacing w:line="240" w:lineRule="auto"/>
              <w:ind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市住房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城乡建设委</w:t>
            </w:r>
          </w:p>
        </w:tc>
      </w:tr>
      <w:tr w14:paraId="09FC0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tblHeader/>
        </w:trPr>
        <w:tc>
          <w:tcPr>
            <w:tcW w:w="407" w:type="pct"/>
            <w:tcBorders>
              <w:top w:val="single" w:color="auto" w:sz="4" w:space="0"/>
              <w:left w:val="single" w:color="auto" w:sz="4" w:space="0"/>
              <w:bottom w:val="single" w:color="auto" w:sz="4" w:space="0"/>
              <w:right w:val="single" w:color="auto" w:sz="4" w:space="0"/>
            </w:tcBorders>
            <w:noWrap w:val="0"/>
            <w:vAlign w:val="center"/>
          </w:tcPr>
          <w:p w14:paraId="71812361">
            <w:pPr>
              <w:pStyle w:val="2"/>
              <w:spacing w:line="240" w:lineRule="auto"/>
              <w:ind w:left="0" w:leftChars="0" w:firstLine="0" w:firstLineChars="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w:t>
            </w:r>
          </w:p>
        </w:tc>
        <w:tc>
          <w:tcPr>
            <w:tcW w:w="2357" w:type="pct"/>
            <w:tcBorders>
              <w:top w:val="single" w:color="auto" w:sz="4" w:space="0"/>
              <w:left w:val="single" w:color="auto" w:sz="4" w:space="0"/>
              <w:bottom w:val="single" w:color="auto" w:sz="4" w:space="0"/>
              <w:right w:val="single" w:color="auto" w:sz="4" w:space="0"/>
            </w:tcBorders>
            <w:noWrap w:val="0"/>
            <w:vAlign w:val="center"/>
          </w:tcPr>
          <w:p w14:paraId="1AB0CABF">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工程建设涉及城市绿地树木审批（社会投资项目）</w:t>
            </w:r>
          </w:p>
        </w:tc>
        <w:tc>
          <w:tcPr>
            <w:tcW w:w="1365" w:type="pct"/>
            <w:tcBorders>
              <w:top w:val="single" w:color="auto" w:sz="4" w:space="0"/>
              <w:left w:val="single" w:color="auto" w:sz="4" w:space="0"/>
              <w:bottom w:val="single" w:color="auto" w:sz="4" w:space="0"/>
              <w:right w:val="single" w:color="auto" w:sz="4" w:space="0"/>
            </w:tcBorders>
            <w:noWrap w:val="0"/>
            <w:vAlign w:val="center"/>
          </w:tcPr>
          <w:p w14:paraId="64A2C3E5">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告知承诺制</w:t>
            </w:r>
          </w:p>
        </w:tc>
        <w:tc>
          <w:tcPr>
            <w:tcW w:w="869" w:type="pct"/>
            <w:vMerge w:val="restart"/>
            <w:tcBorders>
              <w:top w:val="single" w:color="auto" w:sz="4" w:space="0"/>
              <w:left w:val="single" w:color="auto" w:sz="4" w:space="0"/>
              <w:right w:val="single" w:color="auto" w:sz="4" w:space="0"/>
            </w:tcBorders>
            <w:noWrap w:val="0"/>
            <w:vAlign w:val="center"/>
          </w:tcPr>
          <w:p w14:paraId="15698455">
            <w:pPr>
              <w:keepNext w:val="0"/>
              <w:keepLines w:val="0"/>
              <w:widowControl/>
              <w:suppressLineNumbers w:val="0"/>
              <w:spacing w:line="240" w:lineRule="auto"/>
              <w:ind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市园林绿化局</w:t>
            </w:r>
          </w:p>
        </w:tc>
      </w:tr>
      <w:tr w14:paraId="61280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407" w:type="pct"/>
            <w:tcBorders>
              <w:top w:val="single" w:color="auto" w:sz="4" w:space="0"/>
              <w:left w:val="single" w:color="auto" w:sz="4" w:space="0"/>
              <w:bottom w:val="single" w:color="auto" w:sz="4" w:space="0"/>
              <w:right w:val="single" w:color="auto" w:sz="4" w:space="0"/>
            </w:tcBorders>
            <w:noWrap w:val="0"/>
            <w:vAlign w:val="center"/>
          </w:tcPr>
          <w:p w14:paraId="1FC8830A">
            <w:pPr>
              <w:pStyle w:val="2"/>
              <w:spacing w:line="240" w:lineRule="auto"/>
              <w:ind w:left="0" w:leftChars="0" w:firstLine="0" w:firstLineChars="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10</w:t>
            </w:r>
          </w:p>
        </w:tc>
        <w:tc>
          <w:tcPr>
            <w:tcW w:w="2357" w:type="pct"/>
            <w:tcBorders>
              <w:top w:val="single" w:color="auto" w:sz="4" w:space="0"/>
              <w:left w:val="single" w:color="auto" w:sz="4" w:space="0"/>
              <w:bottom w:val="single" w:color="auto" w:sz="4" w:space="0"/>
              <w:right w:val="single" w:color="auto" w:sz="4" w:space="0"/>
            </w:tcBorders>
            <w:noWrap w:val="0"/>
            <w:vAlign w:val="center"/>
          </w:tcPr>
          <w:p w14:paraId="78BA1CFA">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林木采伐许可证核发</w:t>
            </w:r>
          </w:p>
        </w:tc>
        <w:tc>
          <w:tcPr>
            <w:tcW w:w="1365" w:type="pct"/>
            <w:tcBorders>
              <w:top w:val="single" w:color="auto" w:sz="4" w:space="0"/>
              <w:left w:val="single" w:color="auto" w:sz="4" w:space="0"/>
              <w:bottom w:val="single" w:color="auto" w:sz="4" w:space="0"/>
              <w:right w:val="single" w:color="auto" w:sz="4" w:space="0"/>
            </w:tcBorders>
            <w:noWrap w:val="0"/>
            <w:vAlign w:val="center"/>
          </w:tcPr>
          <w:p w14:paraId="15632271">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告知承诺制、云踏勘</w:t>
            </w:r>
          </w:p>
        </w:tc>
        <w:tc>
          <w:tcPr>
            <w:tcW w:w="869" w:type="pct"/>
            <w:vMerge w:val="continue"/>
            <w:tcBorders>
              <w:left w:val="single" w:color="auto" w:sz="4" w:space="0"/>
              <w:right w:val="single" w:color="auto" w:sz="4" w:space="0"/>
            </w:tcBorders>
            <w:noWrap w:val="0"/>
            <w:vAlign w:val="center"/>
          </w:tcPr>
          <w:p w14:paraId="0D9F166A">
            <w:pPr>
              <w:keepNext w:val="0"/>
              <w:keepLines w:val="0"/>
              <w:widowControl/>
              <w:suppressLineNumbers w:val="0"/>
              <w:spacing w:line="240" w:lineRule="auto"/>
              <w:ind w:firstLine="0" w:firstLineChars="0"/>
              <w:jc w:val="center"/>
              <w:textAlignment w:val="center"/>
              <w:rPr>
                <w:rFonts w:hint="eastAsia" w:ascii="宋体" w:hAnsi="宋体" w:eastAsia="宋体" w:cs="宋体"/>
                <w:color w:val="auto"/>
                <w:kern w:val="0"/>
                <w:sz w:val="21"/>
                <w:szCs w:val="21"/>
                <w:highlight w:val="none"/>
                <w:lang w:val="en-US" w:eastAsia="zh-CN" w:bidi="ar"/>
              </w:rPr>
            </w:pPr>
          </w:p>
        </w:tc>
      </w:tr>
      <w:tr w14:paraId="2AB3E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407" w:type="pct"/>
            <w:tcBorders>
              <w:top w:val="single" w:color="auto" w:sz="4" w:space="0"/>
              <w:left w:val="single" w:color="auto" w:sz="4" w:space="0"/>
              <w:bottom w:val="single" w:color="auto" w:sz="4" w:space="0"/>
              <w:right w:val="single" w:color="auto" w:sz="4" w:space="0"/>
            </w:tcBorders>
            <w:noWrap w:val="0"/>
            <w:vAlign w:val="center"/>
          </w:tcPr>
          <w:p w14:paraId="7CC8522B">
            <w:pPr>
              <w:pStyle w:val="2"/>
              <w:spacing w:line="240" w:lineRule="auto"/>
              <w:ind w:left="0" w:leftChars="0" w:firstLine="0" w:firstLineChars="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11</w:t>
            </w:r>
          </w:p>
        </w:tc>
        <w:tc>
          <w:tcPr>
            <w:tcW w:w="2357" w:type="pct"/>
            <w:tcBorders>
              <w:top w:val="single" w:color="auto" w:sz="4" w:space="0"/>
              <w:left w:val="single" w:color="auto" w:sz="4" w:space="0"/>
              <w:bottom w:val="single" w:color="auto" w:sz="4" w:space="0"/>
              <w:right w:val="single" w:color="auto" w:sz="4" w:space="0"/>
            </w:tcBorders>
            <w:noWrap w:val="0"/>
            <w:vAlign w:val="center"/>
          </w:tcPr>
          <w:p w14:paraId="5A8287FB">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临时占用城市绿化用地审批</w:t>
            </w:r>
          </w:p>
        </w:tc>
        <w:tc>
          <w:tcPr>
            <w:tcW w:w="1365" w:type="pct"/>
            <w:tcBorders>
              <w:top w:val="single" w:color="auto" w:sz="4" w:space="0"/>
              <w:left w:val="single" w:color="auto" w:sz="4" w:space="0"/>
              <w:bottom w:val="single" w:color="auto" w:sz="4" w:space="0"/>
              <w:right w:val="single" w:color="auto" w:sz="4" w:space="0"/>
            </w:tcBorders>
            <w:noWrap w:val="0"/>
            <w:vAlign w:val="center"/>
          </w:tcPr>
          <w:p w14:paraId="29A571B0">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告知承诺制</w:t>
            </w:r>
          </w:p>
        </w:tc>
        <w:tc>
          <w:tcPr>
            <w:tcW w:w="869" w:type="pct"/>
            <w:vMerge w:val="continue"/>
            <w:tcBorders>
              <w:left w:val="single" w:color="auto" w:sz="4" w:space="0"/>
              <w:bottom w:val="single" w:color="auto" w:sz="4" w:space="0"/>
              <w:right w:val="single" w:color="auto" w:sz="4" w:space="0"/>
            </w:tcBorders>
            <w:noWrap w:val="0"/>
            <w:vAlign w:val="center"/>
          </w:tcPr>
          <w:p w14:paraId="561626EF">
            <w:pPr>
              <w:keepNext w:val="0"/>
              <w:keepLines w:val="0"/>
              <w:widowControl/>
              <w:suppressLineNumbers w:val="0"/>
              <w:spacing w:line="240" w:lineRule="auto"/>
              <w:ind w:firstLine="0" w:firstLineChars="0"/>
              <w:jc w:val="center"/>
              <w:textAlignment w:val="center"/>
              <w:rPr>
                <w:rFonts w:hint="eastAsia" w:ascii="宋体" w:hAnsi="宋体" w:eastAsia="宋体" w:cs="宋体"/>
                <w:color w:val="auto"/>
                <w:kern w:val="0"/>
                <w:sz w:val="21"/>
                <w:szCs w:val="21"/>
                <w:highlight w:val="none"/>
                <w:lang w:val="en-US" w:eastAsia="zh-CN" w:bidi="ar"/>
              </w:rPr>
            </w:pPr>
          </w:p>
        </w:tc>
      </w:tr>
      <w:tr w14:paraId="4A9C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407" w:type="pct"/>
            <w:tcBorders>
              <w:top w:val="single" w:color="auto" w:sz="4" w:space="0"/>
              <w:left w:val="single" w:color="auto" w:sz="4" w:space="0"/>
              <w:bottom w:val="single" w:color="auto" w:sz="4" w:space="0"/>
              <w:right w:val="single" w:color="auto" w:sz="4" w:space="0"/>
            </w:tcBorders>
            <w:noWrap w:val="0"/>
            <w:vAlign w:val="center"/>
          </w:tcPr>
          <w:p w14:paraId="0FD44B13">
            <w:pPr>
              <w:pStyle w:val="2"/>
              <w:spacing w:line="240" w:lineRule="auto"/>
              <w:ind w:left="0" w:leftChars="0" w:firstLine="0" w:firstLineChars="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12</w:t>
            </w:r>
          </w:p>
        </w:tc>
        <w:tc>
          <w:tcPr>
            <w:tcW w:w="2357" w:type="pct"/>
            <w:tcBorders>
              <w:top w:val="single" w:color="auto" w:sz="4" w:space="0"/>
              <w:left w:val="single" w:color="auto" w:sz="4" w:space="0"/>
              <w:bottom w:val="single" w:color="auto" w:sz="4" w:space="0"/>
              <w:right w:val="single" w:color="auto" w:sz="4" w:space="0"/>
            </w:tcBorders>
            <w:noWrap w:val="0"/>
            <w:vAlign w:val="center"/>
          </w:tcPr>
          <w:p w14:paraId="3D6DD203">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环境影响报告表审批</w:t>
            </w:r>
          </w:p>
        </w:tc>
        <w:tc>
          <w:tcPr>
            <w:tcW w:w="1365" w:type="pct"/>
            <w:tcBorders>
              <w:top w:val="single" w:color="auto" w:sz="4" w:space="0"/>
              <w:left w:val="single" w:color="auto" w:sz="4" w:space="0"/>
              <w:bottom w:val="single" w:color="auto" w:sz="4" w:space="0"/>
              <w:right w:val="single" w:color="auto" w:sz="4" w:space="0"/>
            </w:tcBorders>
            <w:noWrap w:val="0"/>
            <w:vAlign w:val="center"/>
          </w:tcPr>
          <w:p w14:paraId="3356D533">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告知承诺制</w:t>
            </w:r>
          </w:p>
        </w:tc>
        <w:tc>
          <w:tcPr>
            <w:tcW w:w="869" w:type="pct"/>
            <w:vMerge w:val="restart"/>
            <w:tcBorders>
              <w:top w:val="single" w:color="auto" w:sz="4" w:space="0"/>
              <w:left w:val="single" w:color="auto" w:sz="4" w:space="0"/>
              <w:right w:val="single" w:color="auto" w:sz="4" w:space="0"/>
            </w:tcBorders>
            <w:noWrap w:val="0"/>
            <w:vAlign w:val="center"/>
          </w:tcPr>
          <w:p w14:paraId="4A450A05">
            <w:pPr>
              <w:keepNext w:val="0"/>
              <w:keepLines w:val="0"/>
              <w:widowControl/>
              <w:suppressLineNumbers w:val="0"/>
              <w:spacing w:line="240" w:lineRule="auto"/>
              <w:ind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市生态环境局</w:t>
            </w:r>
          </w:p>
        </w:tc>
      </w:tr>
      <w:tr w14:paraId="6F7E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407" w:type="pct"/>
            <w:tcBorders>
              <w:top w:val="single" w:color="auto" w:sz="4" w:space="0"/>
              <w:left w:val="single" w:color="auto" w:sz="4" w:space="0"/>
              <w:bottom w:val="single" w:color="auto" w:sz="4" w:space="0"/>
              <w:right w:val="single" w:color="auto" w:sz="4" w:space="0"/>
            </w:tcBorders>
            <w:noWrap w:val="0"/>
            <w:vAlign w:val="center"/>
          </w:tcPr>
          <w:p w14:paraId="17B8E5BC">
            <w:pPr>
              <w:pStyle w:val="2"/>
              <w:spacing w:line="240" w:lineRule="auto"/>
              <w:ind w:left="0" w:leftChars="0" w:firstLine="0" w:firstLineChars="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13</w:t>
            </w:r>
          </w:p>
        </w:tc>
        <w:tc>
          <w:tcPr>
            <w:tcW w:w="2357" w:type="pct"/>
            <w:tcBorders>
              <w:top w:val="single" w:color="auto" w:sz="4" w:space="0"/>
              <w:left w:val="single" w:color="auto" w:sz="4" w:space="0"/>
              <w:bottom w:val="single" w:color="auto" w:sz="4" w:space="0"/>
              <w:right w:val="single" w:color="auto" w:sz="4" w:space="0"/>
            </w:tcBorders>
            <w:noWrap w:val="0"/>
            <w:vAlign w:val="center"/>
          </w:tcPr>
          <w:p w14:paraId="6710C623">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环境影响登记表备案</w:t>
            </w:r>
          </w:p>
        </w:tc>
        <w:tc>
          <w:tcPr>
            <w:tcW w:w="1365" w:type="pct"/>
            <w:tcBorders>
              <w:top w:val="single" w:color="auto" w:sz="4" w:space="0"/>
              <w:left w:val="single" w:color="auto" w:sz="4" w:space="0"/>
              <w:bottom w:val="single" w:color="auto" w:sz="4" w:space="0"/>
              <w:right w:val="single" w:color="auto" w:sz="4" w:space="0"/>
            </w:tcBorders>
            <w:noWrap w:val="0"/>
            <w:vAlign w:val="center"/>
          </w:tcPr>
          <w:p w14:paraId="2781C40D">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告知承诺制、备查制</w:t>
            </w:r>
          </w:p>
        </w:tc>
        <w:tc>
          <w:tcPr>
            <w:tcW w:w="869" w:type="pct"/>
            <w:vMerge w:val="continue"/>
            <w:tcBorders>
              <w:left w:val="single" w:color="auto" w:sz="4" w:space="0"/>
              <w:right w:val="single" w:color="auto" w:sz="4" w:space="0"/>
            </w:tcBorders>
            <w:noWrap w:val="0"/>
            <w:vAlign w:val="center"/>
          </w:tcPr>
          <w:p w14:paraId="66C64819">
            <w:pPr>
              <w:keepNext w:val="0"/>
              <w:keepLines w:val="0"/>
              <w:widowControl/>
              <w:suppressLineNumbers w:val="0"/>
              <w:spacing w:line="240" w:lineRule="auto"/>
              <w:ind w:firstLine="0" w:firstLineChars="0"/>
              <w:jc w:val="center"/>
              <w:textAlignment w:val="center"/>
              <w:rPr>
                <w:rFonts w:hint="eastAsia" w:ascii="宋体" w:hAnsi="宋体" w:eastAsia="宋体" w:cs="宋体"/>
                <w:color w:val="auto"/>
                <w:kern w:val="0"/>
                <w:sz w:val="21"/>
                <w:szCs w:val="21"/>
                <w:highlight w:val="none"/>
                <w:lang w:val="en-US" w:eastAsia="zh-CN" w:bidi="ar"/>
              </w:rPr>
            </w:pPr>
          </w:p>
        </w:tc>
      </w:tr>
      <w:tr w14:paraId="3B5C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407" w:type="pct"/>
            <w:tcBorders>
              <w:top w:val="single" w:color="auto" w:sz="4" w:space="0"/>
              <w:left w:val="single" w:color="auto" w:sz="4" w:space="0"/>
              <w:bottom w:val="single" w:color="auto" w:sz="4" w:space="0"/>
              <w:right w:val="single" w:color="auto" w:sz="4" w:space="0"/>
            </w:tcBorders>
            <w:noWrap w:val="0"/>
            <w:vAlign w:val="center"/>
          </w:tcPr>
          <w:p w14:paraId="67052B70">
            <w:pPr>
              <w:pStyle w:val="2"/>
              <w:spacing w:line="240" w:lineRule="auto"/>
              <w:ind w:left="0" w:leftChars="0" w:firstLine="0" w:firstLineChars="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14</w:t>
            </w:r>
          </w:p>
        </w:tc>
        <w:tc>
          <w:tcPr>
            <w:tcW w:w="2357" w:type="pct"/>
            <w:tcBorders>
              <w:top w:val="single" w:color="auto" w:sz="4" w:space="0"/>
              <w:left w:val="single" w:color="auto" w:sz="4" w:space="0"/>
              <w:bottom w:val="single" w:color="auto" w:sz="4" w:space="0"/>
              <w:right w:val="single" w:color="auto" w:sz="4" w:space="0"/>
            </w:tcBorders>
            <w:noWrap w:val="0"/>
            <w:vAlign w:val="center"/>
          </w:tcPr>
          <w:p w14:paraId="3D7CDFE8">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对建设项目环境影响后评价报告进行备案</w:t>
            </w:r>
          </w:p>
        </w:tc>
        <w:tc>
          <w:tcPr>
            <w:tcW w:w="1365" w:type="pct"/>
            <w:tcBorders>
              <w:top w:val="single" w:color="auto" w:sz="4" w:space="0"/>
              <w:left w:val="single" w:color="auto" w:sz="4" w:space="0"/>
              <w:bottom w:val="single" w:color="auto" w:sz="4" w:space="0"/>
              <w:right w:val="single" w:color="auto" w:sz="4" w:space="0"/>
            </w:tcBorders>
            <w:noWrap w:val="0"/>
            <w:vAlign w:val="center"/>
          </w:tcPr>
          <w:p w14:paraId="643457B2">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告知承诺制</w:t>
            </w:r>
          </w:p>
        </w:tc>
        <w:tc>
          <w:tcPr>
            <w:tcW w:w="869" w:type="pct"/>
            <w:vMerge w:val="continue"/>
            <w:tcBorders>
              <w:left w:val="single" w:color="auto" w:sz="4" w:space="0"/>
              <w:bottom w:val="single" w:color="auto" w:sz="4" w:space="0"/>
              <w:right w:val="single" w:color="auto" w:sz="4" w:space="0"/>
            </w:tcBorders>
            <w:noWrap w:val="0"/>
            <w:vAlign w:val="center"/>
          </w:tcPr>
          <w:p w14:paraId="65B594A9">
            <w:pPr>
              <w:keepNext w:val="0"/>
              <w:keepLines w:val="0"/>
              <w:widowControl/>
              <w:suppressLineNumbers w:val="0"/>
              <w:spacing w:line="240" w:lineRule="auto"/>
              <w:ind w:firstLine="0" w:firstLineChars="0"/>
              <w:jc w:val="center"/>
              <w:textAlignment w:val="center"/>
              <w:rPr>
                <w:rFonts w:hint="eastAsia" w:ascii="宋体" w:hAnsi="宋体" w:eastAsia="宋体" w:cs="宋体"/>
                <w:color w:val="auto"/>
                <w:kern w:val="0"/>
                <w:sz w:val="21"/>
                <w:szCs w:val="21"/>
                <w:highlight w:val="none"/>
                <w:lang w:val="en-US" w:eastAsia="zh-CN" w:bidi="ar"/>
              </w:rPr>
            </w:pPr>
          </w:p>
        </w:tc>
      </w:tr>
      <w:tr w14:paraId="464DC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tblHeader/>
        </w:trPr>
        <w:tc>
          <w:tcPr>
            <w:tcW w:w="407" w:type="pct"/>
            <w:tcBorders>
              <w:top w:val="single" w:color="auto" w:sz="4" w:space="0"/>
              <w:left w:val="single" w:color="auto" w:sz="4" w:space="0"/>
              <w:bottom w:val="single" w:color="auto" w:sz="4" w:space="0"/>
              <w:right w:val="single" w:color="auto" w:sz="4" w:space="0"/>
            </w:tcBorders>
            <w:noWrap w:val="0"/>
            <w:vAlign w:val="center"/>
          </w:tcPr>
          <w:p w14:paraId="66D3CD3F">
            <w:pPr>
              <w:pStyle w:val="2"/>
              <w:spacing w:line="240" w:lineRule="auto"/>
              <w:ind w:left="0" w:leftChars="0" w:firstLine="0" w:firstLineChars="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15</w:t>
            </w:r>
          </w:p>
        </w:tc>
        <w:tc>
          <w:tcPr>
            <w:tcW w:w="2357" w:type="pct"/>
            <w:tcBorders>
              <w:top w:val="single" w:color="auto" w:sz="4" w:space="0"/>
              <w:left w:val="single" w:color="auto" w:sz="4" w:space="0"/>
              <w:bottom w:val="single" w:color="auto" w:sz="4" w:space="0"/>
              <w:right w:val="single" w:color="auto" w:sz="4" w:space="0"/>
            </w:tcBorders>
            <w:noWrap w:val="0"/>
            <w:vAlign w:val="center"/>
          </w:tcPr>
          <w:p w14:paraId="0E56DB8B">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建筑垃圾消纳和施工现场建筑垃圾处理方案备案</w:t>
            </w:r>
          </w:p>
        </w:tc>
        <w:tc>
          <w:tcPr>
            <w:tcW w:w="1365" w:type="pct"/>
            <w:tcBorders>
              <w:top w:val="single" w:color="auto" w:sz="4" w:space="0"/>
              <w:left w:val="single" w:color="auto" w:sz="4" w:space="0"/>
              <w:bottom w:val="single" w:color="auto" w:sz="4" w:space="0"/>
              <w:right w:val="single" w:color="auto" w:sz="4" w:space="0"/>
            </w:tcBorders>
            <w:noWrap w:val="0"/>
            <w:vAlign w:val="center"/>
          </w:tcPr>
          <w:p w14:paraId="62E56E1E">
            <w:pPr>
              <w:keepNext w:val="0"/>
              <w:keepLines w:val="0"/>
              <w:widowControl/>
              <w:suppressLineNumbers w:val="0"/>
              <w:spacing w:line="240" w:lineRule="auto"/>
              <w:ind w:left="0" w:leftChars="0" w:firstLine="0" w:firstLineChars="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云踏勘、备查制</w:t>
            </w:r>
          </w:p>
        </w:tc>
        <w:tc>
          <w:tcPr>
            <w:tcW w:w="869" w:type="pct"/>
            <w:vMerge w:val="restart"/>
            <w:tcBorders>
              <w:top w:val="single" w:color="auto" w:sz="4" w:space="0"/>
              <w:left w:val="single" w:color="auto" w:sz="4" w:space="0"/>
              <w:right w:val="single" w:color="auto" w:sz="4" w:space="0"/>
            </w:tcBorders>
            <w:noWrap w:val="0"/>
            <w:vAlign w:val="center"/>
          </w:tcPr>
          <w:p w14:paraId="460B7F8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市城市管理委</w:t>
            </w:r>
          </w:p>
        </w:tc>
      </w:tr>
      <w:tr w14:paraId="2700A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exact"/>
          <w:tblHeader/>
        </w:trPr>
        <w:tc>
          <w:tcPr>
            <w:tcW w:w="407" w:type="pct"/>
            <w:tcBorders>
              <w:top w:val="single" w:color="auto" w:sz="4" w:space="0"/>
              <w:left w:val="single" w:color="auto" w:sz="4" w:space="0"/>
              <w:bottom w:val="single" w:color="auto" w:sz="4" w:space="0"/>
              <w:right w:val="single" w:color="auto" w:sz="4" w:space="0"/>
            </w:tcBorders>
            <w:noWrap w:val="0"/>
            <w:vAlign w:val="center"/>
          </w:tcPr>
          <w:p w14:paraId="53A0AF05">
            <w:pPr>
              <w:pStyle w:val="2"/>
              <w:spacing w:line="240" w:lineRule="auto"/>
              <w:ind w:left="0" w:leftChars="0" w:firstLine="0" w:firstLineChars="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16</w:t>
            </w:r>
          </w:p>
        </w:tc>
        <w:tc>
          <w:tcPr>
            <w:tcW w:w="2357" w:type="pct"/>
            <w:tcBorders>
              <w:top w:val="single" w:color="auto" w:sz="4" w:space="0"/>
              <w:left w:val="single" w:color="auto" w:sz="4" w:space="0"/>
              <w:bottom w:val="single" w:color="auto" w:sz="4" w:space="0"/>
              <w:right w:val="single" w:color="auto" w:sz="4" w:space="0"/>
            </w:tcBorders>
            <w:noWrap w:val="0"/>
            <w:vAlign w:val="center"/>
          </w:tcPr>
          <w:p w14:paraId="09847627">
            <w:pPr>
              <w:keepNext w:val="0"/>
              <w:keepLines w:val="0"/>
              <w:widowControl/>
              <w:suppressLineNumbers w:val="0"/>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设置建筑垃圾消纳场所许可</w:t>
            </w:r>
          </w:p>
          <w:p w14:paraId="27606EA3">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p>
        </w:tc>
        <w:tc>
          <w:tcPr>
            <w:tcW w:w="1365" w:type="pct"/>
            <w:tcBorders>
              <w:top w:val="single" w:color="auto" w:sz="4" w:space="0"/>
              <w:left w:val="single" w:color="auto" w:sz="4" w:space="0"/>
              <w:bottom w:val="single" w:color="auto" w:sz="4" w:space="0"/>
              <w:right w:val="single" w:color="auto" w:sz="4" w:space="0"/>
            </w:tcBorders>
            <w:noWrap w:val="0"/>
            <w:vAlign w:val="center"/>
          </w:tcPr>
          <w:p w14:paraId="5DBC70D9">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告知承诺制</w:t>
            </w:r>
          </w:p>
        </w:tc>
        <w:tc>
          <w:tcPr>
            <w:tcW w:w="869" w:type="pct"/>
            <w:vMerge w:val="continue"/>
            <w:tcBorders>
              <w:left w:val="single" w:color="auto" w:sz="4" w:space="0"/>
              <w:bottom w:val="single" w:color="auto" w:sz="4" w:space="0"/>
              <w:right w:val="single" w:color="auto" w:sz="4" w:space="0"/>
            </w:tcBorders>
            <w:noWrap w:val="0"/>
            <w:vAlign w:val="center"/>
          </w:tcPr>
          <w:p w14:paraId="5A55F8D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B65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407" w:type="pct"/>
            <w:tcBorders>
              <w:top w:val="single" w:color="auto" w:sz="4" w:space="0"/>
              <w:left w:val="single" w:color="auto" w:sz="4" w:space="0"/>
              <w:bottom w:val="single" w:color="auto" w:sz="4" w:space="0"/>
              <w:right w:val="single" w:color="auto" w:sz="4" w:space="0"/>
            </w:tcBorders>
            <w:noWrap w:val="0"/>
            <w:vAlign w:val="center"/>
          </w:tcPr>
          <w:p w14:paraId="3AD9CFC4">
            <w:pPr>
              <w:pStyle w:val="2"/>
              <w:spacing w:line="240" w:lineRule="auto"/>
              <w:ind w:left="0" w:leftChars="0" w:firstLine="0" w:firstLineChars="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17</w:t>
            </w:r>
          </w:p>
        </w:tc>
        <w:tc>
          <w:tcPr>
            <w:tcW w:w="2357" w:type="pct"/>
            <w:tcBorders>
              <w:top w:val="single" w:color="auto" w:sz="4" w:space="0"/>
              <w:left w:val="single" w:color="auto" w:sz="4" w:space="0"/>
              <w:bottom w:val="single" w:color="auto" w:sz="4" w:space="0"/>
              <w:right w:val="single" w:color="auto" w:sz="4" w:space="0"/>
            </w:tcBorders>
            <w:noWrap w:val="0"/>
            <w:vAlign w:val="center"/>
          </w:tcPr>
          <w:p w14:paraId="6BB7885C">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城镇污水排入排水管网许可（设区的市级权限）</w:t>
            </w:r>
          </w:p>
        </w:tc>
        <w:tc>
          <w:tcPr>
            <w:tcW w:w="1365" w:type="pct"/>
            <w:tcBorders>
              <w:top w:val="single" w:color="auto" w:sz="4" w:space="0"/>
              <w:left w:val="single" w:color="auto" w:sz="4" w:space="0"/>
              <w:bottom w:val="single" w:color="auto" w:sz="4" w:space="0"/>
              <w:right w:val="single" w:color="auto" w:sz="4" w:space="0"/>
            </w:tcBorders>
            <w:noWrap w:val="0"/>
            <w:vAlign w:val="center"/>
          </w:tcPr>
          <w:p w14:paraId="42D5A131">
            <w:pPr>
              <w:keepNext w:val="0"/>
              <w:keepLines w:val="0"/>
              <w:widowControl/>
              <w:suppressLineNumbers w:val="0"/>
              <w:spacing w:line="240" w:lineRule="auto"/>
              <w:ind w:left="0" w:leftChars="0" w:firstLine="0" w:firstLineChars="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告知承诺制、容缺后补</w:t>
            </w:r>
          </w:p>
        </w:tc>
        <w:tc>
          <w:tcPr>
            <w:tcW w:w="869" w:type="pct"/>
            <w:vMerge w:val="restart"/>
            <w:tcBorders>
              <w:left w:val="single" w:color="auto" w:sz="4" w:space="0"/>
              <w:right w:val="single" w:color="auto" w:sz="4" w:space="0"/>
            </w:tcBorders>
            <w:noWrap w:val="0"/>
            <w:vAlign w:val="center"/>
          </w:tcPr>
          <w:p w14:paraId="610FC511">
            <w:pPr>
              <w:keepNext w:val="0"/>
              <w:keepLines w:val="0"/>
              <w:widowControl/>
              <w:suppressLineNumbers w:val="0"/>
              <w:spacing w:line="240" w:lineRule="auto"/>
              <w:ind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市水务局</w:t>
            </w:r>
          </w:p>
        </w:tc>
      </w:tr>
      <w:tr w14:paraId="0CFE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407" w:type="pct"/>
            <w:tcBorders>
              <w:top w:val="single" w:color="auto" w:sz="4" w:space="0"/>
              <w:left w:val="single" w:color="auto" w:sz="4" w:space="0"/>
              <w:bottom w:val="single" w:color="auto" w:sz="4" w:space="0"/>
              <w:right w:val="single" w:color="auto" w:sz="4" w:space="0"/>
            </w:tcBorders>
            <w:noWrap w:val="0"/>
            <w:vAlign w:val="center"/>
          </w:tcPr>
          <w:p w14:paraId="5992DF9D">
            <w:pPr>
              <w:pStyle w:val="2"/>
              <w:spacing w:line="240" w:lineRule="auto"/>
              <w:ind w:left="0" w:leftChars="0" w:firstLine="0" w:firstLineChars="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18</w:t>
            </w:r>
          </w:p>
        </w:tc>
        <w:tc>
          <w:tcPr>
            <w:tcW w:w="2357" w:type="pct"/>
            <w:tcBorders>
              <w:top w:val="single" w:color="auto" w:sz="4" w:space="0"/>
              <w:left w:val="single" w:color="auto" w:sz="4" w:space="0"/>
              <w:bottom w:val="single" w:color="auto" w:sz="4" w:space="0"/>
              <w:right w:val="single" w:color="auto" w:sz="4" w:space="0"/>
            </w:tcBorders>
            <w:noWrap w:val="0"/>
            <w:vAlign w:val="center"/>
          </w:tcPr>
          <w:p w14:paraId="01FBA69D">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对城镇排水与污水处理设施建设工程竣工验收报告及相关资料进行备案</w:t>
            </w:r>
          </w:p>
        </w:tc>
        <w:tc>
          <w:tcPr>
            <w:tcW w:w="1365" w:type="pct"/>
            <w:tcBorders>
              <w:top w:val="single" w:color="auto" w:sz="4" w:space="0"/>
              <w:left w:val="single" w:color="auto" w:sz="4" w:space="0"/>
              <w:bottom w:val="single" w:color="auto" w:sz="4" w:space="0"/>
              <w:right w:val="single" w:color="auto" w:sz="4" w:space="0"/>
            </w:tcBorders>
            <w:noWrap w:val="0"/>
            <w:vAlign w:val="center"/>
          </w:tcPr>
          <w:p w14:paraId="61472934">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告知承诺制</w:t>
            </w:r>
          </w:p>
        </w:tc>
        <w:tc>
          <w:tcPr>
            <w:tcW w:w="869" w:type="pct"/>
            <w:vMerge w:val="continue"/>
            <w:tcBorders>
              <w:left w:val="single" w:color="auto" w:sz="4" w:space="0"/>
              <w:right w:val="single" w:color="auto" w:sz="4" w:space="0"/>
            </w:tcBorders>
            <w:noWrap w:val="0"/>
            <w:vAlign w:val="center"/>
          </w:tcPr>
          <w:p w14:paraId="549ED54B">
            <w:pPr>
              <w:keepNext w:val="0"/>
              <w:keepLines w:val="0"/>
              <w:widowControl/>
              <w:suppressLineNumbers w:val="0"/>
              <w:spacing w:line="240" w:lineRule="auto"/>
              <w:ind w:firstLine="0" w:firstLineChars="0"/>
              <w:jc w:val="center"/>
              <w:textAlignment w:val="center"/>
              <w:rPr>
                <w:rFonts w:hint="eastAsia" w:ascii="宋体" w:hAnsi="宋体" w:eastAsia="宋体" w:cs="宋体"/>
                <w:color w:val="auto"/>
                <w:kern w:val="0"/>
                <w:sz w:val="21"/>
                <w:szCs w:val="21"/>
                <w:highlight w:val="none"/>
                <w:lang w:val="en-US" w:eastAsia="zh-CN" w:bidi="ar"/>
              </w:rPr>
            </w:pPr>
          </w:p>
        </w:tc>
      </w:tr>
      <w:tr w14:paraId="46B01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407" w:type="pct"/>
            <w:tcBorders>
              <w:top w:val="single" w:color="auto" w:sz="4" w:space="0"/>
              <w:left w:val="single" w:color="auto" w:sz="4" w:space="0"/>
              <w:bottom w:val="single" w:color="auto" w:sz="4" w:space="0"/>
              <w:right w:val="single" w:color="auto" w:sz="4" w:space="0"/>
            </w:tcBorders>
            <w:noWrap w:val="0"/>
            <w:vAlign w:val="center"/>
          </w:tcPr>
          <w:p w14:paraId="2261D8FD">
            <w:pPr>
              <w:pStyle w:val="2"/>
              <w:spacing w:line="240" w:lineRule="auto"/>
              <w:ind w:left="0" w:leftChars="0" w:firstLine="0" w:firstLineChars="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19</w:t>
            </w:r>
          </w:p>
        </w:tc>
        <w:tc>
          <w:tcPr>
            <w:tcW w:w="2357" w:type="pct"/>
            <w:tcBorders>
              <w:top w:val="single" w:color="auto" w:sz="4" w:space="0"/>
              <w:left w:val="single" w:color="auto" w:sz="4" w:space="0"/>
              <w:bottom w:val="single" w:color="auto" w:sz="4" w:space="0"/>
              <w:right w:val="single" w:color="auto" w:sz="4" w:space="0"/>
            </w:tcBorders>
            <w:noWrap w:val="0"/>
            <w:vAlign w:val="center"/>
          </w:tcPr>
          <w:p w14:paraId="759682A7">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生产建设项目水土保持设施自主验收报备</w:t>
            </w:r>
          </w:p>
        </w:tc>
        <w:tc>
          <w:tcPr>
            <w:tcW w:w="1365" w:type="pct"/>
            <w:tcBorders>
              <w:top w:val="single" w:color="auto" w:sz="4" w:space="0"/>
              <w:left w:val="single" w:color="auto" w:sz="4" w:space="0"/>
              <w:bottom w:val="single" w:color="auto" w:sz="4" w:space="0"/>
              <w:right w:val="single" w:color="auto" w:sz="4" w:space="0"/>
            </w:tcBorders>
            <w:noWrap w:val="0"/>
            <w:vAlign w:val="center"/>
          </w:tcPr>
          <w:p w14:paraId="3B6920C0">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备查制</w:t>
            </w:r>
          </w:p>
        </w:tc>
        <w:tc>
          <w:tcPr>
            <w:tcW w:w="869" w:type="pct"/>
            <w:vMerge w:val="continue"/>
            <w:tcBorders>
              <w:left w:val="single" w:color="auto" w:sz="4" w:space="0"/>
              <w:right w:val="single" w:color="auto" w:sz="4" w:space="0"/>
            </w:tcBorders>
            <w:noWrap w:val="0"/>
            <w:vAlign w:val="center"/>
          </w:tcPr>
          <w:p w14:paraId="01953E5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3D10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407" w:type="pct"/>
            <w:tcBorders>
              <w:top w:val="single" w:color="auto" w:sz="4" w:space="0"/>
              <w:left w:val="single" w:color="auto" w:sz="4" w:space="0"/>
              <w:bottom w:val="single" w:color="auto" w:sz="4" w:space="0"/>
              <w:right w:val="single" w:color="auto" w:sz="4" w:space="0"/>
            </w:tcBorders>
            <w:noWrap w:val="0"/>
            <w:vAlign w:val="center"/>
          </w:tcPr>
          <w:p w14:paraId="19A34C1F">
            <w:pPr>
              <w:pStyle w:val="2"/>
              <w:spacing w:line="240" w:lineRule="auto"/>
              <w:ind w:left="0" w:leftChars="0" w:firstLine="0" w:firstLineChars="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20</w:t>
            </w:r>
          </w:p>
        </w:tc>
        <w:tc>
          <w:tcPr>
            <w:tcW w:w="2357" w:type="pct"/>
            <w:tcBorders>
              <w:top w:val="single" w:color="auto" w:sz="4" w:space="0"/>
              <w:left w:val="single" w:color="auto" w:sz="4" w:space="0"/>
              <w:bottom w:val="single" w:color="auto" w:sz="4" w:space="0"/>
              <w:right w:val="single" w:color="auto" w:sz="4" w:space="0"/>
            </w:tcBorders>
            <w:noWrap w:val="0"/>
            <w:vAlign w:val="center"/>
          </w:tcPr>
          <w:p w14:paraId="4EE503A3">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申报人民防空工程设计方案的项目</w:t>
            </w:r>
          </w:p>
        </w:tc>
        <w:tc>
          <w:tcPr>
            <w:tcW w:w="1365" w:type="pct"/>
            <w:tcBorders>
              <w:top w:val="single" w:color="auto" w:sz="4" w:space="0"/>
              <w:left w:val="single" w:color="auto" w:sz="4" w:space="0"/>
              <w:bottom w:val="single" w:color="auto" w:sz="4" w:space="0"/>
              <w:right w:val="single" w:color="auto" w:sz="4" w:space="0"/>
            </w:tcBorders>
            <w:noWrap w:val="0"/>
            <w:vAlign w:val="center"/>
          </w:tcPr>
          <w:p w14:paraId="6967B03F">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告知承诺制</w:t>
            </w:r>
          </w:p>
        </w:tc>
        <w:tc>
          <w:tcPr>
            <w:tcW w:w="869" w:type="pct"/>
            <w:vMerge w:val="restart"/>
            <w:tcBorders>
              <w:top w:val="single" w:color="auto" w:sz="4" w:space="0"/>
              <w:left w:val="single" w:color="auto" w:sz="4" w:space="0"/>
              <w:right w:val="single" w:color="auto" w:sz="4" w:space="0"/>
            </w:tcBorders>
            <w:noWrap w:val="0"/>
            <w:vAlign w:val="center"/>
          </w:tcPr>
          <w:p w14:paraId="5DC51F42">
            <w:pPr>
              <w:keepNext w:val="0"/>
              <w:keepLines w:val="0"/>
              <w:widowControl/>
              <w:suppressLineNumbers w:val="0"/>
              <w:spacing w:line="240" w:lineRule="auto"/>
              <w:ind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市人防办</w:t>
            </w:r>
          </w:p>
        </w:tc>
      </w:tr>
      <w:tr w14:paraId="6DCF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407" w:type="pct"/>
            <w:tcBorders>
              <w:top w:val="single" w:color="auto" w:sz="4" w:space="0"/>
              <w:left w:val="single" w:color="auto" w:sz="4" w:space="0"/>
              <w:bottom w:val="single" w:color="auto" w:sz="4" w:space="0"/>
              <w:right w:val="single" w:color="auto" w:sz="4" w:space="0"/>
            </w:tcBorders>
            <w:noWrap w:val="0"/>
            <w:vAlign w:val="center"/>
          </w:tcPr>
          <w:p w14:paraId="1ED8D070">
            <w:pPr>
              <w:pStyle w:val="2"/>
              <w:spacing w:line="240" w:lineRule="auto"/>
              <w:ind w:left="0" w:leftChars="0" w:firstLine="0" w:firstLineChars="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21</w:t>
            </w:r>
          </w:p>
        </w:tc>
        <w:tc>
          <w:tcPr>
            <w:tcW w:w="2357" w:type="pct"/>
            <w:tcBorders>
              <w:top w:val="single" w:color="auto" w:sz="4" w:space="0"/>
              <w:left w:val="single" w:color="auto" w:sz="4" w:space="0"/>
              <w:bottom w:val="single" w:color="auto" w:sz="4" w:space="0"/>
              <w:right w:val="single" w:color="auto" w:sz="4" w:space="0"/>
            </w:tcBorders>
            <w:noWrap w:val="0"/>
            <w:vAlign w:val="center"/>
          </w:tcPr>
          <w:p w14:paraId="231AD53B">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申报人民防空工程易地建设的项目</w:t>
            </w:r>
          </w:p>
        </w:tc>
        <w:tc>
          <w:tcPr>
            <w:tcW w:w="1365" w:type="pct"/>
            <w:tcBorders>
              <w:top w:val="single" w:color="auto" w:sz="4" w:space="0"/>
              <w:left w:val="single" w:color="auto" w:sz="4" w:space="0"/>
              <w:bottom w:val="single" w:color="auto" w:sz="4" w:space="0"/>
              <w:right w:val="single" w:color="auto" w:sz="4" w:space="0"/>
            </w:tcBorders>
            <w:noWrap w:val="0"/>
            <w:vAlign w:val="center"/>
          </w:tcPr>
          <w:p w14:paraId="612A96C4">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告知承诺制</w:t>
            </w:r>
          </w:p>
        </w:tc>
        <w:tc>
          <w:tcPr>
            <w:tcW w:w="869" w:type="pct"/>
            <w:vMerge w:val="continue"/>
            <w:tcBorders>
              <w:left w:val="single" w:color="auto" w:sz="4" w:space="0"/>
              <w:right w:val="single" w:color="auto" w:sz="4" w:space="0"/>
            </w:tcBorders>
            <w:noWrap w:val="0"/>
            <w:vAlign w:val="center"/>
          </w:tcPr>
          <w:p w14:paraId="01B439EC">
            <w:pPr>
              <w:keepNext w:val="0"/>
              <w:keepLines w:val="0"/>
              <w:widowControl/>
              <w:suppressLineNumbers w:val="0"/>
              <w:spacing w:line="240" w:lineRule="auto"/>
              <w:ind w:firstLine="0" w:firstLineChars="0"/>
              <w:jc w:val="center"/>
              <w:textAlignment w:val="center"/>
              <w:rPr>
                <w:rFonts w:hint="eastAsia" w:ascii="宋体" w:hAnsi="宋体" w:eastAsia="宋体" w:cs="宋体"/>
                <w:color w:val="auto"/>
                <w:kern w:val="0"/>
                <w:sz w:val="21"/>
                <w:szCs w:val="21"/>
                <w:highlight w:val="none"/>
                <w:lang w:val="en-US" w:eastAsia="zh-CN" w:bidi="ar"/>
              </w:rPr>
            </w:pPr>
          </w:p>
        </w:tc>
      </w:tr>
      <w:tr w14:paraId="71E6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407" w:type="pct"/>
            <w:tcBorders>
              <w:top w:val="single" w:color="auto" w:sz="4" w:space="0"/>
              <w:left w:val="single" w:color="auto" w:sz="4" w:space="0"/>
              <w:bottom w:val="single" w:color="auto" w:sz="4" w:space="0"/>
              <w:right w:val="single" w:color="auto" w:sz="4" w:space="0"/>
            </w:tcBorders>
            <w:noWrap w:val="0"/>
            <w:vAlign w:val="center"/>
          </w:tcPr>
          <w:p w14:paraId="3D66CD16">
            <w:pPr>
              <w:pStyle w:val="2"/>
              <w:spacing w:line="240" w:lineRule="auto"/>
              <w:ind w:left="0" w:leftChars="0" w:firstLine="0" w:firstLineChars="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2</w:t>
            </w:r>
          </w:p>
        </w:tc>
        <w:tc>
          <w:tcPr>
            <w:tcW w:w="2357" w:type="pct"/>
            <w:tcBorders>
              <w:top w:val="single" w:color="auto" w:sz="4" w:space="0"/>
              <w:left w:val="single" w:color="auto" w:sz="4" w:space="0"/>
              <w:bottom w:val="single" w:color="auto" w:sz="4" w:space="0"/>
              <w:right w:val="single" w:color="auto" w:sz="4" w:space="0"/>
            </w:tcBorders>
            <w:noWrap w:val="0"/>
            <w:vAlign w:val="center"/>
          </w:tcPr>
          <w:p w14:paraId="2F28239D">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申报人防工程设计方案的项目</w:t>
            </w:r>
          </w:p>
        </w:tc>
        <w:tc>
          <w:tcPr>
            <w:tcW w:w="1365" w:type="pct"/>
            <w:tcBorders>
              <w:top w:val="single" w:color="auto" w:sz="4" w:space="0"/>
              <w:left w:val="single" w:color="auto" w:sz="4" w:space="0"/>
              <w:bottom w:val="single" w:color="auto" w:sz="4" w:space="0"/>
              <w:right w:val="single" w:color="auto" w:sz="4" w:space="0"/>
            </w:tcBorders>
            <w:noWrap w:val="0"/>
            <w:vAlign w:val="center"/>
          </w:tcPr>
          <w:p w14:paraId="05EC0B8A">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告知承诺制</w:t>
            </w:r>
          </w:p>
        </w:tc>
        <w:tc>
          <w:tcPr>
            <w:tcW w:w="869" w:type="pct"/>
            <w:vMerge w:val="continue"/>
            <w:tcBorders>
              <w:left w:val="single" w:color="auto" w:sz="4" w:space="0"/>
              <w:right w:val="single" w:color="auto" w:sz="4" w:space="0"/>
            </w:tcBorders>
            <w:noWrap w:val="0"/>
            <w:vAlign w:val="center"/>
          </w:tcPr>
          <w:p w14:paraId="744C6DFC">
            <w:pPr>
              <w:keepNext w:val="0"/>
              <w:keepLines w:val="0"/>
              <w:widowControl/>
              <w:suppressLineNumbers w:val="0"/>
              <w:spacing w:line="240" w:lineRule="auto"/>
              <w:ind w:firstLine="0" w:firstLineChars="0"/>
              <w:jc w:val="center"/>
              <w:textAlignment w:val="center"/>
              <w:rPr>
                <w:rFonts w:hint="eastAsia" w:ascii="宋体" w:hAnsi="宋体" w:eastAsia="宋体" w:cs="宋体"/>
                <w:color w:val="auto"/>
                <w:kern w:val="0"/>
                <w:sz w:val="21"/>
                <w:szCs w:val="21"/>
                <w:highlight w:val="none"/>
                <w:lang w:val="en-US" w:eastAsia="zh-CN" w:bidi="ar"/>
              </w:rPr>
            </w:pPr>
          </w:p>
        </w:tc>
      </w:tr>
      <w:tr w14:paraId="3CCC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407" w:type="pct"/>
            <w:tcBorders>
              <w:top w:val="single" w:color="auto" w:sz="4" w:space="0"/>
              <w:left w:val="single" w:color="auto" w:sz="4" w:space="0"/>
              <w:bottom w:val="single" w:color="auto" w:sz="4" w:space="0"/>
              <w:right w:val="single" w:color="auto" w:sz="4" w:space="0"/>
            </w:tcBorders>
            <w:noWrap w:val="0"/>
            <w:vAlign w:val="center"/>
          </w:tcPr>
          <w:p w14:paraId="06B3ED75">
            <w:pPr>
              <w:pStyle w:val="2"/>
              <w:spacing w:line="240" w:lineRule="auto"/>
              <w:ind w:left="0" w:leftChars="0" w:firstLine="0" w:firstLineChars="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23</w:t>
            </w:r>
          </w:p>
        </w:tc>
        <w:tc>
          <w:tcPr>
            <w:tcW w:w="2357" w:type="pct"/>
            <w:tcBorders>
              <w:top w:val="single" w:color="auto" w:sz="4" w:space="0"/>
              <w:left w:val="single" w:color="auto" w:sz="4" w:space="0"/>
              <w:bottom w:val="single" w:color="auto" w:sz="4" w:space="0"/>
              <w:right w:val="single" w:color="auto" w:sz="4" w:space="0"/>
            </w:tcBorders>
            <w:noWrap w:val="0"/>
            <w:vAlign w:val="center"/>
          </w:tcPr>
          <w:p w14:paraId="26380F4E">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申报人防工程易地建设的项目</w:t>
            </w:r>
          </w:p>
        </w:tc>
        <w:tc>
          <w:tcPr>
            <w:tcW w:w="1365" w:type="pct"/>
            <w:tcBorders>
              <w:top w:val="single" w:color="auto" w:sz="4" w:space="0"/>
              <w:left w:val="single" w:color="auto" w:sz="4" w:space="0"/>
              <w:bottom w:val="single" w:color="auto" w:sz="4" w:space="0"/>
              <w:right w:val="single" w:color="auto" w:sz="4" w:space="0"/>
            </w:tcBorders>
            <w:noWrap w:val="0"/>
            <w:vAlign w:val="center"/>
          </w:tcPr>
          <w:p w14:paraId="5D7888D1">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告知承诺制</w:t>
            </w:r>
          </w:p>
        </w:tc>
        <w:tc>
          <w:tcPr>
            <w:tcW w:w="869" w:type="pct"/>
            <w:vMerge w:val="continue"/>
            <w:tcBorders>
              <w:left w:val="single" w:color="auto" w:sz="4" w:space="0"/>
              <w:right w:val="single" w:color="auto" w:sz="4" w:space="0"/>
            </w:tcBorders>
            <w:noWrap w:val="0"/>
            <w:vAlign w:val="center"/>
          </w:tcPr>
          <w:p w14:paraId="0FF67067">
            <w:pPr>
              <w:keepNext w:val="0"/>
              <w:keepLines w:val="0"/>
              <w:widowControl/>
              <w:suppressLineNumbers w:val="0"/>
              <w:spacing w:line="240" w:lineRule="auto"/>
              <w:ind w:firstLine="0" w:firstLineChars="0"/>
              <w:jc w:val="center"/>
              <w:textAlignment w:val="center"/>
              <w:rPr>
                <w:rFonts w:hint="eastAsia" w:ascii="宋体" w:hAnsi="宋体" w:eastAsia="宋体" w:cs="宋体"/>
                <w:color w:val="auto"/>
                <w:kern w:val="0"/>
                <w:sz w:val="21"/>
                <w:szCs w:val="21"/>
                <w:highlight w:val="none"/>
                <w:lang w:val="en-US" w:eastAsia="zh-CN" w:bidi="ar"/>
              </w:rPr>
            </w:pPr>
          </w:p>
        </w:tc>
      </w:tr>
      <w:tr w14:paraId="1F2E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407" w:type="pct"/>
            <w:tcBorders>
              <w:top w:val="single" w:color="auto" w:sz="4" w:space="0"/>
              <w:left w:val="single" w:color="auto" w:sz="4" w:space="0"/>
              <w:bottom w:val="single" w:color="auto" w:sz="4" w:space="0"/>
              <w:right w:val="single" w:color="auto" w:sz="4" w:space="0"/>
            </w:tcBorders>
            <w:noWrap w:val="0"/>
            <w:vAlign w:val="center"/>
          </w:tcPr>
          <w:p w14:paraId="565A3E63">
            <w:pPr>
              <w:pStyle w:val="2"/>
              <w:spacing w:line="240" w:lineRule="auto"/>
              <w:ind w:left="0" w:leftChars="0" w:firstLine="0" w:firstLineChars="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24</w:t>
            </w:r>
          </w:p>
        </w:tc>
        <w:tc>
          <w:tcPr>
            <w:tcW w:w="2357" w:type="pct"/>
            <w:tcBorders>
              <w:top w:val="single" w:color="auto" w:sz="4" w:space="0"/>
              <w:left w:val="single" w:color="auto" w:sz="4" w:space="0"/>
              <w:bottom w:val="single" w:color="auto" w:sz="4" w:space="0"/>
              <w:right w:val="single" w:color="auto" w:sz="4" w:space="0"/>
            </w:tcBorders>
            <w:noWrap w:val="0"/>
            <w:vAlign w:val="center"/>
          </w:tcPr>
          <w:p w14:paraId="3CD98054">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人防工程竣工验收备案</w:t>
            </w:r>
          </w:p>
        </w:tc>
        <w:tc>
          <w:tcPr>
            <w:tcW w:w="1365" w:type="pct"/>
            <w:tcBorders>
              <w:top w:val="single" w:color="auto" w:sz="4" w:space="0"/>
              <w:left w:val="single" w:color="auto" w:sz="4" w:space="0"/>
              <w:bottom w:val="single" w:color="auto" w:sz="4" w:space="0"/>
              <w:right w:val="single" w:color="auto" w:sz="4" w:space="0"/>
            </w:tcBorders>
            <w:noWrap w:val="0"/>
            <w:vAlign w:val="center"/>
          </w:tcPr>
          <w:p w14:paraId="482CABF1">
            <w:pPr>
              <w:keepNext w:val="0"/>
              <w:keepLines w:val="0"/>
              <w:widowControl/>
              <w:suppressLineNumbers w:val="0"/>
              <w:spacing w:line="240" w:lineRule="auto"/>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告知承诺制</w:t>
            </w:r>
          </w:p>
        </w:tc>
        <w:tc>
          <w:tcPr>
            <w:tcW w:w="869" w:type="pct"/>
            <w:vMerge w:val="continue"/>
            <w:tcBorders>
              <w:left w:val="single" w:color="auto" w:sz="4" w:space="0"/>
              <w:bottom w:val="single" w:color="auto" w:sz="4" w:space="0"/>
              <w:right w:val="single" w:color="auto" w:sz="4" w:space="0"/>
            </w:tcBorders>
            <w:noWrap w:val="0"/>
            <w:vAlign w:val="center"/>
          </w:tcPr>
          <w:p w14:paraId="1E37F9FA">
            <w:pPr>
              <w:keepNext w:val="0"/>
              <w:keepLines w:val="0"/>
              <w:widowControl/>
              <w:suppressLineNumbers w:val="0"/>
              <w:spacing w:line="240" w:lineRule="auto"/>
              <w:ind w:firstLine="0" w:firstLineChars="0"/>
              <w:jc w:val="center"/>
              <w:textAlignment w:val="center"/>
              <w:rPr>
                <w:rFonts w:hint="eastAsia" w:ascii="宋体" w:hAnsi="宋体" w:eastAsia="宋体" w:cs="宋体"/>
                <w:color w:val="auto"/>
                <w:kern w:val="0"/>
                <w:sz w:val="21"/>
                <w:szCs w:val="21"/>
                <w:highlight w:val="none"/>
                <w:lang w:val="en-US" w:eastAsia="zh-CN" w:bidi="ar"/>
              </w:rPr>
            </w:pPr>
          </w:p>
        </w:tc>
      </w:tr>
    </w:tbl>
    <w:p w14:paraId="43B16B35">
      <w:pPr>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黑体" w:hAnsi="黑体" w:eastAsia="黑体" w:cs="黑体"/>
          <w:color w:val="auto"/>
          <w:highlight w:val="none"/>
        </w:rPr>
      </w:pPr>
    </w:p>
    <w:p w14:paraId="3EF76B9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黑体" w:hAnsi="黑体" w:eastAsia="黑体" w:cs="黑体"/>
          <w:color w:val="auto"/>
          <w:highlight w:val="none"/>
          <w:lang w:eastAsia="zh-CN"/>
        </w:rPr>
      </w:pPr>
      <w:r>
        <w:rPr>
          <w:rFonts w:hint="eastAsia" w:ascii="宋体" w:hAnsi="宋体" w:eastAsia="宋体" w:cs="宋体"/>
          <w:snapToGrid w:val="0"/>
          <w:color w:val="auto"/>
          <w:kern w:val="0"/>
          <w:sz w:val="21"/>
          <w:szCs w:val="21"/>
          <w:highlight w:val="none"/>
          <w:lang w:bidi="ar"/>
        </w:rPr>
        <w:t>注：</w:t>
      </w:r>
      <w:r>
        <w:rPr>
          <w:rFonts w:hint="eastAsia" w:ascii="宋体" w:hAnsi="宋体" w:eastAsia="宋体" w:cs="宋体"/>
          <w:snapToGrid w:val="0"/>
          <w:color w:val="auto"/>
          <w:kern w:val="0"/>
          <w:sz w:val="21"/>
          <w:szCs w:val="21"/>
          <w:highlight w:val="none"/>
          <w:lang w:val="en-US" w:eastAsia="zh-CN" w:bidi="ar"/>
        </w:rPr>
        <w:t>本清单实行动态调整，请以临空区政府服务平台、临空区政务服务大厅、具体政策文件最新版本为准</w:t>
      </w:r>
      <w:r>
        <w:rPr>
          <w:rFonts w:hint="eastAsia" w:ascii="宋体" w:hAnsi="宋体" w:eastAsia="宋体" w:cs="宋体"/>
          <w:snapToGrid w:val="0"/>
          <w:color w:val="auto"/>
          <w:kern w:val="0"/>
          <w:sz w:val="21"/>
          <w:szCs w:val="21"/>
          <w:highlight w:val="none"/>
          <w:lang w:bidi="ar"/>
        </w:rPr>
        <w:t>。</w:t>
      </w:r>
      <w:r>
        <w:rPr>
          <w:rFonts w:hint="eastAsia" w:ascii="宋体" w:hAnsi="宋体" w:eastAsia="宋体" w:cs="宋体"/>
          <w:snapToGrid w:val="0"/>
          <w:color w:val="auto"/>
          <w:kern w:val="0"/>
          <w:sz w:val="21"/>
          <w:szCs w:val="21"/>
          <w:highlight w:val="none"/>
          <w:lang w:bidi="ar"/>
        </w:rPr>
        <w:tab/>
      </w:r>
      <w:r>
        <w:rPr>
          <w:rFonts w:hint="eastAsia" w:ascii="黑体" w:hAnsi="黑体" w:eastAsia="黑体" w:cs="黑体"/>
          <w:color w:val="auto"/>
          <w:highlight w:val="none"/>
        </w:rPr>
        <w:br w:type="page"/>
      </w:r>
      <w:r>
        <w:rPr>
          <w:rFonts w:hint="eastAsia" w:ascii="黑体" w:hAnsi="黑体" w:eastAsia="黑体" w:cs="黑体"/>
          <w:color w:val="auto"/>
          <w:highlight w:val="none"/>
        </w:rPr>
        <w:t>附</w:t>
      </w:r>
      <w:r>
        <w:rPr>
          <w:rFonts w:hint="eastAsia" w:ascii="黑体" w:hAnsi="黑体" w:eastAsia="黑体" w:cs="黑体"/>
          <w:color w:val="auto"/>
          <w:highlight w:val="none"/>
          <w:lang w:val="en-US" w:eastAsia="zh-CN"/>
        </w:rPr>
        <w:t>件4</w:t>
      </w:r>
    </w:p>
    <w:p w14:paraId="327CC528">
      <w:pPr>
        <w:ind w:firstLine="0" w:firstLineChars="0"/>
        <w:jc w:val="center"/>
        <w:rPr>
          <w:rFonts w:hint="eastAsia" w:eastAsia="方正小标宋简体"/>
          <w:color w:val="auto"/>
          <w:sz w:val="36"/>
          <w:szCs w:val="36"/>
          <w:highlight w:val="none"/>
        </w:rPr>
      </w:pPr>
      <w:r>
        <w:rPr>
          <w:rFonts w:hint="eastAsia" w:eastAsia="方正小标宋简体"/>
          <w:color w:val="auto"/>
          <w:sz w:val="36"/>
          <w:szCs w:val="36"/>
          <w:highlight w:val="none"/>
        </w:rPr>
        <w:t>北京大兴国际机场临空经济区（北京部分）</w:t>
      </w:r>
    </w:p>
    <w:p w14:paraId="65E70A3B">
      <w:pPr>
        <w:ind w:firstLine="0" w:firstLineChars="0"/>
        <w:jc w:val="center"/>
        <w:rPr>
          <w:rFonts w:hint="eastAsia" w:eastAsia="方正小标宋简体"/>
          <w:color w:val="auto"/>
          <w:sz w:val="36"/>
          <w:szCs w:val="36"/>
          <w:highlight w:val="none"/>
        </w:rPr>
      </w:pPr>
      <w:r>
        <w:rPr>
          <w:rFonts w:hint="eastAsia" w:eastAsia="方正小标宋简体"/>
          <w:color w:val="auto"/>
          <w:sz w:val="36"/>
          <w:szCs w:val="36"/>
          <w:highlight w:val="none"/>
        </w:rPr>
        <w:t>行政相对人信用异议申请表</w:t>
      </w:r>
    </w:p>
    <w:p w14:paraId="2CD030B1">
      <w:pPr>
        <w:ind w:firstLine="0" w:firstLineChars="0"/>
        <w:jc w:val="left"/>
        <w:rPr>
          <w:rFonts w:hint="eastAsia"/>
          <w:color w:val="auto"/>
          <w:sz w:val="18"/>
          <w:szCs w:val="15"/>
          <w:highlight w:val="none"/>
        </w:rPr>
      </w:pPr>
    </w:p>
    <w:tbl>
      <w:tblPr>
        <w:tblStyle w:val="11"/>
        <w:tblW w:w="8350" w:type="dxa"/>
        <w:tblInd w:w="0" w:type="dxa"/>
        <w:tblLayout w:type="fixed"/>
        <w:tblCellMar>
          <w:top w:w="0" w:type="dxa"/>
          <w:left w:w="10" w:type="dxa"/>
          <w:bottom w:w="0" w:type="dxa"/>
          <w:right w:w="10" w:type="dxa"/>
        </w:tblCellMar>
      </w:tblPr>
      <w:tblGrid>
        <w:gridCol w:w="1464"/>
        <w:gridCol w:w="2496"/>
        <w:gridCol w:w="1818"/>
        <w:gridCol w:w="2572"/>
      </w:tblGrid>
      <w:tr w14:paraId="4E52BEAC">
        <w:tblPrEx>
          <w:tblCellMar>
            <w:top w:w="0" w:type="dxa"/>
            <w:left w:w="10" w:type="dxa"/>
            <w:bottom w:w="0" w:type="dxa"/>
            <w:right w:w="10" w:type="dxa"/>
          </w:tblCellMar>
        </w:tblPrEx>
        <w:trPr>
          <w:trHeight w:val="578" w:hRule="exact"/>
        </w:trPr>
        <w:tc>
          <w:tcPr>
            <w:tcW w:w="8350" w:type="dxa"/>
            <w:gridSpan w:val="4"/>
            <w:tcBorders>
              <w:top w:val="single" w:color="auto" w:sz="4" w:space="0"/>
              <w:left w:val="single" w:color="auto" w:sz="4" w:space="0"/>
              <w:right w:val="single" w:color="auto" w:sz="4" w:space="0"/>
            </w:tcBorders>
            <w:shd w:val="clear" w:color="auto" w:fill="FFFFFF"/>
            <w:noWrap w:val="0"/>
            <w:vAlign w:val="center"/>
          </w:tcPr>
          <w:p w14:paraId="5E7B804B">
            <w:pPr>
              <w:tabs>
                <w:tab w:val="left" w:pos="1401"/>
              </w:tabs>
              <w:spacing w:line="240" w:lineRule="atLeast"/>
              <w:ind w:firstLine="0" w:firstLineChars="0"/>
              <w:jc w:val="center"/>
              <w:rPr>
                <w:rFonts w:hint="eastAsia" w:ascii="黑体" w:hAnsi="黑体" w:eastAsia="黑体" w:cs="黑体"/>
                <w:color w:val="auto"/>
                <w:sz w:val="21"/>
                <w:szCs w:val="21"/>
                <w:highlight w:val="none"/>
              </w:rPr>
            </w:pPr>
            <w:r>
              <w:rPr>
                <w:rFonts w:hint="eastAsia" w:ascii="黑体" w:hAnsi="黑体" w:eastAsia="黑体" w:cs="黑体"/>
                <w:b/>
                <w:bCs/>
                <w:color w:val="auto"/>
                <w:sz w:val="21"/>
                <w:szCs w:val="21"/>
                <w:highlight w:val="none"/>
                <w:lang w:val="en-US" w:eastAsia="zh-CN"/>
              </w:rPr>
              <w:t>申请人</w:t>
            </w:r>
            <w:r>
              <w:rPr>
                <w:rFonts w:hint="eastAsia" w:ascii="黑体" w:hAnsi="黑体" w:eastAsia="黑体" w:cs="黑体"/>
                <w:b/>
                <w:bCs/>
                <w:color w:val="auto"/>
                <w:sz w:val="21"/>
                <w:szCs w:val="21"/>
                <w:highlight w:val="none"/>
              </w:rPr>
              <w:t>基本信息</w:t>
            </w:r>
          </w:p>
        </w:tc>
      </w:tr>
      <w:tr w14:paraId="1A19CBD7">
        <w:tblPrEx>
          <w:tblCellMar>
            <w:top w:w="0" w:type="dxa"/>
            <w:left w:w="10" w:type="dxa"/>
            <w:bottom w:w="0" w:type="dxa"/>
            <w:right w:w="10" w:type="dxa"/>
          </w:tblCellMar>
        </w:tblPrEx>
        <w:trPr>
          <w:trHeight w:val="431" w:hRule="atLeast"/>
        </w:trPr>
        <w:tc>
          <w:tcPr>
            <w:tcW w:w="1464" w:type="dxa"/>
            <w:tcBorders>
              <w:top w:val="single" w:color="auto" w:sz="4" w:space="0"/>
              <w:left w:val="single" w:color="auto" w:sz="4" w:space="0"/>
            </w:tcBorders>
            <w:shd w:val="clear" w:color="auto" w:fill="FFFFFF"/>
            <w:noWrap w:val="0"/>
            <w:vAlign w:val="center"/>
          </w:tcPr>
          <w:p w14:paraId="391F1F88">
            <w:pPr>
              <w:tabs>
                <w:tab w:val="left" w:pos="1401"/>
              </w:tabs>
              <w:spacing w:line="240" w:lineRule="atLeast"/>
              <w:ind w:firstLine="0" w:firstLineChars="0"/>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单位</w:t>
            </w:r>
            <w:r>
              <w:rPr>
                <w:rFonts w:hint="eastAsia" w:ascii="黑体" w:hAnsi="黑体" w:eastAsia="黑体" w:cs="黑体"/>
                <w:color w:val="auto"/>
                <w:sz w:val="21"/>
                <w:szCs w:val="21"/>
                <w:highlight w:val="none"/>
              </w:rPr>
              <w:t>名称</w:t>
            </w:r>
          </w:p>
        </w:tc>
        <w:tc>
          <w:tcPr>
            <w:tcW w:w="2496" w:type="dxa"/>
            <w:tcBorders>
              <w:top w:val="single" w:color="auto" w:sz="4" w:space="0"/>
              <w:left w:val="single" w:color="auto" w:sz="4" w:space="0"/>
            </w:tcBorders>
            <w:shd w:val="clear" w:color="auto" w:fill="FFFFFF"/>
            <w:noWrap w:val="0"/>
            <w:vAlign w:val="top"/>
          </w:tcPr>
          <w:p w14:paraId="6C33A61B">
            <w:pPr>
              <w:tabs>
                <w:tab w:val="left" w:pos="1401"/>
              </w:tabs>
              <w:spacing w:line="240" w:lineRule="atLeast"/>
              <w:ind w:firstLine="0" w:firstLineChars="0"/>
              <w:jc w:val="center"/>
              <w:rPr>
                <w:rFonts w:hint="eastAsia" w:ascii="黑体" w:hAnsi="黑体" w:eastAsia="黑体" w:cs="黑体"/>
                <w:color w:val="auto"/>
                <w:sz w:val="21"/>
                <w:szCs w:val="21"/>
                <w:highlight w:val="none"/>
              </w:rPr>
            </w:pPr>
          </w:p>
        </w:tc>
        <w:tc>
          <w:tcPr>
            <w:tcW w:w="1818" w:type="dxa"/>
            <w:tcBorders>
              <w:top w:val="single" w:color="auto" w:sz="4" w:space="0"/>
              <w:left w:val="single" w:color="auto" w:sz="4" w:space="0"/>
              <w:right w:val="single" w:color="auto" w:sz="4" w:space="0"/>
            </w:tcBorders>
            <w:shd w:val="clear" w:color="auto" w:fill="FFFFFF"/>
            <w:noWrap w:val="0"/>
            <w:vAlign w:val="center"/>
          </w:tcPr>
          <w:p w14:paraId="40B0C884">
            <w:pPr>
              <w:tabs>
                <w:tab w:val="left" w:pos="1401"/>
              </w:tabs>
              <w:spacing w:line="240" w:lineRule="atLeast"/>
              <w:ind w:firstLine="0" w:firstLineChars="0"/>
              <w:jc w:val="center"/>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统一社会信用代码</w:t>
            </w:r>
          </w:p>
        </w:tc>
        <w:tc>
          <w:tcPr>
            <w:tcW w:w="2572" w:type="dxa"/>
            <w:tcBorders>
              <w:top w:val="single" w:color="auto" w:sz="4" w:space="0"/>
              <w:left w:val="single" w:color="auto" w:sz="4" w:space="0"/>
              <w:right w:val="single" w:color="auto" w:sz="4" w:space="0"/>
            </w:tcBorders>
            <w:shd w:val="clear" w:color="auto" w:fill="FFFFFF"/>
            <w:noWrap w:val="0"/>
            <w:vAlign w:val="center"/>
          </w:tcPr>
          <w:p w14:paraId="05FBD25D">
            <w:pPr>
              <w:tabs>
                <w:tab w:val="left" w:pos="1401"/>
              </w:tabs>
              <w:spacing w:line="240" w:lineRule="atLeast"/>
              <w:ind w:firstLine="0" w:firstLineChars="0"/>
              <w:jc w:val="center"/>
              <w:rPr>
                <w:rFonts w:hint="eastAsia" w:ascii="黑体" w:hAnsi="黑体" w:eastAsia="黑体" w:cs="黑体"/>
                <w:color w:val="auto"/>
                <w:sz w:val="21"/>
                <w:szCs w:val="21"/>
                <w:highlight w:val="none"/>
              </w:rPr>
            </w:pPr>
          </w:p>
        </w:tc>
      </w:tr>
      <w:tr w14:paraId="647EF799">
        <w:tblPrEx>
          <w:tblCellMar>
            <w:top w:w="0" w:type="dxa"/>
            <w:left w:w="10" w:type="dxa"/>
            <w:bottom w:w="0" w:type="dxa"/>
            <w:right w:w="10" w:type="dxa"/>
          </w:tblCellMar>
        </w:tblPrEx>
        <w:trPr>
          <w:trHeight w:val="431" w:hRule="atLeast"/>
        </w:trPr>
        <w:tc>
          <w:tcPr>
            <w:tcW w:w="1464" w:type="dxa"/>
            <w:tcBorders>
              <w:top w:val="single" w:color="auto" w:sz="4" w:space="0"/>
              <w:left w:val="single" w:color="auto" w:sz="4" w:space="0"/>
            </w:tcBorders>
            <w:shd w:val="clear" w:color="auto" w:fill="FFFFFF"/>
            <w:noWrap w:val="0"/>
            <w:vAlign w:val="center"/>
          </w:tcPr>
          <w:p w14:paraId="39C86D4F">
            <w:pPr>
              <w:tabs>
                <w:tab w:val="left" w:pos="1401"/>
              </w:tabs>
              <w:spacing w:line="240" w:lineRule="atLeast"/>
              <w:ind w:firstLine="0" w:firstLineChars="0"/>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注册地址</w:t>
            </w:r>
          </w:p>
        </w:tc>
        <w:tc>
          <w:tcPr>
            <w:tcW w:w="6886" w:type="dxa"/>
            <w:gridSpan w:val="3"/>
            <w:tcBorders>
              <w:top w:val="single" w:color="auto" w:sz="4" w:space="0"/>
              <w:left w:val="single" w:color="auto" w:sz="4" w:space="0"/>
              <w:right w:val="single" w:color="auto" w:sz="4" w:space="0"/>
            </w:tcBorders>
            <w:shd w:val="clear" w:color="auto" w:fill="FFFFFF"/>
            <w:noWrap w:val="0"/>
            <w:vAlign w:val="center"/>
          </w:tcPr>
          <w:p w14:paraId="4846E06D">
            <w:pPr>
              <w:tabs>
                <w:tab w:val="left" w:pos="1401"/>
              </w:tabs>
              <w:spacing w:line="240" w:lineRule="atLeast"/>
              <w:ind w:firstLine="0" w:firstLineChars="0"/>
              <w:jc w:val="center"/>
              <w:rPr>
                <w:rFonts w:hint="eastAsia" w:ascii="黑体" w:hAnsi="黑体" w:eastAsia="黑体" w:cs="黑体"/>
                <w:color w:val="auto"/>
                <w:sz w:val="21"/>
                <w:szCs w:val="21"/>
                <w:highlight w:val="none"/>
              </w:rPr>
            </w:pPr>
          </w:p>
        </w:tc>
      </w:tr>
      <w:tr w14:paraId="63CBAC63">
        <w:tblPrEx>
          <w:tblCellMar>
            <w:top w:w="0" w:type="dxa"/>
            <w:left w:w="10" w:type="dxa"/>
            <w:bottom w:w="0" w:type="dxa"/>
            <w:right w:w="10" w:type="dxa"/>
          </w:tblCellMar>
        </w:tblPrEx>
        <w:trPr>
          <w:trHeight w:val="431" w:hRule="atLeast"/>
        </w:trPr>
        <w:tc>
          <w:tcPr>
            <w:tcW w:w="1464" w:type="dxa"/>
            <w:tcBorders>
              <w:top w:val="single" w:color="auto" w:sz="4" w:space="0"/>
              <w:left w:val="single" w:color="auto" w:sz="4" w:space="0"/>
            </w:tcBorders>
            <w:shd w:val="clear" w:color="auto" w:fill="FFFFFF"/>
            <w:noWrap w:val="0"/>
            <w:vAlign w:val="center"/>
          </w:tcPr>
          <w:p w14:paraId="09B6E862">
            <w:pPr>
              <w:tabs>
                <w:tab w:val="left" w:pos="1401"/>
              </w:tabs>
              <w:spacing w:line="240" w:lineRule="atLeast"/>
              <w:ind w:firstLine="0" w:firstLineChars="0"/>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营业地址</w:t>
            </w:r>
          </w:p>
        </w:tc>
        <w:tc>
          <w:tcPr>
            <w:tcW w:w="6886" w:type="dxa"/>
            <w:gridSpan w:val="3"/>
            <w:tcBorders>
              <w:top w:val="single" w:color="auto" w:sz="4" w:space="0"/>
              <w:left w:val="single" w:color="auto" w:sz="4" w:space="0"/>
              <w:right w:val="single" w:color="auto" w:sz="4" w:space="0"/>
            </w:tcBorders>
            <w:shd w:val="clear" w:color="auto" w:fill="FFFFFF"/>
            <w:noWrap w:val="0"/>
            <w:vAlign w:val="center"/>
          </w:tcPr>
          <w:p w14:paraId="0660B338">
            <w:pPr>
              <w:tabs>
                <w:tab w:val="left" w:pos="1401"/>
              </w:tabs>
              <w:spacing w:line="240" w:lineRule="atLeast"/>
              <w:ind w:firstLine="0" w:firstLineChars="0"/>
              <w:jc w:val="center"/>
              <w:rPr>
                <w:rFonts w:hint="eastAsia" w:ascii="黑体" w:hAnsi="黑体" w:eastAsia="黑体" w:cs="黑体"/>
                <w:color w:val="auto"/>
                <w:sz w:val="21"/>
                <w:szCs w:val="21"/>
                <w:highlight w:val="none"/>
              </w:rPr>
            </w:pPr>
          </w:p>
        </w:tc>
      </w:tr>
      <w:tr w14:paraId="4965C3CB">
        <w:tblPrEx>
          <w:tblCellMar>
            <w:top w:w="0" w:type="dxa"/>
            <w:left w:w="10" w:type="dxa"/>
            <w:bottom w:w="0" w:type="dxa"/>
            <w:right w:w="10" w:type="dxa"/>
          </w:tblCellMar>
        </w:tblPrEx>
        <w:trPr>
          <w:trHeight w:val="621" w:hRule="exact"/>
        </w:trPr>
        <w:tc>
          <w:tcPr>
            <w:tcW w:w="1464" w:type="dxa"/>
            <w:tcBorders>
              <w:top w:val="single" w:color="auto" w:sz="4" w:space="0"/>
              <w:left w:val="single" w:color="auto" w:sz="4" w:space="0"/>
            </w:tcBorders>
            <w:shd w:val="clear" w:color="auto" w:fill="FFFFFF"/>
            <w:noWrap w:val="0"/>
            <w:vAlign w:val="center"/>
          </w:tcPr>
          <w:p w14:paraId="31B047D3">
            <w:pPr>
              <w:tabs>
                <w:tab w:val="left" w:pos="1401"/>
              </w:tabs>
              <w:spacing w:line="240" w:lineRule="atLeast"/>
              <w:ind w:firstLine="0" w:firstLineChars="0"/>
              <w:jc w:val="center"/>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法定代表人</w:t>
            </w:r>
          </w:p>
        </w:tc>
        <w:tc>
          <w:tcPr>
            <w:tcW w:w="2496" w:type="dxa"/>
            <w:tcBorders>
              <w:top w:val="single" w:color="auto" w:sz="4" w:space="0"/>
              <w:left w:val="single" w:color="auto" w:sz="4" w:space="0"/>
            </w:tcBorders>
            <w:shd w:val="clear" w:color="auto" w:fill="FFFFFF"/>
            <w:noWrap w:val="0"/>
            <w:vAlign w:val="center"/>
          </w:tcPr>
          <w:p w14:paraId="7D83194A">
            <w:pPr>
              <w:tabs>
                <w:tab w:val="left" w:pos="1401"/>
              </w:tabs>
              <w:spacing w:line="240" w:lineRule="atLeast"/>
              <w:ind w:firstLine="0" w:firstLineChars="0"/>
              <w:jc w:val="center"/>
              <w:rPr>
                <w:rFonts w:hint="eastAsia" w:ascii="黑体" w:hAnsi="黑体" w:eastAsia="黑体" w:cs="黑体"/>
                <w:color w:val="auto"/>
                <w:sz w:val="21"/>
                <w:szCs w:val="21"/>
                <w:highlight w:val="none"/>
              </w:rPr>
            </w:pPr>
          </w:p>
        </w:tc>
        <w:tc>
          <w:tcPr>
            <w:tcW w:w="1818" w:type="dxa"/>
            <w:tcBorders>
              <w:top w:val="single" w:color="auto" w:sz="4" w:space="0"/>
              <w:left w:val="single" w:color="auto" w:sz="4" w:space="0"/>
              <w:right w:val="single" w:color="auto" w:sz="4" w:space="0"/>
            </w:tcBorders>
            <w:shd w:val="clear" w:color="auto" w:fill="FFFFFF"/>
            <w:noWrap w:val="0"/>
            <w:vAlign w:val="center"/>
          </w:tcPr>
          <w:p w14:paraId="65E68E42">
            <w:pPr>
              <w:tabs>
                <w:tab w:val="left" w:pos="1401"/>
              </w:tabs>
              <w:spacing w:line="240" w:lineRule="atLeast"/>
              <w:ind w:firstLine="0" w:firstLineChars="0"/>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邮政编码</w:t>
            </w:r>
          </w:p>
        </w:tc>
        <w:tc>
          <w:tcPr>
            <w:tcW w:w="2572" w:type="dxa"/>
            <w:tcBorders>
              <w:top w:val="single" w:color="auto" w:sz="4" w:space="0"/>
              <w:left w:val="single" w:color="auto" w:sz="4" w:space="0"/>
              <w:right w:val="single" w:color="auto" w:sz="4" w:space="0"/>
            </w:tcBorders>
            <w:shd w:val="clear" w:color="auto" w:fill="FFFFFF"/>
            <w:noWrap w:val="0"/>
            <w:vAlign w:val="center"/>
          </w:tcPr>
          <w:p w14:paraId="5D3CD175">
            <w:pPr>
              <w:tabs>
                <w:tab w:val="left" w:pos="1401"/>
              </w:tabs>
              <w:spacing w:line="240" w:lineRule="atLeast"/>
              <w:ind w:firstLine="0" w:firstLineChars="0"/>
              <w:jc w:val="center"/>
              <w:rPr>
                <w:rFonts w:hint="eastAsia" w:ascii="黑体" w:hAnsi="黑体" w:eastAsia="黑体" w:cs="黑体"/>
                <w:color w:val="auto"/>
                <w:sz w:val="21"/>
                <w:szCs w:val="21"/>
                <w:highlight w:val="none"/>
              </w:rPr>
            </w:pPr>
          </w:p>
        </w:tc>
      </w:tr>
      <w:tr w14:paraId="04484DCE">
        <w:tblPrEx>
          <w:tblCellMar>
            <w:top w:w="0" w:type="dxa"/>
            <w:left w:w="10" w:type="dxa"/>
            <w:bottom w:w="0" w:type="dxa"/>
            <w:right w:w="10" w:type="dxa"/>
          </w:tblCellMar>
        </w:tblPrEx>
        <w:trPr>
          <w:trHeight w:val="431" w:hRule="atLeast"/>
        </w:trPr>
        <w:tc>
          <w:tcPr>
            <w:tcW w:w="1464" w:type="dxa"/>
            <w:tcBorders>
              <w:top w:val="single" w:color="auto" w:sz="4" w:space="0"/>
              <w:left w:val="single" w:color="auto" w:sz="4" w:space="0"/>
            </w:tcBorders>
            <w:shd w:val="clear" w:color="auto" w:fill="FFFFFF"/>
            <w:noWrap w:val="0"/>
            <w:vAlign w:val="center"/>
          </w:tcPr>
          <w:p w14:paraId="2EEEA00E">
            <w:pPr>
              <w:tabs>
                <w:tab w:val="left" w:pos="1401"/>
              </w:tabs>
              <w:spacing w:line="240" w:lineRule="atLeast"/>
              <w:ind w:firstLine="0" w:firstLineChars="0"/>
              <w:jc w:val="center"/>
              <w:rPr>
                <w:rFonts w:hint="eastAsia" w:ascii="黑体" w:hAnsi="黑体" w:eastAsia="黑体" w:cs="黑体"/>
                <w:color w:val="auto"/>
                <w:sz w:val="21"/>
                <w:szCs w:val="21"/>
                <w:highlight w:val="none"/>
                <w:lang w:eastAsia="zh-CN"/>
              </w:rPr>
            </w:pPr>
            <w:r>
              <w:rPr>
                <w:rFonts w:hint="eastAsia" w:ascii="黑体" w:hAnsi="黑体" w:eastAsia="黑体" w:cs="黑体"/>
                <w:color w:val="auto"/>
                <w:sz w:val="21"/>
                <w:szCs w:val="21"/>
                <w:highlight w:val="none"/>
                <w:lang w:val="en-US" w:eastAsia="zh-CN"/>
              </w:rPr>
              <w:t>联系人</w:t>
            </w:r>
          </w:p>
        </w:tc>
        <w:tc>
          <w:tcPr>
            <w:tcW w:w="2496" w:type="dxa"/>
            <w:tcBorders>
              <w:top w:val="single" w:color="auto" w:sz="4" w:space="0"/>
              <w:left w:val="single" w:color="auto" w:sz="4" w:space="0"/>
            </w:tcBorders>
            <w:shd w:val="clear" w:color="auto" w:fill="FFFFFF"/>
            <w:noWrap w:val="0"/>
            <w:vAlign w:val="top"/>
          </w:tcPr>
          <w:p w14:paraId="42DEB0CD">
            <w:pPr>
              <w:tabs>
                <w:tab w:val="left" w:pos="1401"/>
              </w:tabs>
              <w:spacing w:line="240" w:lineRule="atLeast"/>
              <w:ind w:firstLine="0" w:firstLineChars="0"/>
              <w:jc w:val="center"/>
              <w:rPr>
                <w:rFonts w:hint="eastAsia" w:ascii="黑体" w:hAnsi="黑体" w:eastAsia="黑体" w:cs="黑体"/>
                <w:color w:val="auto"/>
                <w:sz w:val="21"/>
                <w:szCs w:val="21"/>
                <w:highlight w:val="none"/>
              </w:rPr>
            </w:pPr>
          </w:p>
        </w:tc>
        <w:tc>
          <w:tcPr>
            <w:tcW w:w="1818" w:type="dxa"/>
            <w:tcBorders>
              <w:top w:val="single" w:color="auto" w:sz="4" w:space="0"/>
              <w:left w:val="single" w:color="auto" w:sz="4" w:space="0"/>
            </w:tcBorders>
            <w:shd w:val="clear" w:color="auto" w:fill="FFFFFF"/>
            <w:noWrap w:val="0"/>
            <w:vAlign w:val="center"/>
          </w:tcPr>
          <w:p w14:paraId="09231609">
            <w:pPr>
              <w:tabs>
                <w:tab w:val="left" w:pos="1401"/>
              </w:tabs>
              <w:spacing w:line="240" w:lineRule="atLeast"/>
              <w:ind w:firstLine="0" w:firstLineChars="0"/>
              <w:jc w:val="center"/>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联系方式</w:t>
            </w:r>
          </w:p>
        </w:tc>
        <w:tc>
          <w:tcPr>
            <w:tcW w:w="2572" w:type="dxa"/>
            <w:tcBorders>
              <w:top w:val="single" w:color="auto" w:sz="4" w:space="0"/>
              <w:left w:val="single" w:color="auto" w:sz="4" w:space="0"/>
              <w:right w:val="single" w:color="auto" w:sz="4" w:space="0"/>
            </w:tcBorders>
            <w:shd w:val="clear" w:color="auto" w:fill="FFFFFF"/>
            <w:noWrap w:val="0"/>
            <w:vAlign w:val="center"/>
          </w:tcPr>
          <w:p w14:paraId="12205B29">
            <w:pPr>
              <w:tabs>
                <w:tab w:val="left" w:pos="1401"/>
              </w:tabs>
              <w:spacing w:line="240" w:lineRule="atLeast"/>
              <w:ind w:firstLine="0" w:firstLineChars="0"/>
              <w:jc w:val="center"/>
              <w:rPr>
                <w:rFonts w:hint="eastAsia" w:ascii="黑体" w:hAnsi="黑体" w:eastAsia="黑体" w:cs="黑体"/>
                <w:color w:val="auto"/>
                <w:sz w:val="21"/>
                <w:szCs w:val="21"/>
                <w:highlight w:val="none"/>
              </w:rPr>
            </w:pPr>
          </w:p>
        </w:tc>
      </w:tr>
      <w:tr w14:paraId="1A407674">
        <w:tblPrEx>
          <w:tblCellMar>
            <w:top w:w="0" w:type="dxa"/>
            <w:left w:w="10" w:type="dxa"/>
            <w:bottom w:w="0" w:type="dxa"/>
            <w:right w:w="10" w:type="dxa"/>
          </w:tblCellMar>
        </w:tblPrEx>
        <w:trPr>
          <w:trHeight w:val="431" w:hRule="atLeast"/>
        </w:trPr>
        <w:tc>
          <w:tcPr>
            <w:tcW w:w="8350" w:type="dxa"/>
            <w:gridSpan w:val="4"/>
            <w:tcBorders>
              <w:top w:val="single" w:color="auto" w:sz="4" w:space="0"/>
              <w:left w:val="single" w:color="auto" w:sz="4" w:space="0"/>
              <w:right w:val="single" w:color="auto" w:sz="4" w:space="0"/>
            </w:tcBorders>
            <w:shd w:val="clear" w:color="auto" w:fill="FFFFFF"/>
            <w:noWrap w:val="0"/>
            <w:vAlign w:val="center"/>
          </w:tcPr>
          <w:p w14:paraId="0FC492D6">
            <w:pPr>
              <w:tabs>
                <w:tab w:val="left" w:pos="1401"/>
              </w:tabs>
              <w:spacing w:line="240" w:lineRule="atLeast"/>
              <w:ind w:firstLine="0" w:firstLineChars="0"/>
              <w:jc w:val="center"/>
              <w:rPr>
                <w:rFonts w:hint="eastAsia" w:ascii="黑体" w:hAnsi="黑体" w:eastAsia="黑体" w:cs="黑体"/>
                <w:color w:val="auto"/>
                <w:sz w:val="21"/>
                <w:szCs w:val="21"/>
                <w:highlight w:val="none"/>
              </w:rPr>
            </w:pPr>
            <w:r>
              <w:rPr>
                <w:rFonts w:hint="eastAsia" w:ascii="黑体" w:hAnsi="黑体" w:eastAsia="黑体" w:cs="黑体"/>
                <w:b/>
                <w:bCs/>
                <w:color w:val="auto"/>
                <w:sz w:val="21"/>
                <w:szCs w:val="21"/>
                <w:highlight w:val="none"/>
              </w:rPr>
              <w:t>异议信息描述</w:t>
            </w:r>
          </w:p>
        </w:tc>
      </w:tr>
      <w:tr w14:paraId="51C3792B">
        <w:tblPrEx>
          <w:tblCellMar>
            <w:top w:w="0" w:type="dxa"/>
            <w:left w:w="10" w:type="dxa"/>
            <w:bottom w:w="0" w:type="dxa"/>
            <w:right w:w="10" w:type="dxa"/>
          </w:tblCellMar>
        </w:tblPrEx>
        <w:trPr>
          <w:trHeight w:val="2246" w:hRule="exact"/>
        </w:trPr>
        <w:tc>
          <w:tcPr>
            <w:tcW w:w="8350" w:type="dxa"/>
            <w:gridSpan w:val="4"/>
            <w:tcBorders>
              <w:top w:val="single" w:color="auto" w:sz="4" w:space="0"/>
              <w:left w:val="single" w:color="auto" w:sz="4" w:space="0"/>
              <w:right w:val="single" w:color="auto" w:sz="4" w:space="0"/>
            </w:tcBorders>
            <w:shd w:val="clear" w:color="auto" w:fill="FFFFFF"/>
            <w:noWrap w:val="0"/>
            <w:vAlign w:val="top"/>
          </w:tcPr>
          <w:p w14:paraId="522ACAEB">
            <w:pPr>
              <w:tabs>
                <w:tab w:val="left" w:pos="1401"/>
              </w:tabs>
              <w:spacing w:line="240" w:lineRule="atLeast"/>
              <w:ind w:firstLine="0" w:firstLineChars="0"/>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(请详细填写异议信息事项，并准确描述异议原因及相关依据）</w:t>
            </w:r>
          </w:p>
        </w:tc>
      </w:tr>
      <w:tr w14:paraId="37881622">
        <w:tblPrEx>
          <w:tblCellMar>
            <w:top w:w="0" w:type="dxa"/>
            <w:left w:w="10" w:type="dxa"/>
            <w:bottom w:w="0" w:type="dxa"/>
            <w:right w:w="10" w:type="dxa"/>
          </w:tblCellMar>
        </w:tblPrEx>
        <w:trPr>
          <w:trHeight w:val="1857" w:hRule="exact"/>
        </w:trPr>
        <w:tc>
          <w:tcPr>
            <w:tcW w:w="1464" w:type="dxa"/>
            <w:tcBorders>
              <w:top w:val="single" w:color="auto" w:sz="4" w:space="0"/>
              <w:left w:val="single" w:color="auto" w:sz="4" w:space="0"/>
              <w:bottom w:val="single" w:color="auto" w:sz="4" w:space="0"/>
            </w:tcBorders>
            <w:shd w:val="clear" w:color="auto" w:fill="FFFFFF"/>
            <w:noWrap w:val="0"/>
            <w:vAlign w:val="center"/>
          </w:tcPr>
          <w:p w14:paraId="1B886384">
            <w:pPr>
              <w:tabs>
                <w:tab w:val="left" w:pos="1401"/>
              </w:tabs>
              <w:spacing w:line="240" w:lineRule="atLeast"/>
              <w:ind w:firstLine="0" w:firstLineChars="0"/>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验证材料</w:t>
            </w:r>
          </w:p>
        </w:tc>
        <w:tc>
          <w:tcPr>
            <w:tcW w:w="6886"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14:paraId="57881673">
            <w:pPr>
              <w:tabs>
                <w:tab w:val="left" w:pos="1401"/>
              </w:tabs>
              <w:spacing w:line="240" w:lineRule="atLeast"/>
              <w:ind w:firstLine="0" w:firstLineChars="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□营业执照副本复印件（加盖公章）</w:t>
            </w:r>
          </w:p>
          <w:p w14:paraId="28C316AB">
            <w:pPr>
              <w:tabs>
                <w:tab w:val="left" w:pos="1401"/>
              </w:tabs>
              <w:spacing w:line="240" w:lineRule="atLeast"/>
              <w:ind w:firstLine="0" w:firstLineChars="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□授权委托书（加盖公章）</w:t>
            </w:r>
          </w:p>
          <w:p w14:paraId="0017C678">
            <w:pPr>
              <w:tabs>
                <w:tab w:val="left" w:pos="1401"/>
              </w:tabs>
              <w:spacing w:line="240" w:lineRule="atLeast"/>
              <w:ind w:firstLine="0" w:firstLineChars="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□代理人身份证原件及复印件（加盖公章）</w:t>
            </w:r>
          </w:p>
          <w:p w14:paraId="262844D1">
            <w:pPr>
              <w:tabs>
                <w:tab w:val="left" w:pos="1401"/>
              </w:tabs>
              <w:spacing w:line="240" w:lineRule="atLeast"/>
              <w:ind w:firstLine="0" w:firstLineChars="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□法定代表人身份证复印件（加盖公章）</w:t>
            </w:r>
          </w:p>
          <w:p w14:paraId="304F2940">
            <w:pPr>
              <w:tabs>
                <w:tab w:val="left" w:pos="1401"/>
              </w:tabs>
              <w:spacing w:line="240" w:lineRule="atLeast"/>
              <w:ind w:firstLine="0" w:firstLineChars="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□异议申请相关依据</w:t>
            </w:r>
          </w:p>
          <w:p w14:paraId="10051A27">
            <w:pPr>
              <w:tabs>
                <w:tab w:val="left" w:pos="1401"/>
              </w:tabs>
              <w:spacing w:line="240" w:lineRule="atLeast"/>
              <w:ind w:firstLine="0" w:firstLineChars="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□其他（如有，请填写）：</w:t>
            </w:r>
          </w:p>
        </w:tc>
      </w:tr>
      <w:tr w14:paraId="0BF13876">
        <w:tblPrEx>
          <w:tblCellMar>
            <w:top w:w="0" w:type="dxa"/>
            <w:left w:w="10" w:type="dxa"/>
            <w:bottom w:w="0" w:type="dxa"/>
            <w:right w:w="10" w:type="dxa"/>
          </w:tblCellMar>
        </w:tblPrEx>
        <w:trPr>
          <w:trHeight w:val="3257" w:hRule="exact"/>
        </w:trPr>
        <w:tc>
          <w:tcPr>
            <w:tcW w:w="8350" w:type="dxa"/>
            <w:gridSpan w:val="4"/>
            <w:tcBorders>
              <w:top w:val="single" w:color="auto" w:sz="4" w:space="0"/>
              <w:left w:val="single" w:color="auto" w:sz="4" w:space="0"/>
              <w:bottom w:val="single" w:color="auto" w:sz="4" w:space="0"/>
              <w:right w:val="single" w:color="auto" w:sz="4" w:space="0"/>
            </w:tcBorders>
            <w:shd w:val="clear" w:color="auto" w:fill="FFFFFF"/>
            <w:noWrap w:val="0"/>
            <w:vAlign w:val="top"/>
          </w:tcPr>
          <w:p w14:paraId="05817AB8">
            <w:pPr>
              <w:tabs>
                <w:tab w:val="left" w:pos="1401"/>
              </w:tabs>
              <w:spacing w:line="240" w:lineRule="atLeast"/>
              <w:ind w:firstLine="0" w:firstLineChars="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申请</w:t>
            </w:r>
            <w:r>
              <w:rPr>
                <w:rFonts w:hint="eastAsia" w:ascii="黑体" w:hAnsi="黑体" w:eastAsia="黑体" w:cs="黑体"/>
                <w:color w:val="auto"/>
                <w:sz w:val="21"/>
                <w:szCs w:val="21"/>
                <w:highlight w:val="none"/>
                <w:lang w:val="en-US" w:eastAsia="zh-CN"/>
              </w:rPr>
              <w:t>单位（</w:t>
            </w:r>
            <w:r>
              <w:rPr>
                <w:rFonts w:hint="eastAsia" w:ascii="黑体" w:hAnsi="黑体" w:eastAsia="黑体" w:cs="黑体"/>
                <w:color w:val="auto"/>
                <w:sz w:val="21"/>
                <w:szCs w:val="21"/>
                <w:highlight w:val="none"/>
              </w:rPr>
              <w:t>人</w:t>
            </w:r>
            <w:r>
              <w:rPr>
                <w:rFonts w:hint="eastAsia" w:ascii="黑体" w:hAnsi="黑体" w:eastAsia="黑体" w:cs="黑体"/>
                <w:color w:val="auto"/>
                <w:sz w:val="21"/>
                <w:szCs w:val="21"/>
                <w:highlight w:val="none"/>
                <w:lang w:val="en-US" w:eastAsia="zh-CN"/>
              </w:rPr>
              <w:t>）</w:t>
            </w:r>
            <w:r>
              <w:rPr>
                <w:rFonts w:hint="eastAsia" w:ascii="黑体" w:hAnsi="黑体" w:eastAsia="黑体" w:cs="黑体"/>
                <w:color w:val="auto"/>
                <w:sz w:val="21"/>
                <w:szCs w:val="21"/>
                <w:highlight w:val="none"/>
              </w:rPr>
              <w:t>承诺：</w:t>
            </w:r>
          </w:p>
          <w:p w14:paraId="538735AF">
            <w:pPr>
              <w:tabs>
                <w:tab w:val="left" w:pos="1401"/>
              </w:tabs>
              <w:spacing w:line="240" w:lineRule="atLeast"/>
              <w:ind w:firstLine="0" w:firstLineChars="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本人提交的所有申请材料真实有效。</w:t>
            </w:r>
          </w:p>
          <w:p w14:paraId="0FD71C44">
            <w:pPr>
              <w:tabs>
                <w:tab w:val="left" w:pos="1401"/>
              </w:tabs>
              <w:spacing w:line="240" w:lineRule="atLeast"/>
              <w:ind w:firstLine="0" w:firstLineChars="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 xml:space="preserve">                                                     </w:t>
            </w:r>
          </w:p>
          <w:p w14:paraId="109557D1">
            <w:pPr>
              <w:tabs>
                <w:tab w:val="left" w:pos="1401"/>
              </w:tabs>
              <w:spacing w:line="240" w:lineRule="atLeast"/>
              <w:ind w:firstLine="0" w:firstLineChars="0"/>
              <w:rPr>
                <w:rFonts w:hint="eastAsia" w:ascii="黑体" w:hAnsi="黑体" w:eastAsia="黑体" w:cs="黑体"/>
                <w:color w:val="auto"/>
                <w:sz w:val="21"/>
                <w:szCs w:val="21"/>
                <w:highlight w:val="none"/>
              </w:rPr>
            </w:pPr>
          </w:p>
          <w:p w14:paraId="26A707CA">
            <w:pPr>
              <w:tabs>
                <w:tab w:val="left" w:pos="1401"/>
              </w:tabs>
              <w:spacing w:line="240" w:lineRule="atLeast"/>
              <w:ind w:firstLine="0" w:firstLineChars="0"/>
              <w:rPr>
                <w:rFonts w:hint="eastAsia" w:ascii="黑体" w:hAnsi="黑体" w:eastAsia="黑体" w:cs="黑体"/>
                <w:color w:val="auto"/>
                <w:sz w:val="21"/>
                <w:szCs w:val="21"/>
                <w:highlight w:val="none"/>
              </w:rPr>
            </w:pPr>
          </w:p>
          <w:p w14:paraId="29D6918C">
            <w:pPr>
              <w:tabs>
                <w:tab w:val="left" w:pos="1401"/>
              </w:tabs>
              <w:spacing w:line="240" w:lineRule="atLeast"/>
              <w:ind w:firstLine="0" w:firstLineChars="0"/>
              <w:rPr>
                <w:rFonts w:hint="eastAsia" w:ascii="黑体" w:hAnsi="黑体" w:eastAsia="黑体" w:cs="黑体"/>
                <w:color w:val="auto"/>
                <w:sz w:val="21"/>
                <w:szCs w:val="21"/>
                <w:highlight w:val="none"/>
              </w:rPr>
            </w:pPr>
          </w:p>
          <w:p w14:paraId="55FB1C86">
            <w:pPr>
              <w:tabs>
                <w:tab w:val="left" w:pos="1401"/>
              </w:tabs>
              <w:spacing w:line="240" w:lineRule="atLeast"/>
              <w:ind w:firstLine="0" w:firstLineChars="0"/>
              <w:rPr>
                <w:rFonts w:hint="eastAsia" w:ascii="黑体" w:hAnsi="黑体" w:eastAsia="黑体" w:cs="黑体"/>
                <w:color w:val="auto"/>
                <w:sz w:val="21"/>
                <w:szCs w:val="21"/>
                <w:highlight w:val="none"/>
              </w:rPr>
            </w:pPr>
          </w:p>
          <w:p w14:paraId="0DDC341D">
            <w:pPr>
              <w:tabs>
                <w:tab w:val="left" w:pos="1401"/>
              </w:tabs>
              <w:spacing w:line="240" w:lineRule="atLeast"/>
              <w:ind w:firstLine="0" w:firstLineChars="0"/>
              <w:jc w:val="right"/>
              <w:rPr>
                <w:rFonts w:hint="eastAsia" w:ascii="黑体" w:hAnsi="黑体" w:eastAsia="黑体" w:cs="黑体"/>
                <w:color w:val="auto"/>
                <w:sz w:val="21"/>
                <w:szCs w:val="21"/>
                <w:highlight w:val="none"/>
              </w:rPr>
            </w:pPr>
          </w:p>
          <w:p w14:paraId="2968D24E">
            <w:pPr>
              <w:tabs>
                <w:tab w:val="left" w:pos="1401"/>
              </w:tabs>
              <w:spacing w:line="240" w:lineRule="atLeast"/>
              <w:ind w:firstLine="5040" w:firstLineChars="2400"/>
              <w:jc w:val="both"/>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申请</w:t>
            </w:r>
            <w:r>
              <w:rPr>
                <w:rFonts w:hint="eastAsia" w:ascii="黑体" w:hAnsi="黑体" w:eastAsia="黑体" w:cs="黑体"/>
                <w:color w:val="auto"/>
                <w:sz w:val="21"/>
                <w:szCs w:val="21"/>
                <w:highlight w:val="none"/>
                <w:lang w:val="en-US" w:eastAsia="zh-CN"/>
              </w:rPr>
              <w:t>单位（</w:t>
            </w:r>
            <w:r>
              <w:rPr>
                <w:rFonts w:hint="eastAsia" w:ascii="黑体" w:hAnsi="黑体" w:eastAsia="黑体" w:cs="黑体"/>
                <w:color w:val="auto"/>
                <w:sz w:val="21"/>
                <w:szCs w:val="21"/>
                <w:highlight w:val="none"/>
              </w:rPr>
              <w:t>人</w:t>
            </w:r>
            <w:r>
              <w:rPr>
                <w:rFonts w:hint="eastAsia" w:ascii="黑体" w:hAnsi="黑体" w:eastAsia="黑体" w:cs="黑体"/>
                <w:color w:val="auto"/>
                <w:sz w:val="21"/>
                <w:szCs w:val="21"/>
                <w:highlight w:val="none"/>
                <w:lang w:val="en-US" w:eastAsia="zh-CN"/>
              </w:rPr>
              <w:t>）</w:t>
            </w:r>
            <w:r>
              <w:rPr>
                <w:rFonts w:hint="eastAsia" w:ascii="黑体" w:hAnsi="黑体" w:eastAsia="黑体" w:cs="黑体"/>
                <w:color w:val="auto"/>
                <w:sz w:val="21"/>
                <w:szCs w:val="21"/>
                <w:highlight w:val="none"/>
              </w:rPr>
              <w:t>签</w:t>
            </w:r>
            <w:r>
              <w:rPr>
                <w:rFonts w:hint="eastAsia" w:ascii="黑体" w:hAnsi="黑体" w:eastAsia="黑体" w:cs="黑体"/>
                <w:color w:val="auto"/>
                <w:sz w:val="21"/>
                <w:szCs w:val="21"/>
                <w:highlight w:val="none"/>
                <w:lang w:val="en-US" w:eastAsia="zh-CN"/>
              </w:rPr>
              <w:t>章</w:t>
            </w:r>
            <w:r>
              <w:rPr>
                <w:rFonts w:hint="eastAsia" w:ascii="黑体" w:hAnsi="黑体" w:eastAsia="黑体" w:cs="黑体"/>
                <w:color w:val="auto"/>
                <w:sz w:val="21"/>
                <w:szCs w:val="21"/>
                <w:highlight w:val="none"/>
              </w:rPr>
              <w:t>：</w:t>
            </w:r>
          </w:p>
          <w:p w14:paraId="663C81C9">
            <w:pPr>
              <w:tabs>
                <w:tab w:val="left" w:pos="1401"/>
              </w:tabs>
              <w:spacing w:line="240" w:lineRule="atLeast"/>
              <w:ind w:firstLine="5040" w:firstLineChars="2400"/>
              <w:jc w:val="both"/>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日期：</w:t>
            </w:r>
          </w:p>
        </w:tc>
      </w:tr>
    </w:tbl>
    <w:p w14:paraId="3D9388EB">
      <w:pPr>
        <w:bidi w:val="0"/>
        <w:ind w:left="0" w:leftChars="0" w:firstLine="0" w:firstLineChars="0"/>
        <w:rPr>
          <w:rFonts w:hint="default" w:ascii="Times New Roman" w:hAnsi="Times New Roman" w:eastAsia="仿宋_GB2312" w:cs="Times New Roman"/>
          <w:color w:val="auto"/>
          <w:sz w:val="32"/>
          <w:szCs w:val="32"/>
          <w:highlight w:val="none"/>
          <w:lang w:val="en-US" w:eastAsia="zh-CN"/>
        </w:rPr>
      </w:pPr>
      <w:bookmarkStart w:id="15" w:name="_Toc23850"/>
      <w:bookmarkStart w:id="16" w:name="_Toc3528"/>
      <w:bookmarkStart w:id="17" w:name="_Toc25678"/>
      <w:bookmarkStart w:id="18" w:name="_Toc12750"/>
      <w:bookmarkStart w:id="19" w:name="_Toc26604"/>
      <w:bookmarkStart w:id="20" w:name="_Toc954"/>
    </w:p>
    <w:p w14:paraId="73C3AA09">
      <w:pPr>
        <w:pStyle w:val="2"/>
        <w:rPr>
          <w:rFonts w:hint="default" w:ascii="Times New Roman" w:hAnsi="Times New Roman" w:eastAsia="仿宋_GB2312" w:cs="Times New Roman"/>
          <w:color w:val="auto"/>
          <w:sz w:val="32"/>
          <w:szCs w:val="32"/>
          <w:highlight w:val="none"/>
          <w:lang w:val="en-US" w:eastAsia="zh-CN"/>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bookmarkEnd w:id="15"/>
    <w:bookmarkEnd w:id="16"/>
    <w:bookmarkEnd w:id="17"/>
    <w:bookmarkEnd w:id="18"/>
    <w:bookmarkEnd w:id="19"/>
    <w:bookmarkEnd w:id="20"/>
    <w:p w14:paraId="46C2FBA8">
      <w:pPr>
        <w:rPr>
          <w:rFonts w:hint="eastAsia" w:ascii="黑体" w:hAnsi="黑体" w:eastAsia="黑体" w:cs="黑体"/>
          <w:bCs w:val="0"/>
          <w:snapToGrid w:val="0"/>
          <w:color w:val="auto"/>
          <w:sz w:val="32"/>
          <w:szCs w:val="32"/>
          <w:highlight w:val="none"/>
          <w:lang w:val="en-US" w:eastAsia="zh-CN" w:bidi="ar-SA"/>
        </w:rPr>
      </w:pPr>
    </w:p>
    <w:sectPr>
      <w:headerReference r:id="rId7" w:type="default"/>
      <w:footerReference r:id="rId8" w:type="default"/>
      <w:pgSz w:w="16838" w:h="11906" w:orient="landscape"/>
      <w:pgMar w:top="1587" w:right="2098" w:bottom="1474" w:left="198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7C1295-00A4-4641-94CC-18EE7E6CBE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2" w:fontKey="{7829BC94-A19C-4E2A-AFAB-25B553ECC5CC}"/>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embedRegular r:id="rId3" w:fontKey="{80CA534C-7271-4ABE-87F7-F73180BD87EE}"/>
  </w:font>
  <w:font w:name="楷体_GB2312">
    <w:panose1 w:val="02010609030101010101"/>
    <w:charset w:val="86"/>
    <w:family w:val="modern"/>
    <w:pitch w:val="default"/>
    <w:sig w:usb0="00000001" w:usb1="080E0000" w:usb2="00000000" w:usb3="00000000" w:csb0="00040000" w:csb1="00000000"/>
    <w:embedRegular r:id="rId4" w:fontKey="{D343B525-4F56-444A-91B5-DCF19680EF03}"/>
  </w:font>
  <w:font w:name="Calibri Light">
    <w:panose1 w:val="020F0302020204030204"/>
    <w:charset w:val="00"/>
    <w:family w:val="auto"/>
    <w:pitch w:val="default"/>
    <w:sig w:usb0="E4002EFF" w:usb1="C000247B" w:usb2="00000009" w:usb3="00000000" w:csb0="200001FF" w:csb1="00000000"/>
    <w:embedRegular r:id="rId5" w:fontKey="{543B26CA-414F-426F-B091-9857AC0C39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41A98">
    <w:pPr>
      <w:pStyle w:val="7"/>
      <w:rPr>
        <w:rFonts w:hint="eastAsia" w:ascii="宋体" w:hAnsi="宋体" w:eastAsia="宋体" w:cs="宋体"/>
      </w:rPr>
    </w:pPr>
    <w:r>
      <w:rPr>
        <w:rFonts w:hint="eastAsia" w:ascii="宋体" w:hAnsi="宋体" w:eastAsia="宋体" w:cs="宋体"/>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15382E">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6215382E">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7526E">
    <w:pPr>
      <w:pStyle w:val="7"/>
      <w:rPr>
        <w:rFonts w:ascii="宋体" w:hAnsi="宋体" w:eastAsia="宋体"/>
        <w:sz w:val="28"/>
        <w:szCs w:val="28"/>
      </w:rPr>
    </w:pPr>
  </w:p>
  <w:p w14:paraId="4C951961">
    <w:pPr>
      <w:pStyle w:val="7"/>
    </w:pPr>
    <w:r>
      <w:rPr>
        <w:snapToGrid/>
        <w:sz w:val="28"/>
      </w:rPr>
      <mc:AlternateContent>
        <mc:Choice Requires="wps">
          <w:drawing>
            <wp:anchor distT="0" distB="0" distL="114300" distR="114300" simplePos="0" relativeHeight="251660288" behindDoc="0" locked="0" layoutInCell="1" allowOverlap="1">
              <wp:simplePos x="0" y="0"/>
              <wp:positionH relativeFrom="margin">
                <wp:posOffset>33020</wp:posOffset>
              </wp:positionH>
              <wp:positionV relativeFrom="paragraph">
                <wp:posOffset>-95885</wp:posOffset>
              </wp:positionV>
              <wp:extent cx="521335" cy="506095"/>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521335" cy="506095"/>
                      </a:xfrm>
                      <a:prstGeom prst="rect">
                        <a:avLst/>
                      </a:prstGeom>
                      <a:noFill/>
                      <a:ln>
                        <a:noFill/>
                      </a:ln>
                      <a:effectLst/>
                    </wps:spPr>
                    <wps:txbx>
                      <w:txbxContent>
                        <w:p w14:paraId="7C8D63EE">
                          <w:pPr>
                            <w:pStyle w:val="7"/>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14:paraId="1D835CF6">
                          <w:pPr>
                            <w:pStyle w:val="10"/>
                            <w:ind w:firstLine="640"/>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2.6pt;margin-top:-7.55pt;height:39.85pt;width:41.05pt;mso-position-horizontal-relative:margin;mso-wrap-style:none;z-index:251660288;mso-width-relative:page;mso-height-relative:page;" filled="f" stroked="f" coordsize="21600,21600" o:gfxdata="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Jsr73UAAAABwEAAA8AAAAAAAAAAQAgAAAA&#10;IgAAAGRycy9kb3ducmV2LnhtbFBLAQIUABQAAAAIAIdO4kDHoQZIDwIAABIEAAAOAAAAAAAAAAEA&#10;IAAAACMBAABkcnMvZTJvRG9jLnhtbFBLBQYAAAAABgAGAFkBAACkBQAAAAA=&#10;">
              <v:fill on="f" focussize="0,0"/>
              <v:stroke on="f"/>
              <v:imagedata o:title=""/>
              <o:lock v:ext="edit" aspectratio="f"/>
              <v:textbox inset="0mm,0mm,0mm,0mm" style="mso-fit-shape-to-text:t;">
                <w:txbxContent>
                  <w:p w14:paraId="7C8D63EE">
                    <w:pPr>
                      <w:pStyle w:val="7"/>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14:paraId="1D835CF6">
                    <w:pPr>
                      <w:pStyle w:val="10"/>
                      <w:ind w:firstLine="640"/>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E49F8">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F8506A">
                          <w:pPr>
                            <w:pStyle w:val="7"/>
                            <w:ind w:firstLine="0" w:firstLineChars="0"/>
                            <w:jc w:val="both"/>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59F8506A">
                    <w:pPr>
                      <w:pStyle w:val="7"/>
                      <w:ind w:firstLine="0" w:firstLineChars="0"/>
                      <w:jc w:val="both"/>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- 23 -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79DAA">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533912">
                          <w:pPr>
                            <w:pStyle w:val="7"/>
                            <w:ind w:firstLine="0" w:firstLineChars="0"/>
                            <w:jc w:val="both"/>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6D533912">
                    <w:pPr>
                      <w:pStyle w:val="7"/>
                      <w:ind w:firstLine="0" w:firstLineChars="0"/>
                      <w:jc w:val="both"/>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- 26 -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91AC0">
    <w:pPr>
      <w:pStyle w:val="8"/>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D0704">
    <w:pPr>
      <w:pStyle w:val="8"/>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C93D4B"/>
    <w:multiLevelType w:val="singleLevel"/>
    <w:tmpl w:val="B2C93D4B"/>
    <w:lvl w:ilvl="0" w:tentative="0">
      <w:start w:val="1"/>
      <w:numFmt w:val="chineseCounting"/>
      <w:suff w:val="nothing"/>
      <w:lvlText w:val="（%1）"/>
      <w:lvlJc w:val="left"/>
      <w:rPr>
        <w:rFonts w:hint="eastAsia"/>
      </w:rPr>
    </w:lvl>
  </w:abstractNum>
  <w:abstractNum w:abstractNumId="1">
    <w:nsid w:val="D3191859"/>
    <w:multiLevelType w:val="singleLevel"/>
    <w:tmpl w:val="D3191859"/>
    <w:lvl w:ilvl="0" w:tentative="0">
      <w:start w:val="3"/>
      <w:numFmt w:val="chineseCounting"/>
      <w:suff w:val="space"/>
      <w:lvlText w:val="第%1章"/>
      <w:lvlJc w:val="left"/>
      <w:rPr>
        <w:rFonts w:hint="eastAsia"/>
      </w:rPr>
    </w:lvl>
  </w:abstractNum>
  <w:abstractNum w:abstractNumId="2">
    <w:nsid w:val="107A0162"/>
    <w:multiLevelType w:val="multilevel"/>
    <w:tmpl w:val="107A0162"/>
    <w:lvl w:ilvl="0" w:tentative="0">
      <w:start w:val="1"/>
      <w:numFmt w:val="chineseCounting"/>
      <w:suff w:val="space"/>
      <w:lvlText w:val="第%1条"/>
      <w:lvlJc w:val="left"/>
      <w:rPr>
        <w:rFonts w:hint="eastAsia" w:ascii="楷体_GB2312" w:hAnsi="楷体_GB2312" w:eastAsia="楷体_GB2312" w:cs="楷体_GB2312"/>
        <w:sz w:val="32"/>
        <w:szCs w:val="32"/>
        <w:lang w:val="en-US"/>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26F90897"/>
    <w:multiLevelType w:val="singleLevel"/>
    <w:tmpl w:val="26F9089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2ZDJkODZjZGJkZWMxZDY1MmI1MmRkODBmMzZlZWIifQ=="/>
  </w:docVars>
  <w:rsids>
    <w:rsidRoot w:val="00D85A80"/>
    <w:rsid w:val="00043144"/>
    <w:rsid w:val="00052F3E"/>
    <w:rsid w:val="0035433B"/>
    <w:rsid w:val="003C7F39"/>
    <w:rsid w:val="00481283"/>
    <w:rsid w:val="004E30C9"/>
    <w:rsid w:val="005417F6"/>
    <w:rsid w:val="00552B9B"/>
    <w:rsid w:val="007600EE"/>
    <w:rsid w:val="00764FEB"/>
    <w:rsid w:val="00895CB6"/>
    <w:rsid w:val="009C22F2"/>
    <w:rsid w:val="009F3AEC"/>
    <w:rsid w:val="00D85A80"/>
    <w:rsid w:val="00DA04D9"/>
    <w:rsid w:val="00DA2A83"/>
    <w:rsid w:val="00DD593F"/>
    <w:rsid w:val="00E77A3B"/>
    <w:rsid w:val="00EA5E95"/>
    <w:rsid w:val="00ED09F8"/>
    <w:rsid w:val="00F5028F"/>
    <w:rsid w:val="012A0989"/>
    <w:rsid w:val="01593AC8"/>
    <w:rsid w:val="01830099"/>
    <w:rsid w:val="01933A29"/>
    <w:rsid w:val="01934780"/>
    <w:rsid w:val="01BF0E69"/>
    <w:rsid w:val="01E925F2"/>
    <w:rsid w:val="0200793B"/>
    <w:rsid w:val="023418C3"/>
    <w:rsid w:val="029D33DC"/>
    <w:rsid w:val="02A75CC1"/>
    <w:rsid w:val="030B2A3C"/>
    <w:rsid w:val="0328539C"/>
    <w:rsid w:val="03342D85"/>
    <w:rsid w:val="03766107"/>
    <w:rsid w:val="03887BE8"/>
    <w:rsid w:val="038A1BB2"/>
    <w:rsid w:val="041476CE"/>
    <w:rsid w:val="04ED23F9"/>
    <w:rsid w:val="053F69CD"/>
    <w:rsid w:val="056106F1"/>
    <w:rsid w:val="058014BF"/>
    <w:rsid w:val="05872BAE"/>
    <w:rsid w:val="058F34B0"/>
    <w:rsid w:val="06304C93"/>
    <w:rsid w:val="065B5A88"/>
    <w:rsid w:val="06982838"/>
    <w:rsid w:val="06C21663"/>
    <w:rsid w:val="071A65B6"/>
    <w:rsid w:val="078F7797"/>
    <w:rsid w:val="07AC659B"/>
    <w:rsid w:val="08485B98"/>
    <w:rsid w:val="08636D8A"/>
    <w:rsid w:val="08B02172"/>
    <w:rsid w:val="08DC4C5E"/>
    <w:rsid w:val="093A7BD7"/>
    <w:rsid w:val="093C394F"/>
    <w:rsid w:val="098F1CD1"/>
    <w:rsid w:val="09CF4D4B"/>
    <w:rsid w:val="0A1B5312"/>
    <w:rsid w:val="0A481E7F"/>
    <w:rsid w:val="0A9B46A5"/>
    <w:rsid w:val="0AB45767"/>
    <w:rsid w:val="0AEB73DB"/>
    <w:rsid w:val="0AF81AF7"/>
    <w:rsid w:val="0B205AEB"/>
    <w:rsid w:val="0B867103"/>
    <w:rsid w:val="0B9F4A7B"/>
    <w:rsid w:val="0BE30852"/>
    <w:rsid w:val="0BEA7692"/>
    <w:rsid w:val="0C2B3807"/>
    <w:rsid w:val="0C512149"/>
    <w:rsid w:val="0C6D2071"/>
    <w:rsid w:val="0C6F7B97"/>
    <w:rsid w:val="0C7B02EA"/>
    <w:rsid w:val="0C811679"/>
    <w:rsid w:val="0CAF61E6"/>
    <w:rsid w:val="0D935BE0"/>
    <w:rsid w:val="0DAF0B93"/>
    <w:rsid w:val="0DB8556E"/>
    <w:rsid w:val="0DC13B67"/>
    <w:rsid w:val="0DE16873"/>
    <w:rsid w:val="0E921487"/>
    <w:rsid w:val="0EA578A0"/>
    <w:rsid w:val="0EED1247"/>
    <w:rsid w:val="0F4E1CE6"/>
    <w:rsid w:val="0F5B2655"/>
    <w:rsid w:val="0FA20284"/>
    <w:rsid w:val="0FCD5301"/>
    <w:rsid w:val="0FE663C2"/>
    <w:rsid w:val="10120ECB"/>
    <w:rsid w:val="108F0808"/>
    <w:rsid w:val="10D75D0B"/>
    <w:rsid w:val="114C5DA7"/>
    <w:rsid w:val="114E2471"/>
    <w:rsid w:val="117D4B05"/>
    <w:rsid w:val="11E44B84"/>
    <w:rsid w:val="12341E87"/>
    <w:rsid w:val="141D25CF"/>
    <w:rsid w:val="14667AD2"/>
    <w:rsid w:val="14EE1EB9"/>
    <w:rsid w:val="150D619F"/>
    <w:rsid w:val="151B4D60"/>
    <w:rsid w:val="151B6B0E"/>
    <w:rsid w:val="154020D1"/>
    <w:rsid w:val="15657D89"/>
    <w:rsid w:val="156D4E90"/>
    <w:rsid w:val="15915022"/>
    <w:rsid w:val="16677B31"/>
    <w:rsid w:val="16DE6045"/>
    <w:rsid w:val="1720040C"/>
    <w:rsid w:val="175956CC"/>
    <w:rsid w:val="17B27812"/>
    <w:rsid w:val="17E551B2"/>
    <w:rsid w:val="182932F0"/>
    <w:rsid w:val="183F48C2"/>
    <w:rsid w:val="18AE1A47"/>
    <w:rsid w:val="18C9062F"/>
    <w:rsid w:val="193463F1"/>
    <w:rsid w:val="195B1BCF"/>
    <w:rsid w:val="1968609A"/>
    <w:rsid w:val="198B3B37"/>
    <w:rsid w:val="199944A6"/>
    <w:rsid w:val="19C73298"/>
    <w:rsid w:val="19E21191"/>
    <w:rsid w:val="1A330456"/>
    <w:rsid w:val="1A512FD2"/>
    <w:rsid w:val="1A5605E9"/>
    <w:rsid w:val="1ADE4866"/>
    <w:rsid w:val="1B1E2EB4"/>
    <w:rsid w:val="1B487C01"/>
    <w:rsid w:val="1B9118D8"/>
    <w:rsid w:val="1BD17F27"/>
    <w:rsid w:val="1C4954A8"/>
    <w:rsid w:val="1CA13D9D"/>
    <w:rsid w:val="1CCC4B92"/>
    <w:rsid w:val="1CFA34AD"/>
    <w:rsid w:val="1D352DDD"/>
    <w:rsid w:val="1D7414B2"/>
    <w:rsid w:val="1D94745E"/>
    <w:rsid w:val="1DB00010"/>
    <w:rsid w:val="1DF6005F"/>
    <w:rsid w:val="1E14234D"/>
    <w:rsid w:val="1E780B2E"/>
    <w:rsid w:val="1E967206"/>
    <w:rsid w:val="1F4C1B9D"/>
    <w:rsid w:val="1F81201A"/>
    <w:rsid w:val="1F882FF2"/>
    <w:rsid w:val="20112FE8"/>
    <w:rsid w:val="209854B7"/>
    <w:rsid w:val="20B13D35"/>
    <w:rsid w:val="20BB11A5"/>
    <w:rsid w:val="210448FA"/>
    <w:rsid w:val="210E7F88"/>
    <w:rsid w:val="211D59BC"/>
    <w:rsid w:val="214747E7"/>
    <w:rsid w:val="215018EE"/>
    <w:rsid w:val="21FC3824"/>
    <w:rsid w:val="220A4192"/>
    <w:rsid w:val="225E44DE"/>
    <w:rsid w:val="22B3482A"/>
    <w:rsid w:val="22CC7A2C"/>
    <w:rsid w:val="22D14CB0"/>
    <w:rsid w:val="230E1A60"/>
    <w:rsid w:val="23103A2A"/>
    <w:rsid w:val="231D6147"/>
    <w:rsid w:val="23496F3C"/>
    <w:rsid w:val="239301B8"/>
    <w:rsid w:val="23963804"/>
    <w:rsid w:val="23B56380"/>
    <w:rsid w:val="23C30A9D"/>
    <w:rsid w:val="23C6233B"/>
    <w:rsid w:val="241A61E3"/>
    <w:rsid w:val="24576453"/>
    <w:rsid w:val="24681644"/>
    <w:rsid w:val="24C148B0"/>
    <w:rsid w:val="250A44A9"/>
    <w:rsid w:val="25453733"/>
    <w:rsid w:val="258473AE"/>
    <w:rsid w:val="26B172D2"/>
    <w:rsid w:val="26E50D2A"/>
    <w:rsid w:val="273B094A"/>
    <w:rsid w:val="276C31F9"/>
    <w:rsid w:val="27C272BD"/>
    <w:rsid w:val="28180C8B"/>
    <w:rsid w:val="28463A4A"/>
    <w:rsid w:val="28DB23E5"/>
    <w:rsid w:val="29312005"/>
    <w:rsid w:val="2945382A"/>
    <w:rsid w:val="29954C89"/>
    <w:rsid w:val="29DA6B40"/>
    <w:rsid w:val="2A3A313B"/>
    <w:rsid w:val="2A7051A6"/>
    <w:rsid w:val="2A9860B3"/>
    <w:rsid w:val="2ACF5F79"/>
    <w:rsid w:val="2AE8703B"/>
    <w:rsid w:val="2B110340"/>
    <w:rsid w:val="2B54022C"/>
    <w:rsid w:val="2BBB02AC"/>
    <w:rsid w:val="2C4862AD"/>
    <w:rsid w:val="2C723060"/>
    <w:rsid w:val="2C974875"/>
    <w:rsid w:val="2CA174A1"/>
    <w:rsid w:val="2CBD0053"/>
    <w:rsid w:val="2D3F2346"/>
    <w:rsid w:val="2D4F33A1"/>
    <w:rsid w:val="2D4F5ECC"/>
    <w:rsid w:val="2D5E35E4"/>
    <w:rsid w:val="2D686211"/>
    <w:rsid w:val="2DAC07F4"/>
    <w:rsid w:val="2E2465DC"/>
    <w:rsid w:val="2E344345"/>
    <w:rsid w:val="2E8E3182"/>
    <w:rsid w:val="2EC8340B"/>
    <w:rsid w:val="2F1A178D"/>
    <w:rsid w:val="2F3A7B8C"/>
    <w:rsid w:val="2F9037FD"/>
    <w:rsid w:val="2FD47B8E"/>
    <w:rsid w:val="2FD63906"/>
    <w:rsid w:val="30085A89"/>
    <w:rsid w:val="304C1E1A"/>
    <w:rsid w:val="30EB1633"/>
    <w:rsid w:val="312A2611"/>
    <w:rsid w:val="314174A5"/>
    <w:rsid w:val="31D125D7"/>
    <w:rsid w:val="31D71BB7"/>
    <w:rsid w:val="31E54529"/>
    <w:rsid w:val="31FB3AF8"/>
    <w:rsid w:val="32717916"/>
    <w:rsid w:val="32B2290A"/>
    <w:rsid w:val="32C51A10"/>
    <w:rsid w:val="32CE0D0A"/>
    <w:rsid w:val="32D22AAA"/>
    <w:rsid w:val="32F10A57"/>
    <w:rsid w:val="331935FC"/>
    <w:rsid w:val="33435756"/>
    <w:rsid w:val="334868C9"/>
    <w:rsid w:val="340C5B48"/>
    <w:rsid w:val="34B32468"/>
    <w:rsid w:val="34DD1293"/>
    <w:rsid w:val="34FB796B"/>
    <w:rsid w:val="350D5658"/>
    <w:rsid w:val="35262C3A"/>
    <w:rsid w:val="35270760"/>
    <w:rsid w:val="353510CF"/>
    <w:rsid w:val="3569521C"/>
    <w:rsid w:val="35696FCA"/>
    <w:rsid w:val="3575596F"/>
    <w:rsid w:val="35773495"/>
    <w:rsid w:val="35A95619"/>
    <w:rsid w:val="35C44201"/>
    <w:rsid w:val="36321AB2"/>
    <w:rsid w:val="36BD312A"/>
    <w:rsid w:val="37180CA8"/>
    <w:rsid w:val="373871A1"/>
    <w:rsid w:val="37492C0F"/>
    <w:rsid w:val="3795353A"/>
    <w:rsid w:val="37B22EAA"/>
    <w:rsid w:val="38547ABE"/>
    <w:rsid w:val="38765C86"/>
    <w:rsid w:val="389820A0"/>
    <w:rsid w:val="39AB5E03"/>
    <w:rsid w:val="39D4535A"/>
    <w:rsid w:val="3A3E27D3"/>
    <w:rsid w:val="3A5C3320"/>
    <w:rsid w:val="3A944AE9"/>
    <w:rsid w:val="3AF31088"/>
    <w:rsid w:val="3B712735"/>
    <w:rsid w:val="3B984165"/>
    <w:rsid w:val="3BBB63DC"/>
    <w:rsid w:val="3C4816E7"/>
    <w:rsid w:val="3C6504EB"/>
    <w:rsid w:val="3C9B3F0D"/>
    <w:rsid w:val="3D9A41C5"/>
    <w:rsid w:val="3E285C74"/>
    <w:rsid w:val="3F1104B7"/>
    <w:rsid w:val="3F19736B"/>
    <w:rsid w:val="3F316DAB"/>
    <w:rsid w:val="3FB672B0"/>
    <w:rsid w:val="404B17A6"/>
    <w:rsid w:val="40583EC3"/>
    <w:rsid w:val="406D3E12"/>
    <w:rsid w:val="406F58DD"/>
    <w:rsid w:val="407D1B7C"/>
    <w:rsid w:val="40B165E5"/>
    <w:rsid w:val="41065CB3"/>
    <w:rsid w:val="41265D6F"/>
    <w:rsid w:val="4162149D"/>
    <w:rsid w:val="41F90AFD"/>
    <w:rsid w:val="42015473"/>
    <w:rsid w:val="425608D6"/>
    <w:rsid w:val="42997141"/>
    <w:rsid w:val="42D948AF"/>
    <w:rsid w:val="43324E9F"/>
    <w:rsid w:val="436F1C50"/>
    <w:rsid w:val="43860D47"/>
    <w:rsid w:val="43DD305D"/>
    <w:rsid w:val="44A5739E"/>
    <w:rsid w:val="44CE0BF8"/>
    <w:rsid w:val="44D53D34"/>
    <w:rsid w:val="44D97CC8"/>
    <w:rsid w:val="453B44DF"/>
    <w:rsid w:val="453C2005"/>
    <w:rsid w:val="455235D7"/>
    <w:rsid w:val="459F2A47"/>
    <w:rsid w:val="45E216A1"/>
    <w:rsid w:val="46032B23"/>
    <w:rsid w:val="46C10A14"/>
    <w:rsid w:val="46C93D6D"/>
    <w:rsid w:val="46F30DEA"/>
    <w:rsid w:val="474D4056"/>
    <w:rsid w:val="475C698F"/>
    <w:rsid w:val="47855EE6"/>
    <w:rsid w:val="478D6B48"/>
    <w:rsid w:val="47C54534"/>
    <w:rsid w:val="47C702AC"/>
    <w:rsid w:val="480F755D"/>
    <w:rsid w:val="48B60321"/>
    <w:rsid w:val="48F74BC1"/>
    <w:rsid w:val="4961028C"/>
    <w:rsid w:val="49BC1967"/>
    <w:rsid w:val="49C03205"/>
    <w:rsid w:val="49C83E68"/>
    <w:rsid w:val="4A315EB1"/>
    <w:rsid w:val="4A4A6F73"/>
    <w:rsid w:val="4A7F4E6E"/>
    <w:rsid w:val="4AD056CA"/>
    <w:rsid w:val="4AFD3FE5"/>
    <w:rsid w:val="4B1D01E3"/>
    <w:rsid w:val="4B693428"/>
    <w:rsid w:val="4B7F0E9E"/>
    <w:rsid w:val="4BD73978"/>
    <w:rsid w:val="4BF74ED8"/>
    <w:rsid w:val="4C365A00"/>
    <w:rsid w:val="4CA7245A"/>
    <w:rsid w:val="4CD07724"/>
    <w:rsid w:val="4CD82614"/>
    <w:rsid w:val="4D300B2C"/>
    <w:rsid w:val="4D902EEE"/>
    <w:rsid w:val="4DC66910"/>
    <w:rsid w:val="4DF94F37"/>
    <w:rsid w:val="4E3715BC"/>
    <w:rsid w:val="4E7740AE"/>
    <w:rsid w:val="4E8011B5"/>
    <w:rsid w:val="4E8F764A"/>
    <w:rsid w:val="4EAC01FC"/>
    <w:rsid w:val="4EAF55F6"/>
    <w:rsid w:val="4EEE4370"/>
    <w:rsid w:val="4F28391E"/>
    <w:rsid w:val="4F674123"/>
    <w:rsid w:val="4F8E238C"/>
    <w:rsid w:val="4FE15C83"/>
    <w:rsid w:val="4FF53DD0"/>
    <w:rsid w:val="50011E81"/>
    <w:rsid w:val="50D650BC"/>
    <w:rsid w:val="518C60C3"/>
    <w:rsid w:val="51960CEF"/>
    <w:rsid w:val="51D3784E"/>
    <w:rsid w:val="51D81308"/>
    <w:rsid w:val="52701540"/>
    <w:rsid w:val="528648C0"/>
    <w:rsid w:val="52946FDD"/>
    <w:rsid w:val="52E33AC0"/>
    <w:rsid w:val="52FC78A7"/>
    <w:rsid w:val="53027A2F"/>
    <w:rsid w:val="53441D7A"/>
    <w:rsid w:val="53894668"/>
    <w:rsid w:val="53BD07B5"/>
    <w:rsid w:val="53FB308C"/>
    <w:rsid w:val="543C792C"/>
    <w:rsid w:val="54662BFB"/>
    <w:rsid w:val="546B0211"/>
    <w:rsid w:val="549E2395"/>
    <w:rsid w:val="54C92636"/>
    <w:rsid w:val="551030C9"/>
    <w:rsid w:val="55F81F79"/>
    <w:rsid w:val="560F171D"/>
    <w:rsid w:val="564B654C"/>
    <w:rsid w:val="567C4958"/>
    <w:rsid w:val="56B04601"/>
    <w:rsid w:val="56DF6C95"/>
    <w:rsid w:val="57D72D8F"/>
    <w:rsid w:val="57EA769F"/>
    <w:rsid w:val="582331F4"/>
    <w:rsid w:val="586C6306"/>
    <w:rsid w:val="592310BA"/>
    <w:rsid w:val="598F04FE"/>
    <w:rsid w:val="599C0E6D"/>
    <w:rsid w:val="59AD6BD6"/>
    <w:rsid w:val="59C81C62"/>
    <w:rsid w:val="5AC71F19"/>
    <w:rsid w:val="5AC95C92"/>
    <w:rsid w:val="5ACC12DE"/>
    <w:rsid w:val="5ADC3C17"/>
    <w:rsid w:val="5AEB5C08"/>
    <w:rsid w:val="5B01367D"/>
    <w:rsid w:val="5B1533D9"/>
    <w:rsid w:val="5B323837"/>
    <w:rsid w:val="5B6D2E51"/>
    <w:rsid w:val="5B7976B8"/>
    <w:rsid w:val="5BBC75A4"/>
    <w:rsid w:val="5BF925A6"/>
    <w:rsid w:val="5BFE7BBD"/>
    <w:rsid w:val="5C205D85"/>
    <w:rsid w:val="5C2A09B2"/>
    <w:rsid w:val="5C6A5252"/>
    <w:rsid w:val="5C6A7000"/>
    <w:rsid w:val="5CAE513F"/>
    <w:rsid w:val="5CD8040E"/>
    <w:rsid w:val="5D292A17"/>
    <w:rsid w:val="5DED613B"/>
    <w:rsid w:val="5E1E62F4"/>
    <w:rsid w:val="5E280F21"/>
    <w:rsid w:val="5E677C9B"/>
    <w:rsid w:val="5E714676"/>
    <w:rsid w:val="5E761C8C"/>
    <w:rsid w:val="5EB56C59"/>
    <w:rsid w:val="5EF37781"/>
    <w:rsid w:val="5F363A73"/>
    <w:rsid w:val="5F3A715E"/>
    <w:rsid w:val="5F3C1128"/>
    <w:rsid w:val="5F830B05"/>
    <w:rsid w:val="5FAA6092"/>
    <w:rsid w:val="600734E4"/>
    <w:rsid w:val="606F4BE5"/>
    <w:rsid w:val="608F5287"/>
    <w:rsid w:val="60C43183"/>
    <w:rsid w:val="60D3786A"/>
    <w:rsid w:val="610619ED"/>
    <w:rsid w:val="61497B2C"/>
    <w:rsid w:val="618F7411"/>
    <w:rsid w:val="61D840E6"/>
    <w:rsid w:val="62092E18"/>
    <w:rsid w:val="623F05EA"/>
    <w:rsid w:val="6263077A"/>
    <w:rsid w:val="62691AE8"/>
    <w:rsid w:val="62C073FA"/>
    <w:rsid w:val="62C21944"/>
    <w:rsid w:val="63DC6A36"/>
    <w:rsid w:val="63E678B4"/>
    <w:rsid w:val="63ED29F1"/>
    <w:rsid w:val="64300B2F"/>
    <w:rsid w:val="64601415"/>
    <w:rsid w:val="649015CE"/>
    <w:rsid w:val="64992B79"/>
    <w:rsid w:val="64DA09EA"/>
    <w:rsid w:val="64DB0A9B"/>
    <w:rsid w:val="64FB2EEB"/>
    <w:rsid w:val="64FD6C64"/>
    <w:rsid w:val="65670581"/>
    <w:rsid w:val="660B715E"/>
    <w:rsid w:val="661B5205"/>
    <w:rsid w:val="663012BB"/>
    <w:rsid w:val="664166AE"/>
    <w:rsid w:val="66A05988"/>
    <w:rsid w:val="67140294"/>
    <w:rsid w:val="671D183F"/>
    <w:rsid w:val="673B3590"/>
    <w:rsid w:val="67656D42"/>
    <w:rsid w:val="67AB0BF9"/>
    <w:rsid w:val="67BA708E"/>
    <w:rsid w:val="67C95523"/>
    <w:rsid w:val="68014B1A"/>
    <w:rsid w:val="68111842"/>
    <w:rsid w:val="68623356"/>
    <w:rsid w:val="68752FB5"/>
    <w:rsid w:val="690031C6"/>
    <w:rsid w:val="69020CEC"/>
    <w:rsid w:val="693370F8"/>
    <w:rsid w:val="69A73642"/>
    <w:rsid w:val="6A0740E0"/>
    <w:rsid w:val="6A633A0D"/>
    <w:rsid w:val="6A800A04"/>
    <w:rsid w:val="6A9030CB"/>
    <w:rsid w:val="6B170353"/>
    <w:rsid w:val="6B22444F"/>
    <w:rsid w:val="6B364C7D"/>
    <w:rsid w:val="6B463DD2"/>
    <w:rsid w:val="6B620170"/>
    <w:rsid w:val="6B8A6D77"/>
    <w:rsid w:val="6B8D6867"/>
    <w:rsid w:val="6BF012D0"/>
    <w:rsid w:val="6BFB7C75"/>
    <w:rsid w:val="6D370FBC"/>
    <w:rsid w:val="6D800432"/>
    <w:rsid w:val="6D823EBE"/>
    <w:rsid w:val="6DCF4F15"/>
    <w:rsid w:val="6E1A0886"/>
    <w:rsid w:val="6E4E22DE"/>
    <w:rsid w:val="6E5A5127"/>
    <w:rsid w:val="6E720F34"/>
    <w:rsid w:val="6EAB5982"/>
    <w:rsid w:val="6EEE3AC1"/>
    <w:rsid w:val="6EFE1F56"/>
    <w:rsid w:val="6F2968A7"/>
    <w:rsid w:val="6F2B0871"/>
    <w:rsid w:val="6FA67EF8"/>
    <w:rsid w:val="6FAF4FFE"/>
    <w:rsid w:val="6FC0545D"/>
    <w:rsid w:val="70B62283"/>
    <w:rsid w:val="70D50A94"/>
    <w:rsid w:val="70E909E4"/>
    <w:rsid w:val="71902C0D"/>
    <w:rsid w:val="719443A7"/>
    <w:rsid w:val="719C5A56"/>
    <w:rsid w:val="71C1726B"/>
    <w:rsid w:val="71F80EDE"/>
    <w:rsid w:val="71FB277D"/>
    <w:rsid w:val="722872EA"/>
    <w:rsid w:val="724F2AC9"/>
    <w:rsid w:val="7278201F"/>
    <w:rsid w:val="727B38BE"/>
    <w:rsid w:val="72EA5F8A"/>
    <w:rsid w:val="731C6E4F"/>
    <w:rsid w:val="737C5B3F"/>
    <w:rsid w:val="74325F4D"/>
    <w:rsid w:val="745E567C"/>
    <w:rsid w:val="74D6302D"/>
    <w:rsid w:val="75061B64"/>
    <w:rsid w:val="75096F5F"/>
    <w:rsid w:val="7510653F"/>
    <w:rsid w:val="75436915"/>
    <w:rsid w:val="75556648"/>
    <w:rsid w:val="759251A6"/>
    <w:rsid w:val="75DE03EB"/>
    <w:rsid w:val="75E1612D"/>
    <w:rsid w:val="75E31EA6"/>
    <w:rsid w:val="761E6A3A"/>
    <w:rsid w:val="766C3C49"/>
    <w:rsid w:val="769641FD"/>
    <w:rsid w:val="76D33CC8"/>
    <w:rsid w:val="77073972"/>
    <w:rsid w:val="772067E2"/>
    <w:rsid w:val="77787E4B"/>
    <w:rsid w:val="777F5BFE"/>
    <w:rsid w:val="77A86F03"/>
    <w:rsid w:val="77B70043"/>
    <w:rsid w:val="77ED700C"/>
    <w:rsid w:val="78126A72"/>
    <w:rsid w:val="78164022"/>
    <w:rsid w:val="785B21C7"/>
    <w:rsid w:val="788F4D40"/>
    <w:rsid w:val="78A0407E"/>
    <w:rsid w:val="78DF4BA6"/>
    <w:rsid w:val="78E21FA1"/>
    <w:rsid w:val="78E24696"/>
    <w:rsid w:val="78EF46BD"/>
    <w:rsid w:val="78F30652"/>
    <w:rsid w:val="790740FD"/>
    <w:rsid w:val="79335381"/>
    <w:rsid w:val="79D51B05"/>
    <w:rsid w:val="79F210DB"/>
    <w:rsid w:val="7A1F0FD2"/>
    <w:rsid w:val="7A5523C3"/>
    <w:rsid w:val="7ACB39B5"/>
    <w:rsid w:val="7B0A57DF"/>
    <w:rsid w:val="7B2A5E81"/>
    <w:rsid w:val="7B446F42"/>
    <w:rsid w:val="7B7D06A6"/>
    <w:rsid w:val="7B9B28DB"/>
    <w:rsid w:val="7C0A3E8D"/>
    <w:rsid w:val="7C1F350C"/>
    <w:rsid w:val="7C372603"/>
    <w:rsid w:val="7C626080"/>
    <w:rsid w:val="7CB579CC"/>
    <w:rsid w:val="7CF46746"/>
    <w:rsid w:val="7D3B4375"/>
    <w:rsid w:val="7D40373A"/>
    <w:rsid w:val="7D7E4262"/>
    <w:rsid w:val="7D9D6DDE"/>
    <w:rsid w:val="7E8458A8"/>
    <w:rsid w:val="7EB45D48"/>
    <w:rsid w:val="7EDC7FBD"/>
    <w:rsid w:val="7EFC7B34"/>
    <w:rsid w:val="7F171895"/>
    <w:rsid w:val="7FE4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仿宋_GB2312" w:cs="Times New Roman"/>
      <w:snapToGrid w:val="0"/>
      <w:sz w:val="32"/>
      <w:szCs w:val="22"/>
      <w:lang w:val="en-US" w:eastAsia="zh-CN" w:bidi="ar-SA"/>
    </w:rPr>
  </w:style>
  <w:style w:type="paragraph" w:styleId="3">
    <w:name w:val="heading 2"/>
    <w:basedOn w:val="1"/>
    <w:next w:val="1"/>
    <w:autoRedefine/>
    <w:unhideWhenUsed/>
    <w:qFormat/>
    <w:uiPriority w:val="0"/>
    <w:pPr>
      <w:spacing w:before="100" w:beforeLines="100" w:after="0" w:afterLines="0"/>
      <w:jc w:val="left"/>
      <w:outlineLvl w:val="1"/>
    </w:pPr>
    <w:rPr>
      <w:rFonts w:hint="eastAsia" w:eastAsia="黑体" w:cs="Times New Roman"/>
      <w:bCs/>
      <w:szCs w:val="36"/>
    </w:rPr>
  </w:style>
  <w:style w:type="paragraph" w:styleId="4">
    <w:name w:val="heading 3"/>
    <w:basedOn w:val="1"/>
    <w:next w:val="1"/>
    <w:autoRedefine/>
    <w:qFormat/>
    <w:uiPriority w:val="9"/>
    <w:pPr>
      <w:keepNext/>
      <w:keepLines/>
      <w:spacing w:line="360" w:lineRule="auto"/>
      <w:ind w:firstLine="200" w:firstLineChars="200"/>
      <w:outlineLvl w:val="2"/>
    </w:pPr>
    <w:rPr>
      <w:rFonts w:eastAsia="楷体"/>
      <w:b/>
      <w:bCs/>
      <w:sz w:val="28"/>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99"/>
    <w:pPr>
      <w:spacing w:line="360" w:lineRule="auto"/>
      <w:ind w:firstLine="420"/>
    </w:pPr>
    <w:rPr>
      <w:rFonts w:eastAsia="宋体"/>
      <w:sz w:val="21"/>
    </w:rPr>
  </w:style>
  <w:style w:type="paragraph" w:styleId="5">
    <w:name w:val="annotation text"/>
    <w:basedOn w:val="1"/>
    <w:autoRedefine/>
    <w:qFormat/>
    <w:uiPriority w:val="0"/>
    <w:pPr>
      <w:jc w:val="left"/>
    </w:pPr>
  </w:style>
  <w:style w:type="paragraph" w:styleId="6">
    <w:name w:val="Body Text Indent"/>
    <w:basedOn w:val="1"/>
    <w:autoRedefine/>
    <w:qFormat/>
    <w:uiPriority w:val="0"/>
    <w:pPr>
      <w:spacing w:after="120"/>
      <w:ind w:left="420" w:leftChars="200"/>
    </w:p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eastAsia="仿宋" w:cs="宋体"/>
      <w:snapToGrid/>
      <w:sz w:val="24"/>
      <w:szCs w:val="24"/>
    </w:rPr>
  </w:style>
  <w:style w:type="paragraph" w:styleId="10">
    <w:name w:val="Body Text First Indent 2"/>
    <w:basedOn w:val="6"/>
    <w:autoRedefine/>
    <w:qFormat/>
    <w:uiPriority w:val="0"/>
    <w:pPr>
      <w:spacing w:after="0"/>
      <w:ind w:left="0" w:leftChars="0" w:firstLine="420" w:firstLineChars="200"/>
    </w:p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0"/>
    <w:rPr>
      <w:b/>
      <w:bCs/>
    </w:rPr>
  </w:style>
  <w:style w:type="character" w:styleId="15">
    <w:name w:val="Hyperlink"/>
    <w:basedOn w:val="13"/>
    <w:autoRedefine/>
    <w:qFormat/>
    <w:uiPriority w:val="0"/>
    <w:rPr>
      <w:color w:val="0000FF"/>
      <w:u w:val="single"/>
    </w:rPr>
  </w:style>
  <w:style w:type="paragraph" w:customStyle="1" w:styleId="16">
    <w:name w:val="Revision"/>
    <w:autoRedefine/>
    <w:hidden/>
    <w:unhideWhenUsed/>
    <w:qFormat/>
    <w:uiPriority w:val="99"/>
    <w:rPr>
      <w:rFonts w:ascii="等线" w:hAnsi="等线" w:eastAsia="仿宋_GB2312" w:cs="Times New Roman"/>
      <w:snapToGrid w:val="0"/>
      <w:sz w:val="32"/>
      <w:szCs w:val="22"/>
      <w:lang w:val="en-US" w:eastAsia="zh-CN" w:bidi="ar-SA"/>
    </w:rPr>
  </w:style>
  <w:style w:type="character" w:customStyle="1" w:styleId="17">
    <w:name w:val="font131"/>
    <w:basedOn w:val="13"/>
    <w:autoRedefine/>
    <w:qFormat/>
    <w:uiPriority w:val="0"/>
    <w:rPr>
      <w:rFonts w:hint="eastAsia" w:ascii="仿宋_GB2312" w:eastAsia="仿宋_GB2312" w:cs="仿宋_GB2312"/>
      <w:color w:val="FF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w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8831</Words>
  <Characters>8953</Characters>
  <Lines>16</Lines>
  <Paragraphs>4</Paragraphs>
  <TotalTime>125</TotalTime>
  <ScaleCrop>false</ScaleCrop>
  <LinksUpToDate>false</LinksUpToDate>
  <CharactersWithSpaces>9017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2023-03-28T09:11:00Z</dcterms:created>
  <dc:creator>admin</dc:creator>
  <cp:lastModifiedBy>凌</cp:lastModifiedBy>
  <cp:lastPrinted>2024-08-02T04:20:00Z</cp:lastPrinted>
  <dcterms:modified xsi:type="dcterms:W3CDTF">2024-08-29T05:20:53Z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56674D092DE94A75A13E235A610C1DB9_13</vt:lpwstr>
  </property>
</Properties>
</file>