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jc w:val="center"/>
        <w:textAlignment w:val="auto"/>
        <w:outlineLvl w:val="0"/>
        <w:rPr>
          <w:rFonts w:ascii="Times New Roman" w:eastAsia="方正小标宋简体"/>
          <w:b w:val="0"/>
          <w:bCs/>
          <w:sz w:val="44"/>
          <w:szCs w:val="32"/>
        </w:rPr>
      </w:pPr>
    </w:p>
    <w:p>
      <w:pPr>
        <w:keepNext w:val="0"/>
        <w:keepLines w:val="0"/>
        <w:pageBreakBefore w:val="0"/>
        <w:widowControl w:val="0"/>
        <w:kinsoku/>
        <w:wordWrap/>
        <w:overflowPunct/>
        <w:topLinePunct w:val="0"/>
        <w:autoSpaceDE/>
        <w:autoSpaceDN/>
        <w:bidi w:val="0"/>
        <w:spacing w:line="560" w:lineRule="exact"/>
        <w:jc w:val="center"/>
        <w:textAlignment w:val="auto"/>
        <w:outlineLvl w:val="0"/>
        <w:rPr>
          <w:rFonts w:ascii="Times New Roman" w:eastAsia="方正小标宋简体"/>
          <w:b w:val="0"/>
          <w:bCs/>
          <w:spacing w:val="-10"/>
          <w:sz w:val="44"/>
          <w:szCs w:val="44"/>
        </w:rPr>
      </w:pPr>
      <w:bookmarkStart w:id="0" w:name="_GoBack"/>
      <w:r>
        <w:rPr>
          <w:rFonts w:ascii="Times New Roman" w:eastAsia="方正小标宋简体"/>
          <w:b w:val="0"/>
          <w:bCs/>
          <w:sz w:val="44"/>
          <w:szCs w:val="32"/>
        </w:rPr>
        <w:t>关于</w:t>
      </w:r>
      <w:r>
        <w:rPr>
          <w:rFonts w:hint="eastAsia" w:ascii="Times New Roman" w:eastAsia="方正小标宋简体"/>
          <w:b w:val="0"/>
          <w:bCs/>
          <w:sz w:val="44"/>
          <w:szCs w:val="32"/>
          <w:lang w:eastAsia="zh-CN"/>
        </w:rPr>
        <w:t>对《</w:t>
      </w:r>
      <w:r>
        <w:rPr>
          <w:rFonts w:hint="eastAsia" w:ascii="Times New Roman" w:eastAsia="方正小标宋简体"/>
          <w:b w:val="0"/>
          <w:bCs/>
          <w:spacing w:val="-10"/>
          <w:sz w:val="44"/>
          <w:szCs w:val="44"/>
          <w:lang w:eastAsia="zh-CN"/>
        </w:rPr>
        <w:t>通州</w:t>
      </w:r>
      <w:r>
        <w:rPr>
          <w:rFonts w:ascii="Times New Roman" w:eastAsia="方正小标宋简体"/>
          <w:b w:val="0"/>
          <w:bCs/>
          <w:spacing w:val="-10"/>
          <w:sz w:val="44"/>
          <w:szCs w:val="44"/>
        </w:rPr>
        <w:t>区</w:t>
      </w:r>
      <w:r>
        <w:rPr>
          <w:rFonts w:hint="eastAsia" w:ascii="Times New Roman" w:eastAsia="方正小标宋简体"/>
          <w:b w:val="0"/>
          <w:bCs/>
          <w:spacing w:val="-10"/>
          <w:sz w:val="44"/>
          <w:szCs w:val="44"/>
        </w:rPr>
        <w:t>养老家庭照护床位建设管理</w:t>
      </w:r>
    </w:p>
    <w:p>
      <w:pPr>
        <w:keepNext w:val="0"/>
        <w:keepLines w:val="0"/>
        <w:pageBreakBefore w:val="0"/>
        <w:widowControl w:val="0"/>
        <w:kinsoku/>
        <w:wordWrap/>
        <w:overflowPunct/>
        <w:topLinePunct w:val="0"/>
        <w:autoSpaceDE/>
        <w:autoSpaceDN/>
        <w:bidi w:val="0"/>
        <w:spacing w:line="560" w:lineRule="exact"/>
        <w:jc w:val="center"/>
        <w:textAlignment w:val="auto"/>
        <w:outlineLvl w:val="0"/>
        <w:rPr>
          <w:rFonts w:hint="eastAsia" w:ascii="Times New Roman" w:eastAsia="方正小标宋简体"/>
          <w:b w:val="0"/>
          <w:bCs/>
          <w:sz w:val="44"/>
          <w:szCs w:val="32"/>
          <w:lang w:eastAsia="zh-CN"/>
        </w:rPr>
      </w:pPr>
      <w:r>
        <w:rPr>
          <w:rFonts w:hint="eastAsia" w:ascii="Times New Roman" w:eastAsia="方正小标宋简体"/>
          <w:b w:val="0"/>
          <w:bCs/>
          <w:spacing w:val="-10"/>
          <w:sz w:val="44"/>
          <w:szCs w:val="44"/>
        </w:rPr>
        <w:t>实施细则</w:t>
      </w:r>
      <w:r>
        <w:rPr>
          <w:rFonts w:hint="eastAsia" w:ascii="Times New Roman" w:eastAsia="方正小标宋简体"/>
          <w:b w:val="0"/>
          <w:bCs/>
          <w:spacing w:val="-10"/>
          <w:sz w:val="44"/>
          <w:szCs w:val="44"/>
          <w:lang w:eastAsia="zh-CN"/>
        </w:rPr>
        <w:t>》</w:t>
      </w:r>
      <w:r>
        <w:rPr>
          <w:rFonts w:ascii="Times New Roman" w:eastAsia="方正小标宋简体"/>
          <w:b w:val="0"/>
          <w:bCs/>
          <w:sz w:val="44"/>
          <w:szCs w:val="32"/>
        </w:rPr>
        <w:t>的</w:t>
      </w:r>
      <w:r>
        <w:rPr>
          <w:rFonts w:hint="eastAsia" w:ascii="Times New Roman" w:eastAsia="方正小标宋简体"/>
          <w:b w:val="0"/>
          <w:bCs/>
          <w:sz w:val="44"/>
          <w:szCs w:val="32"/>
          <w:lang w:eastAsia="zh-CN"/>
        </w:rPr>
        <w:t>起草说明</w:t>
      </w:r>
    </w:p>
    <w:bookmarkEnd w:id="0"/>
    <w:p>
      <w:pPr>
        <w:keepNext w:val="0"/>
        <w:keepLines w:val="0"/>
        <w:pageBreakBefore w:val="0"/>
        <w:widowControl w:val="0"/>
        <w:kinsoku/>
        <w:wordWrap/>
        <w:overflowPunct/>
        <w:topLinePunct w:val="0"/>
        <w:autoSpaceDE/>
        <w:autoSpaceDN/>
        <w:bidi w:val="0"/>
        <w:spacing w:line="560" w:lineRule="exact"/>
        <w:jc w:val="center"/>
        <w:textAlignment w:val="auto"/>
        <w:outlineLvl w:val="0"/>
        <w:rPr>
          <w:rFonts w:hint="eastAsia" w:ascii="Times New Roman" w:eastAsia="方正小标宋简体"/>
          <w:bCs/>
          <w:sz w:val="44"/>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Cs w:val="22"/>
        </w:rPr>
      </w:pPr>
      <w:r>
        <w:rPr>
          <w:rFonts w:hint="eastAsia" w:ascii="黑体" w:hAnsi="黑体" w:eastAsia="黑体" w:cs="黑体"/>
          <w:b w:val="0"/>
          <w:bCs w:val="0"/>
          <w:szCs w:val="32"/>
          <w:lang w:eastAsia="zh-CN"/>
        </w:rPr>
        <w:t>一、</w:t>
      </w:r>
      <w:r>
        <w:rPr>
          <w:rFonts w:hint="eastAsia" w:ascii="黑体" w:hAnsi="黑体" w:eastAsia="黑体"/>
          <w:sz w:val="32"/>
          <w:szCs w:val="32"/>
        </w:rPr>
        <w:t>起草背景</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Times New Roman"/>
          <w:szCs w:val="22"/>
        </w:rPr>
      </w:pPr>
      <w:r>
        <w:rPr>
          <w:rFonts w:eastAsia="仿宋_GB2312"/>
          <w:sz w:val="32"/>
          <w:szCs w:val="32"/>
        </w:rPr>
        <w:t>为加快推动养老家庭照护床位建设，将养老</w:t>
      </w:r>
      <w:r>
        <w:rPr>
          <w:rFonts w:hint="eastAsia" w:eastAsia="仿宋_GB2312"/>
          <w:sz w:val="32"/>
          <w:szCs w:val="32"/>
          <w:lang w:eastAsia="zh-CN"/>
        </w:rPr>
        <w:t>服务</w:t>
      </w:r>
      <w:r>
        <w:rPr>
          <w:rFonts w:eastAsia="仿宋_GB2312"/>
          <w:sz w:val="32"/>
          <w:szCs w:val="32"/>
        </w:rPr>
        <w:t>机构专业服务向家庭延伸，保障居家特殊老年人的基本养老服务需求，规范家庭养老照护服务流程，提升家庭养老照护服务质量，健全完善通州区就近精准养老服务体系</w:t>
      </w:r>
      <w:r>
        <w:rPr>
          <w:rFonts w:hint="eastAsia"/>
          <w:sz w:val="32"/>
          <w:szCs w:val="32"/>
          <w:lang w:eastAsia="zh-CN"/>
        </w:rPr>
        <w:t>。养老家庭照护床位建设，既可以增加养老床位数，也可以提高养老床位入住率，更好地满足“七有五性”考核指标要求，区民政局</w:t>
      </w:r>
      <w:r>
        <w:rPr>
          <w:rFonts w:eastAsia="仿宋_GB2312"/>
          <w:sz w:val="32"/>
          <w:szCs w:val="32"/>
        </w:rPr>
        <w:t>制</w:t>
      </w:r>
      <w:r>
        <w:rPr>
          <w:rFonts w:hint="eastAsia"/>
          <w:sz w:val="32"/>
          <w:szCs w:val="32"/>
          <w:lang w:eastAsia="zh-CN"/>
        </w:rPr>
        <w:t>定</w:t>
      </w:r>
      <w:r>
        <w:rPr>
          <w:rFonts w:eastAsia="仿宋_GB2312"/>
          <w:sz w:val="32"/>
          <w:szCs w:val="32"/>
        </w:rPr>
        <w:t>本实施细则。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szCs w:val="32"/>
          <w:lang w:eastAsia="zh-CN"/>
        </w:rPr>
      </w:pPr>
      <w:r>
        <w:rPr>
          <w:rFonts w:hint="eastAsia" w:ascii="黑体" w:hAnsi="黑体" w:eastAsia="黑体" w:cs="黑体"/>
          <w:b w:val="0"/>
          <w:bCs w:val="0"/>
          <w:szCs w:val="32"/>
          <w:lang w:eastAsia="zh-CN"/>
        </w:rPr>
        <w:t>二、主要内容</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szCs w:val="32"/>
          <w:lang w:eastAsia="zh-CN"/>
        </w:rPr>
      </w:pPr>
      <w:r>
        <w:rPr>
          <w:rFonts w:hint="eastAsia" w:ascii="楷体_GB2312" w:hAnsi="楷体_GB2312" w:eastAsia="楷体_GB2312" w:cs="楷体_GB2312"/>
          <w:b w:val="0"/>
          <w:bCs w:val="0"/>
          <w:szCs w:val="32"/>
          <w:lang w:eastAsia="zh-CN"/>
        </w:rPr>
        <w:t>（一）养老家庭照护床位的概念</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sz w:val="32"/>
          <w:szCs w:val="32"/>
          <w:lang w:eastAsia="zh-CN"/>
        </w:rPr>
      </w:pPr>
      <w:r>
        <w:rPr>
          <w:rFonts w:eastAsia="仿宋_GB2312"/>
          <w:sz w:val="32"/>
          <w:szCs w:val="32"/>
        </w:rPr>
        <w:t>依托就近养老服务机构，通过家庭适老化改造、信息化管理、专业化服务等方式，将养老服务机构的床位搬到老年人家中，为家庭照护者提供护理技能提升培训，将专业照护服务送到老年人床边。</w:t>
      </w:r>
    </w:p>
    <w:p>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szCs w:val="32"/>
          <w:lang w:eastAsia="zh-CN"/>
        </w:rPr>
      </w:pPr>
      <w:r>
        <w:rPr>
          <w:rFonts w:hint="eastAsia" w:ascii="楷体_GB2312" w:hAnsi="楷体_GB2312" w:eastAsia="楷体_GB2312" w:cs="楷体_GB2312"/>
          <w:b w:val="0"/>
          <w:bCs w:val="0"/>
          <w:szCs w:val="32"/>
          <w:lang w:eastAsia="zh-CN"/>
        </w:rPr>
        <w:t>政策编制基本原则</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sz w:val="32"/>
          <w:szCs w:val="32"/>
          <w:lang w:val="en-US" w:eastAsia="zh-CN"/>
        </w:rPr>
      </w:pPr>
      <w:r>
        <w:rPr>
          <w:rFonts w:hint="eastAsia" w:eastAsia="仿宋_GB2312"/>
          <w:sz w:val="32"/>
          <w:szCs w:val="32"/>
          <w:lang w:val="en-US" w:eastAsia="zh-CN"/>
        </w:rPr>
        <w:t>政府主导、专业支撑、家庭参与的基本原则。从政府层面讲，坚持保基本、兜底线职能，聚焦重度失能老年人等基本服务对象的养老服务需求，建立和集成养老家庭照护床位支持政策，引导社会力量积极参与家庭照护床位建设；从专业社会力量来看，发挥专业养老服务机构的资源优势，为居家老年人提供专业、规范、优质的照护服务；从家庭来看，发挥家庭成员在老年人长期居家照料服务中的基础作用，通过组织居家照护者技能培训等支持方式，提升家庭照护的功能和水平。</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szCs w:val="32"/>
          <w:lang w:eastAsia="zh-CN"/>
        </w:rPr>
      </w:pPr>
      <w:r>
        <w:rPr>
          <w:rFonts w:hint="eastAsia" w:ascii="楷体_GB2312" w:hAnsi="楷体_GB2312" w:eastAsia="楷体_GB2312" w:cs="楷体_GB2312"/>
          <w:b w:val="0"/>
          <w:bCs w:val="0"/>
          <w:szCs w:val="32"/>
          <w:lang w:eastAsia="zh-CN"/>
        </w:rPr>
        <w:t>（三）细则内容</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b w:val="0"/>
          <w:bCs w:val="0"/>
          <w:sz w:val="32"/>
          <w:szCs w:val="32"/>
          <w:lang w:val="en-US" w:eastAsia="zh-CN"/>
        </w:rPr>
      </w:pPr>
      <w:r>
        <w:rPr>
          <w:rFonts w:hint="eastAsia" w:eastAsia="仿宋_GB2312"/>
          <w:sz w:val="32"/>
          <w:szCs w:val="32"/>
          <w:lang w:val="en-US" w:eastAsia="zh-CN"/>
        </w:rPr>
        <w:t>《通州区养老家庭照护床位建设管理实施细则》总共包括九章内容，分别是总则、服务范围、服务机构、服务内容、补贴标准、</w:t>
      </w:r>
      <w:r>
        <w:rPr>
          <w:rFonts w:hint="eastAsia" w:eastAsia="仿宋_GB2312"/>
          <w:b w:val="0"/>
          <w:bCs w:val="0"/>
          <w:sz w:val="32"/>
          <w:szCs w:val="32"/>
          <w:lang w:val="en-US" w:eastAsia="zh-CN"/>
        </w:rPr>
        <w:t>服务流程、服务终止、日常管理、附则。</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b w:val="0"/>
          <w:bCs w:val="0"/>
          <w:sz w:val="32"/>
          <w:szCs w:val="32"/>
          <w:lang w:val="en-US" w:eastAsia="zh-CN"/>
        </w:rPr>
      </w:pPr>
      <w:r>
        <w:rPr>
          <w:rFonts w:hint="eastAsia" w:eastAsia="仿宋_GB2312"/>
          <w:b w:val="0"/>
          <w:bCs w:val="0"/>
          <w:sz w:val="32"/>
          <w:szCs w:val="32"/>
          <w:lang w:val="en-US" w:eastAsia="zh-CN"/>
        </w:rPr>
        <w:t>1.服务范围，具有本市户籍，在通州区范围内居家生活的重度失能的老年人和重度残疾老年人。城乡特困供养人员可扩展到中度失能老年人。本细则所称重度残疾老年人是指持有《中华人民共和国残疾人证》且残疾等级为一、二级的视力、肢体残疾老年人和残疾等级为一、二、三级的智力残疾老年人。</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b w:val="0"/>
          <w:bCs w:val="0"/>
          <w:sz w:val="32"/>
          <w:szCs w:val="32"/>
          <w:lang w:val="en-US" w:eastAsia="zh-CN"/>
        </w:rPr>
      </w:pPr>
      <w:r>
        <w:rPr>
          <w:rFonts w:hint="eastAsia" w:eastAsia="仿宋_GB2312"/>
          <w:b w:val="0"/>
          <w:bCs w:val="0"/>
          <w:sz w:val="32"/>
          <w:szCs w:val="32"/>
          <w:lang w:val="en-US" w:eastAsia="zh-CN"/>
        </w:rPr>
        <w:t>2.服务机构，</w:t>
      </w:r>
      <w:r>
        <w:rPr>
          <w:rFonts w:hint="eastAsia"/>
          <w:b w:val="0"/>
          <w:bCs w:val="0"/>
          <w:sz w:val="32"/>
          <w:szCs w:val="32"/>
          <w:lang w:val="en-US" w:eastAsia="zh-CN"/>
        </w:rPr>
        <w:t>应当满足三个条件：一是</w:t>
      </w:r>
      <w:r>
        <w:rPr>
          <w:rFonts w:hint="eastAsia" w:eastAsia="仿宋_GB2312"/>
          <w:b w:val="0"/>
          <w:bCs w:val="0"/>
          <w:sz w:val="32"/>
          <w:szCs w:val="32"/>
          <w:lang w:val="en-US" w:eastAsia="zh-CN"/>
        </w:rPr>
        <w:t>依法登记并在区民政部门备案、在通州区内有固定的运营服务场所、服务质量星级评定为二星级及以上的养老服务机构</w:t>
      </w:r>
      <w:r>
        <w:rPr>
          <w:rFonts w:hint="eastAsia"/>
          <w:b w:val="0"/>
          <w:bCs w:val="0"/>
          <w:sz w:val="32"/>
          <w:szCs w:val="32"/>
          <w:lang w:val="en-US" w:eastAsia="zh-CN"/>
        </w:rPr>
        <w:t>；二是</w:t>
      </w:r>
      <w:r>
        <w:rPr>
          <w:rFonts w:eastAsia="仿宋_GB2312"/>
          <w:b w:val="0"/>
          <w:bCs w:val="0"/>
          <w:sz w:val="32"/>
          <w:szCs w:val="32"/>
        </w:rPr>
        <w:t>内部设置医务室、护理站等医疗机构，或与医疗机构签订合作协议，能够为养老家庭照护床位服务对象提供基本医疗服务</w:t>
      </w:r>
      <w:r>
        <w:rPr>
          <w:rFonts w:hint="eastAsia" w:eastAsia="仿宋_GB2312"/>
          <w:b w:val="0"/>
          <w:bCs w:val="0"/>
          <w:sz w:val="32"/>
          <w:szCs w:val="32"/>
          <w:lang w:eastAsia="zh-CN"/>
        </w:rPr>
        <w:t>；</w:t>
      </w:r>
      <w:r>
        <w:rPr>
          <w:rFonts w:hint="eastAsia"/>
          <w:b w:val="0"/>
          <w:bCs w:val="0"/>
          <w:sz w:val="32"/>
          <w:szCs w:val="32"/>
          <w:lang w:eastAsia="zh-CN"/>
        </w:rPr>
        <w:t>三是</w:t>
      </w:r>
      <w:r>
        <w:rPr>
          <w:rFonts w:eastAsia="仿宋_GB2312"/>
          <w:b w:val="0"/>
          <w:bCs w:val="0"/>
          <w:sz w:val="32"/>
          <w:szCs w:val="32"/>
        </w:rPr>
        <w:t>应设立24小时服务热线和工作机制，能24小时接收处理服务对象的求助和信息管理系统的风险提示信息，15分钟内进行回应处理，提供相关服务</w:t>
      </w:r>
      <w:r>
        <w:rPr>
          <w:rFonts w:hint="eastAsia"/>
          <w:b w:val="0"/>
          <w:bCs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b w:val="0"/>
          <w:bCs w:val="0"/>
          <w:sz w:val="32"/>
          <w:szCs w:val="32"/>
          <w:lang w:val="en-US" w:eastAsia="zh-CN"/>
        </w:rPr>
      </w:pPr>
      <w:r>
        <w:rPr>
          <w:rFonts w:hint="eastAsia" w:eastAsia="仿宋_GB2312"/>
          <w:b w:val="0"/>
          <w:bCs w:val="0"/>
          <w:sz w:val="32"/>
          <w:szCs w:val="32"/>
          <w:lang w:val="en-US" w:eastAsia="zh-CN"/>
        </w:rPr>
        <w:t>3.服务内容，（1）按照市局政策文件的要求服务机构应为服务对象提供生活照料、康复护理、健康管理、辅具支持、心理服务、居家安全协助等服务，并为家庭照护者提供护理技能提升培训；（2）参考了西城、朝阳、海淀等区免费服务内容，结合我区居家养老服务对象实际情况，参照养老机构床位运营补贴政策服务机构享受600元运营补贴必须为服务对象提供：每季度免费为服务对象提供两次健康评估和居家安全评估服务、两次照护者护理技能培训服务每次不少于0.5小时、六次生活照料服务每次不少于4小时。除</w:t>
      </w:r>
      <w:r>
        <w:rPr>
          <w:rFonts w:hint="eastAsia"/>
          <w:b w:val="0"/>
          <w:bCs w:val="0"/>
          <w:sz w:val="32"/>
          <w:szCs w:val="32"/>
          <w:lang w:val="en-US" w:eastAsia="zh-CN"/>
        </w:rPr>
        <w:t>规定的</w:t>
      </w:r>
      <w:r>
        <w:rPr>
          <w:rFonts w:hint="eastAsia" w:eastAsia="仿宋_GB2312"/>
          <w:b w:val="0"/>
          <w:bCs w:val="0"/>
          <w:sz w:val="32"/>
          <w:szCs w:val="32"/>
          <w:lang w:val="en-US" w:eastAsia="zh-CN"/>
        </w:rPr>
        <w:t>免费服务内容外，</w:t>
      </w:r>
      <w:r>
        <w:rPr>
          <w:rFonts w:hint="eastAsia"/>
          <w:b w:val="0"/>
          <w:bCs w:val="0"/>
          <w:sz w:val="32"/>
          <w:szCs w:val="32"/>
          <w:lang w:val="en-US" w:eastAsia="zh-CN"/>
        </w:rPr>
        <w:t>若</w:t>
      </w:r>
      <w:r>
        <w:rPr>
          <w:rFonts w:hint="eastAsia" w:eastAsia="仿宋_GB2312"/>
          <w:b w:val="0"/>
          <w:bCs w:val="0"/>
          <w:sz w:val="32"/>
          <w:szCs w:val="32"/>
          <w:lang w:val="en-US" w:eastAsia="zh-CN"/>
        </w:rPr>
        <w:t>服务机构向服务对象提供的服务为有偿服务，具体由服务机构与服务对象协商确定，服务价格不得高于市场价格，不得以床位费、押金等名义收取相关费用。</w:t>
      </w:r>
      <w:r>
        <w:rPr>
          <w:rFonts w:hint="eastAsia"/>
          <w:b w:val="0"/>
          <w:bCs w:val="0"/>
          <w:sz w:val="32"/>
          <w:szCs w:val="32"/>
          <w:lang w:val="en-US" w:eastAsia="zh-CN"/>
        </w:rPr>
        <w:t>（3）</w:t>
      </w:r>
      <w:r>
        <w:rPr>
          <w:rFonts w:eastAsia="仿宋_GB2312"/>
          <w:b w:val="0"/>
          <w:bCs w:val="0"/>
          <w:sz w:val="32"/>
          <w:szCs w:val="32"/>
        </w:rPr>
        <w:t>养老家庭照护床位应满足以下条件：</w:t>
      </w:r>
      <w:r>
        <w:rPr>
          <w:rFonts w:hint="eastAsia"/>
          <w:b w:val="0"/>
          <w:bCs w:val="0"/>
          <w:sz w:val="32"/>
          <w:szCs w:val="32"/>
          <w:lang w:eastAsia="zh-CN"/>
        </w:rPr>
        <w:t>一是</w:t>
      </w:r>
      <w:r>
        <w:rPr>
          <w:rFonts w:eastAsia="仿宋_GB2312"/>
          <w:b w:val="0"/>
          <w:bCs w:val="0"/>
          <w:sz w:val="32"/>
          <w:szCs w:val="32"/>
        </w:rPr>
        <w:t>根据需要进行家庭适老化改造，居家环境基本满足重度失能老年人和重度残疾老年人的居家养老服务条件</w:t>
      </w:r>
      <w:r>
        <w:rPr>
          <w:rFonts w:hint="eastAsia"/>
          <w:b w:val="0"/>
          <w:bCs w:val="0"/>
          <w:sz w:val="32"/>
          <w:szCs w:val="32"/>
          <w:lang w:eastAsia="zh-CN"/>
        </w:rPr>
        <w:t>；二是</w:t>
      </w:r>
      <w:r>
        <w:rPr>
          <w:rFonts w:eastAsia="仿宋_GB2312"/>
          <w:b w:val="0"/>
          <w:bCs w:val="0"/>
          <w:sz w:val="32"/>
          <w:szCs w:val="32"/>
        </w:rPr>
        <w:t>安装必要的信息管理系统和电子信息服务设备，包括紧急呼叫、智能穿戴、智能感应、远程监控、信息传输等设备。</w:t>
      </w:r>
    </w:p>
    <w:p>
      <w:pPr>
        <w:keepNext w:val="0"/>
        <w:keepLines w:val="0"/>
        <w:pageBreakBefore w:val="0"/>
        <w:widowControl w:val="0"/>
        <w:shd w:val="clear" w:color="auto" w:fill="FFFFFF"/>
        <w:kinsoku/>
        <w:wordWrap/>
        <w:overflowPunct/>
        <w:topLinePunct w:val="0"/>
        <w:autoSpaceDE/>
        <w:autoSpaceDN/>
        <w:bidi w:val="0"/>
        <w:spacing w:line="600" w:lineRule="exact"/>
        <w:ind w:firstLine="640" w:firstLineChars="200"/>
        <w:textAlignment w:val="auto"/>
        <w:rPr>
          <w:rFonts w:eastAsia="仿宋_GB2312"/>
          <w:b/>
          <w:kern w:val="0"/>
          <w:sz w:val="32"/>
          <w:szCs w:val="32"/>
        </w:rPr>
      </w:pPr>
      <w:r>
        <w:rPr>
          <w:rFonts w:hint="eastAsia" w:eastAsia="仿宋_GB2312"/>
          <w:sz w:val="32"/>
          <w:szCs w:val="32"/>
          <w:lang w:val="en-US" w:eastAsia="zh-CN"/>
        </w:rPr>
        <w:t>4.补贴标准，（1）适老化改造补贴标准参考了西城3000元、朝阳2000元、海淀2000元，结合我区适老化改造内容，</w:t>
      </w:r>
      <w:r>
        <w:rPr>
          <w:rFonts w:hint="eastAsia"/>
          <w:sz w:val="32"/>
          <w:szCs w:val="32"/>
          <w:lang w:val="en-US" w:eastAsia="zh-CN"/>
        </w:rPr>
        <w:t>明</w:t>
      </w:r>
      <w:r>
        <w:rPr>
          <w:rFonts w:hint="eastAsia" w:eastAsia="仿宋_GB2312"/>
          <w:sz w:val="32"/>
          <w:szCs w:val="32"/>
          <w:lang w:val="en-US" w:eastAsia="zh-CN"/>
        </w:rPr>
        <w:t>确了床位建设适老化补贴标准上限为2000元，包括医用护理床等（详见细则附件4），由区财政承担;（2）床位服务补贴标准参照养老机构运营补贴政策，按照每床每月600元予以补贴，所需资金由市、区两级财政共同负担，其中市级财政承担每床每月500元，区级财政承担每床每月100元。</w:t>
      </w:r>
      <w:r>
        <w:rPr>
          <w:rFonts w:hint="eastAsia"/>
          <w:sz w:val="32"/>
          <w:szCs w:val="32"/>
          <w:lang w:val="en-US" w:eastAsia="zh-CN"/>
        </w:rPr>
        <w:t>（3）</w:t>
      </w:r>
      <w:r>
        <w:rPr>
          <w:rFonts w:eastAsia="仿宋_GB2312"/>
          <w:kern w:val="0"/>
          <w:sz w:val="32"/>
          <w:szCs w:val="32"/>
        </w:rPr>
        <w:t>签约服务机构为服务对象提供的免费服务达到</w:t>
      </w:r>
      <w:r>
        <w:rPr>
          <w:rFonts w:hint="eastAsia"/>
          <w:kern w:val="0"/>
          <w:sz w:val="32"/>
          <w:szCs w:val="32"/>
          <w:lang w:eastAsia="zh-CN"/>
        </w:rPr>
        <w:t>细则中</w:t>
      </w:r>
      <w:r>
        <w:rPr>
          <w:rFonts w:eastAsia="仿宋_GB2312"/>
          <w:kern w:val="0"/>
          <w:sz w:val="32"/>
          <w:szCs w:val="32"/>
        </w:rPr>
        <w:t>要求的，补贴标准为每月</w:t>
      </w:r>
      <w:r>
        <w:rPr>
          <w:rFonts w:hint="eastAsia" w:eastAsia="仿宋_GB2312"/>
          <w:kern w:val="0"/>
          <w:sz w:val="32"/>
          <w:szCs w:val="32"/>
          <w:lang w:val="en-US" w:eastAsia="zh-CN"/>
        </w:rPr>
        <w:t>600</w:t>
      </w:r>
      <w:r>
        <w:rPr>
          <w:rFonts w:eastAsia="仿宋_GB2312"/>
          <w:kern w:val="0"/>
          <w:sz w:val="32"/>
          <w:szCs w:val="32"/>
        </w:rPr>
        <w:t>元。</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eastAsia="仿宋_GB2312"/>
          <w:sz w:val="32"/>
          <w:szCs w:val="32"/>
          <w:lang w:val="en-US" w:eastAsia="zh-CN"/>
        </w:rPr>
      </w:pPr>
      <w:r>
        <w:rPr>
          <w:rFonts w:hint="eastAsia" w:eastAsia="仿宋_GB2312"/>
          <w:sz w:val="32"/>
          <w:szCs w:val="32"/>
          <w:lang w:val="en-US" w:eastAsia="zh-CN"/>
        </w:rPr>
        <w:t>5.服务流程，分为申请、评估、改造、备案、服务、补贴发放六个流程。（1）申请，</w:t>
      </w:r>
      <w:r>
        <w:rPr>
          <w:rFonts w:hint="eastAsia"/>
          <w:sz w:val="32"/>
          <w:szCs w:val="32"/>
          <w:lang w:val="en-US" w:eastAsia="zh-CN"/>
        </w:rPr>
        <w:t>符合条件的</w:t>
      </w:r>
      <w:r>
        <w:rPr>
          <w:rFonts w:hint="eastAsia" w:eastAsia="仿宋_GB2312"/>
          <w:sz w:val="32"/>
          <w:szCs w:val="32"/>
          <w:lang w:val="en-US" w:eastAsia="zh-CN"/>
        </w:rPr>
        <w:t>个人向街道（乡镇）申请；（2）评估，由养老服务机构评估；（3）改造，由适老化改造服务机构进行改造；（4）备案，</w:t>
      </w:r>
      <w:r>
        <w:rPr>
          <w:rFonts w:eastAsia="仿宋_GB2312"/>
          <w:sz w:val="32"/>
          <w:szCs w:val="32"/>
        </w:rPr>
        <w:t>坚持</w:t>
      </w:r>
      <w:r>
        <w:rPr>
          <w:rFonts w:hint="eastAsia"/>
          <w:sz w:val="32"/>
          <w:szCs w:val="32"/>
          <w:lang w:eastAsia="zh-CN"/>
        </w:rPr>
        <w:t>“</w:t>
      </w:r>
      <w:r>
        <w:rPr>
          <w:rFonts w:eastAsia="仿宋_GB2312"/>
          <w:sz w:val="32"/>
          <w:szCs w:val="32"/>
        </w:rPr>
        <w:t>人床匹配</w:t>
      </w:r>
      <w:r>
        <w:rPr>
          <w:rFonts w:hint="eastAsia"/>
          <w:sz w:val="32"/>
          <w:szCs w:val="32"/>
          <w:lang w:eastAsia="zh-CN"/>
        </w:rPr>
        <w:t>”</w:t>
      </w:r>
      <w:r>
        <w:rPr>
          <w:rFonts w:eastAsia="仿宋_GB2312"/>
          <w:sz w:val="32"/>
          <w:szCs w:val="32"/>
        </w:rPr>
        <w:t>原则，服务协议生效后，由签约养老服务机构</w:t>
      </w:r>
      <w:r>
        <w:rPr>
          <w:rFonts w:hint="eastAsia"/>
          <w:sz w:val="32"/>
          <w:szCs w:val="32"/>
          <w:lang w:eastAsia="zh-CN"/>
        </w:rPr>
        <w:t>及时</w:t>
      </w:r>
      <w:r>
        <w:rPr>
          <w:rFonts w:eastAsia="仿宋_GB2312"/>
          <w:sz w:val="32"/>
          <w:szCs w:val="32"/>
        </w:rPr>
        <w:t>将相关信息录入北京市社会福利服务管理平台，服务终止</w:t>
      </w:r>
      <w:r>
        <w:rPr>
          <w:rFonts w:hint="eastAsia"/>
          <w:sz w:val="32"/>
          <w:szCs w:val="32"/>
          <w:lang w:eastAsia="zh-CN"/>
        </w:rPr>
        <w:t>后</w:t>
      </w:r>
      <w:r>
        <w:rPr>
          <w:rFonts w:eastAsia="仿宋_GB2312"/>
          <w:sz w:val="32"/>
          <w:szCs w:val="32"/>
        </w:rPr>
        <w:t>进行变更</w:t>
      </w:r>
      <w:r>
        <w:rPr>
          <w:rFonts w:hint="eastAsia" w:eastAsia="仿宋_GB2312"/>
          <w:sz w:val="32"/>
          <w:szCs w:val="32"/>
          <w:lang w:val="en-US" w:eastAsia="zh-CN"/>
        </w:rPr>
        <w:t>；（5）服务，个人和养老服务机构签订协议，根据协议服务</w:t>
      </w:r>
      <w:r>
        <w:rPr>
          <w:rFonts w:hint="eastAsia"/>
          <w:sz w:val="32"/>
          <w:szCs w:val="32"/>
          <w:lang w:val="en-US" w:eastAsia="zh-CN"/>
        </w:rPr>
        <w:t>，</w:t>
      </w:r>
      <w:r>
        <w:rPr>
          <w:rFonts w:eastAsia="仿宋_GB2312"/>
          <w:sz w:val="32"/>
          <w:szCs w:val="32"/>
        </w:rPr>
        <w:t>服务协议中，应明确</w:t>
      </w:r>
      <w:r>
        <w:rPr>
          <w:rFonts w:hint="eastAsia"/>
          <w:sz w:val="32"/>
          <w:szCs w:val="32"/>
          <w:lang w:eastAsia="zh-CN"/>
        </w:rPr>
        <w:t>相应</w:t>
      </w:r>
      <w:r>
        <w:rPr>
          <w:rFonts w:eastAsia="仿宋_GB2312"/>
          <w:sz w:val="32"/>
          <w:szCs w:val="32"/>
        </w:rPr>
        <w:t>责任划分原则</w:t>
      </w:r>
      <w:r>
        <w:rPr>
          <w:rFonts w:hint="eastAsia" w:eastAsia="仿宋_GB2312"/>
          <w:sz w:val="32"/>
          <w:szCs w:val="32"/>
          <w:lang w:val="en-US" w:eastAsia="zh-CN"/>
        </w:rPr>
        <w:t>；（6）补贴，按照“先服务，后补贴”的原则，补贴按季度发放。</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sz w:val="32"/>
          <w:szCs w:val="32"/>
          <w:lang w:val="en-US" w:eastAsia="zh-CN"/>
        </w:rPr>
      </w:pPr>
      <w:r>
        <w:rPr>
          <w:rFonts w:hint="eastAsia" w:eastAsia="仿宋_GB2312"/>
          <w:sz w:val="32"/>
          <w:szCs w:val="32"/>
          <w:lang w:val="en-US" w:eastAsia="zh-CN"/>
        </w:rPr>
        <w:t>6.服务终止，因服务对象住院、变更居住地、去世等原因，及养老服务机构被整顿、关停等原因，</w:t>
      </w:r>
      <w:r>
        <w:rPr>
          <w:rFonts w:hint="eastAsia"/>
          <w:sz w:val="32"/>
          <w:szCs w:val="32"/>
          <w:lang w:val="en-US" w:eastAsia="zh-CN"/>
        </w:rPr>
        <w:t>视为</w:t>
      </w:r>
      <w:r>
        <w:rPr>
          <w:rFonts w:hint="eastAsia" w:eastAsia="仿宋_GB2312"/>
          <w:sz w:val="32"/>
          <w:szCs w:val="32"/>
          <w:lang w:val="en-US" w:eastAsia="zh-CN"/>
        </w:rPr>
        <w:t>服务终止。</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sz w:val="32"/>
          <w:szCs w:val="32"/>
          <w:lang w:val="en-US" w:eastAsia="zh-CN"/>
        </w:rPr>
      </w:pPr>
      <w:r>
        <w:rPr>
          <w:rFonts w:hint="eastAsia" w:eastAsia="仿宋_GB2312"/>
          <w:sz w:val="32"/>
          <w:szCs w:val="32"/>
          <w:lang w:val="en-US" w:eastAsia="zh-CN"/>
        </w:rPr>
        <w:t>7.日常管理，养老家庭照护床位实行综合监管，（1）专项监管，由区财政局、区卫健委、区医保局、区残联按职责落实专项监管责任；（2）行业监管，由区民政局落实行业监管责任；（3）属地监管，由街道（乡/镇）落实属地监管责任</w:t>
      </w:r>
      <w:r>
        <w:rPr>
          <w:rFonts w:hint="eastAsia"/>
          <w:sz w:val="32"/>
          <w:szCs w:val="32"/>
          <w:lang w:val="en-US" w:eastAsia="zh-CN"/>
        </w:rPr>
        <w:t>，</w:t>
      </w:r>
      <w:r>
        <w:rPr>
          <w:rFonts w:eastAsia="仿宋_GB2312"/>
          <w:sz w:val="32"/>
          <w:szCs w:val="32"/>
        </w:rPr>
        <w:t>包括签约服务对象情况、开展服务情况</w:t>
      </w:r>
      <w:r>
        <w:rPr>
          <w:rFonts w:hint="eastAsia" w:eastAsia="仿宋_GB2312"/>
          <w:sz w:val="32"/>
          <w:szCs w:val="32"/>
          <w:lang w:val="en-US" w:eastAsia="zh-CN"/>
        </w:rPr>
        <w:t>；（4）第三方监管，由第三方服务及监管机构，对服务对象的生命体征数据进行实时采集和监测，对养老家庭照护床位运行状况和服务质量开展线上、线下日常监管，</w:t>
      </w:r>
      <w:r>
        <w:rPr>
          <w:rFonts w:eastAsia="仿宋_GB2312"/>
          <w:sz w:val="32"/>
          <w:szCs w:val="32"/>
        </w:rPr>
        <w:t>对服务质量情况进行实时和全流程监测，逐月向区民政局提交《通州区养老家庭照护床位运行状况和质量监测报告》、向各街道（乡/镇）提交本街道（乡/镇）《养老家庭照护床位运行状况和质量监测分报告》</w:t>
      </w:r>
      <w:r>
        <w:rPr>
          <w:rFonts w:hint="eastAsia"/>
          <w:sz w:val="32"/>
          <w:szCs w:val="32"/>
          <w:lang w:eastAsia="zh-CN"/>
        </w:rPr>
        <w:t>。</w:t>
      </w:r>
      <w:r>
        <w:rPr>
          <w:rFonts w:hint="eastAsia" w:eastAsia="仿宋_GB2312"/>
          <w:sz w:val="32"/>
          <w:szCs w:val="32"/>
          <w:lang w:val="en-US" w:eastAsia="zh-CN"/>
        </w:rPr>
        <w:t>定期开展满意度调查，接受来电咨询和投诉，并进行回访，每年对养老服务机构的服务质量进行综合排名。</w:t>
      </w: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eastAsia="仿宋_GB2312"/>
          <w:sz w:val="32"/>
          <w:szCs w:val="32"/>
          <w:lang w:val="en-US" w:eastAsia="zh-CN"/>
        </w:rPr>
      </w:pPr>
      <w:r>
        <w:rPr>
          <w:rFonts w:hint="eastAsia"/>
          <w:b w:val="0"/>
          <w:bCs w:val="0"/>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960" w:firstLineChars="300"/>
        <w:jc w:val="both"/>
        <w:textAlignment w:val="auto"/>
        <w:rPr>
          <w:rFonts w:ascii="Times New Roman"/>
        </w:rPr>
      </w:pPr>
    </w:p>
    <w:sectPr>
      <w:footerReference r:id="rId3" w:type="default"/>
      <w:pgSz w:w="11906" w:h="16838"/>
      <w:pgMar w:top="2098" w:right="1474" w:bottom="1474" w:left="1588" w:header="851" w:footer="992" w:gutter="0"/>
      <w:pgNumType w:start="1"/>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FF9EC0"/>
    <w:multiLevelType w:val="singleLevel"/>
    <w:tmpl w:val="BEFF9EC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bordersDoNotSurroundHeader w:val="false"/>
  <w:bordersDoNotSurroundFooter w:val="false"/>
  <w:documentProtection w:enforcement="0"/>
  <w:defaultTabStop w:val="420"/>
  <w:drawingGridHorizontalSpacing w:val="160"/>
  <w:drawingGridVerticalSpacing w:val="435"/>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0C6"/>
    <w:rsid w:val="0000424A"/>
    <w:rsid w:val="0001480D"/>
    <w:rsid w:val="00021817"/>
    <w:rsid w:val="000404D6"/>
    <w:rsid w:val="00040E8F"/>
    <w:rsid w:val="000460AF"/>
    <w:rsid w:val="0005579E"/>
    <w:rsid w:val="000A7180"/>
    <w:rsid w:val="000C22C2"/>
    <w:rsid w:val="000E56F4"/>
    <w:rsid w:val="001162C6"/>
    <w:rsid w:val="001272AE"/>
    <w:rsid w:val="001E6F12"/>
    <w:rsid w:val="002162DE"/>
    <w:rsid w:val="00234D57"/>
    <w:rsid w:val="00301913"/>
    <w:rsid w:val="0039743E"/>
    <w:rsid w:val="003D2741"/>
    <w:rsid w:val="0041512F"/>
    <w:rsid w:val="0043144A"/>
    <w:rsid w:val="004973B2"/>
    <w:rsid w:val="004A2C78"/>
    <w:rsid w:val="004D33B2"/>
    <w:rsid w:val="00500048"/>
    <w:rsid w:val="005268DF"/>
    <w:rsid w:val="005B0DB4"/>
    <w:rsid w:val="005C36CC"/>
    <w:rsid w:val="005D6479"/>
    <w:rsid w:val="00627BEE"/>
    <w:rsid w:val="0069494A"/>
    <w:rsid w:val="006A29C9"/>
    <w:rsid w:val="006B1933"/>
    <w:rsid w:val="006E2F47"/>
    <w:rsid w:val="0070326F"/>
    <w:rsid w:val="00740D78"/>
    <w:rsid w:val="007B1124"/>
    <w:rsid w:val="007F6548"/>
    <w:rsid w:val="00827FCD"/>
    <w:rsid w:val="008336D0"/>
    <w:rsid w:val="008442F8"/>
    <w:rsid w:val="008D0E6A"/>
    <w:rsid w:val="00933A2A"/>
    <w:rsid w:val="009457BF"/>
    <w:rsid w:val="00963AB2"/>
    <w:rsid w:val="00975DCF"/>
    <w:rsid w:val="00984448"/>
    <w:rsid w:val="00997887"/>
    <w:rsid w:val="00A220D8"/>
    <w:rsid w:val="00A23B21"/>
    <w:rsid w:val="00B05609"/>
    <w:rsid w:val="00B44720"/>
    <w:rsid w:val="00BE481B"/>
    <w:rsid w:val="00C17DD3"/>
    <w:rsid w:val="00CB60C6"/>
    <w:rsid w:val="00CC7619"/>
    <w:rsid w:val="00D02EFD"/>
    <w:rsid w:val="00D17613"/>
    <w:rsid w:val="00D24063"/>
    <w:rsid w:val="00D43CD2"/>
    <w:rsid w:val="00D828A2"/>
    <w:rsid w:val="00D95410"/>
    <w:rsid w:val="00DE1F6B"/>
    <w:rsid w:val="00E52197"/>
    <w:rsid w:val="00E928FE"/>
    <w:rsid w:val="00EA7B70"/>
    <w:rsid w:val="00ED5183"/>
    <w:rsid w:val="00F84CEA"/>
    <w:rsid w:val="00FB454E"/>
    <w:rsid w:val="00FC0C36"/>
    <w:rsid w:val="00FF0C3D"/>
    <w:rsid w:val="014B047D"/>
    <w:rsid w:val="09FD8FC3"/>
    <w:rsid w:val="0BE43B5C"/>
    <w:rsid w:val="15A95F3B"/>
    <w:rsid w:val="17DF32CF"/>
    <w:rsid w:val="17FF2AE2"/>
    <w:rsid w:val="1ABBE35E"/>
    <w:rsid w:val="1E5F2CA9"/>
    <w:rsid w:val="1EED202F"/>
    <w:rsid w:val="2EF69140"/>
    <w:rsid w:val="2FE641FB"/>
    <w:rsid w:val="33FEB351"/>
    <w:rsid w:val="36BD3779"/>
    <w:rsid w:val="37A01560"/>
    <w:rsid w:val="39FF2A3E"/>
    <w:rsid w:val="3A8E8F3A"/>
    <w:rsid w:val="3B9E0E8D"/>
    <w:rsid w:val="3BA96B6F"/>
    <w:rsid w:val="3ECFB7AA"/>
    <w:rsid w:val="3F3F78E4"/>
    <w:rsid w:val="3FFF906B"/>
    <w:rsid w:val="43B99E0B"/>
    <w:rsid w:val="45EE6ADB"/>
    <w:rsid w:val="50875364"/>
    <w:rsid w:val="54FF93AC"/>
    <w:rsid w:val="55D7101E"/>
    <w:rsid w:val="5A760811"/>
    <w:rsid w:val="5BBFDC68"/>
    <w:rsid w:val="5D13480E"/>
    <w:rsid w:val="5DB5A032"/>
    <w:rsid w:val="5DC87BF8"/>
    <w:rsid w:val="5E8FA816"/>
    <w:rsid w:val="5EBAF864"/>
    <w:rsid w:val="5F7B7921"/>
    <w:rsid w:val="5F87F5AC"/>
    <w:rsid w:val="5FB77862"/>
    <w:rsid w:val="5FFC2428"/>
    <w:rsid w:val="5FFFAACC"/>
    <w:rsid w:val="618A70ED"/>
    <w:rsid w:val="63237984"/>
    <w:rsid w:val="63DEB745"/>
    <w:rsid w:val="65FF26BD"/>
    <w:rsid w:val="67BFB5B8"/>
    <w:rsid w:val="6BFD5B02"/>
    <w:rsid w:val="6BFE1E3A"/>
    <w:rsid w:val="6E2625A9"/>
    <w:rsid w:val="6F3EEFFA"/>
    <w:rsid w:val="6FFD6D90"/>
    <w:rsid w:val="6FFFE563"/>
    <w:rsid w:val="70ED220F"/>
    <w:rsid w:val="72A1285D"/>
    <w:rsid w:val="73FF6265"/>
    <w:rsid w:val="74E9A656"/>
    <w:rsid w:val="74EF5F6E"/>
    <w:rsid w:val="75A7E149"/>
    <w:rsid w:val="75FFC350"/>
    <w:rsid w:val="76BFCF35"/>
    <w:rsid w:val="76F6EB81"/>
    <w:rsid w:val="773BD81A"/>
    <w:rsid w:val="77672554"/>
    <w:rsid w:val="77BFA3D5"/>
    <w:rsid w:val="7889597F"/>
    <w:rsid w:val="79105A7C"/>
    <w:rsid w:val="796F32EB"/>
    <w:rsid w:val="7ABB6B43"/>
    <w:rsid w:val="7ABE404F"/>
    <w:rsid w:val="7B6E15E0"/>
    <w:rsid w:val="7C784501"/>
    <w:rsid w:val="7D5B151A"/>
    <w:rsid w:val="7E5F61F4"/>
    <w:rsid w:val="7E632DF7"/>
    <w:rsid w:val="7EB4FF4C"/>
    <w:rsid w:val="7ECB2BC6"/>
    <w:rsid w:val="7ED92303"/>
    <w:rsid w:val="7EE87DC4"/>
    <w:rsid w:val="7EF5A85B"/>
    <w:rsid w:val="7EFA7A77"/>
    <w:rsid w:val="7EFD9296"/>
    <w:rsid w:val="7F6F7D4F"/>
    <w:rsid w:val="7F9DD94B"/>
    <w:rsid w:val="7F9F95EF"/>
    <w:rsid w:val="7FB29053"/>
    <w:rsid w:val="7FBD8E88"/>
    <w:rsid w:val="7FCE701E"/>
    <w:rsid w:val="7FD70F9B"/>
    <w:rsid w:val="82C991E6"/>
    <w:rsid w:val="97FA2853"/>
    <w:rsid w:val="9F6F3A8C"/>
    <w:rsid w:val="9FA9876F"/>
    <w:rsid w:val="ADEBE780"/>
    <w:rsid w:val="AFE84D71"/>
    <w:rsid w:val="AFFE6811"/>
    <w:rsid w:val="B37BBC4F"/>
    <w:rsid w:val="B7DBCDB7"/>
    <w:rsid w:val="B9DDA12A"/>
    <w:rsid w:val="BC7F24E1"/>
    <w:rsid w:val="BDDBB00E"/>
    <w:rsid w:val="BF2F214B"/>
    <w:rsid w:val="BF7B82A5"/>
    <w:rsid w:val="BF95AD23"/>
    <w:rsid w:val="BF98733E"/>
    <w:rsid w:val="BFBE7ADE"/>
    <w:rsid w:val="BFF653F4"/>
    <w:rsid w:val="BFFF9BF8"/>
    <w:rsid w:val="C4F61E91"/>
    <w:rsid w:val="C5BF0EF3"/>
    <w:rsid w:val="C8FE7E35"/>
    <w:rsid w:val="CBFFD539"/>
    <w:rsid w:val="CDB555ED"/>
    <w:rsid w:val="D2DD61D7"/>
    <w:rsid w:val="D6BF9860"/>
    <w:rsid w:val="D6F7A256"/>
    <w:rsid w:val="D6FEA2DE"/>
    <w:rsid w:val="D7774D13"/>
    <w:rsid w:val="DBEBB1E5"/>
    <w:rsid w:val="DC825600"/>
    <w:rsid w:val="DD5BFFB7"/>
    <w:rsid w:val="DDF34892"/>
    <w:rsid w:val="DDFF23C4"/>
    <w:rsid w:val="DF3E1610"/>
    <w:rsid w:val="DFAD5817"/>
    <w:rsid w:val="DFBFFDB0"/>
    <w:rsid w:val="DFC9C193"/>
    <w:rsid w:val="DFD76F2F"/>
    <w:rsid w:val="DFFBA7AD"/>
    <w:rsid w:val="E6FDE893"/>
    <w:rsid w:val="E9E33E33"/>
    <w:rsid w:val="E9FF4491"/>
    <w:rsid w:val="EBFDDE7D"/>
    <w:rsid w:val="ECFF93A5"/>
    <w:rsid w:val="ED8F9615"/>
    <w:rsid w:val="EE9FCCDC"/>
    <w:rsid w:val="EED3F4C5"/>
    <w:rsid w:val="EF393A61"/>
    <w:rsid w:val="EFFF9F36"/>
    <w:rsid w:val="F2628570"/>
    <w:rsid w:val="F3BF9D95"/>
    <w:rsid w:val="F3E72EB2"/>
    <w:rsid w:val="F3FCD3F9"/>
    <w:rsid w:val="F5FFFAD8"/>
    <w:rsid w:val="F7BED5A9"/>
    <w:rsid w:val="F7DAF803"/>
    <w:rsid w:val="F7FE6EA9"/>
    <w:rsid w:val="F97B4B23"/>
    <w:rsid w:val="FADF4A8B"/>
    <w:rsid w:val="FAF05AD5"/>
    <w:rsid w:val="FB3EE34E"/>
    <w:rsid w:val="FB5D56B7"/>
    <w:rsid w:val="FBFD5CA8"/>
    <w:rsid w:val="FBFD89BC"/>
    <w:rsid w:val="FCD92585"/>
    <w:rsid w:val="FD9F1147"/>
    <w:rsid w:val="FDBCC1DD"/>
    <w:rsid w:val="FDEDEE4B"/>
    <w:rsid w:val="FDFF0264"/>
    <w:rsid w:val="FDFF437C"/>
    <w:rsid w:val="FDFF7B02"/>
    <w:rsid w:val="FE556585"/>
    <w:rsid w:val="FE5BE5A0"/>
    <w:rsid w:val="FE7FDC02"/>
    <w:rsid w:val="FF001704"/>
    <w:rsid w:val="FF3F85C9"/>
    <w:rsid w:val="FFB965DE"/>
    <w:rsid w:val="FFBA341C"/>
    <w:rsid w:val="FFEF8C18"/>
    <w:rsid w:val="FFF7665C"/>
    <w:rsid w:val="FFFB1BFC"/>
    <w:rsid w:val="FFFBDFD8"/>
    <w:rsid w:val="FFFFA2C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lang w:val="en-US" w:eastAsia="zh-CN" w:bidi="ar-SA"/>
    </w:rPr>
  </w:style>
  <w:style w:type="paragraph" w:styleId="2">
    <w:name w:val="heading 1"/>
    <w:basedOn w:val="1"/>
    <w:next w:val="1"/>
    <w:link w:val="17"/>
    <w:qFormat/>
    <w:uiPriority w:val="0"/>
    <w:pPr>
      <w:keepNext/>
      <w:keepLines/>
      <w:spacing w:before="340" w:after="330" w:line="576" w:lineRule="auto"/>
      <w:outlineLvl w:val="0"/>
    </w:pPr>
    <w:rPr>
      <w:rFonts w:ascii="Calibri" w:hAnsi="Calibri" w:eastAsia="宋体"/>
      <w:b/>
      <w:kern w:val="44"/>
      <w:sz w:val="44"/>
      <w:szCs w:val="2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1"/>
    <w:unhideWhenUsed/>
    <w:qFormat/>
    <w:uiPriority w:val="99"/>
    <w:pPr>
      <w:spacing w:after="120"/>
      <w:ind w:left="420" w:leftChars="200"/>
    </w:pPr>
  </w:style>
  <w:style w:type="paragraph" w:styleId="4">
    <w:name w:val="Balloon Text"/>
    <w:basedOn w:val="1"/>
    <w:link w:val="18"/>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customStyle="1" w:styleId="11">
    <w:name w:val="正文文本缩进 字符"/>
    <w:link w:val="3"/>
    <w:qFormat/>
    <w:uiPriority w:val="99"/>
    <w:rPr>
      <w:rFonts w:ascii="仿宋_GB2312" w:hAnsi="Times New Roman" w:eastAsia="仿宋_GB2312" w:cs="Times New Roman"/>
      <w:sz w:val="32"/>
      <w:szCs w:val="20"/>
    </w:rPr>
  </w:style>
  <w:style w:type="character" w:customStyle="1" w:styleId="12">
    <w:name w:val="页脚 字符"/>
    <w:link w:val="5"/>
    <w:qFormat/>
    <w:uiPriority w:val="99"/>
    <w:rPr>
      <w:sz w:val="18"/>
      <w:szCs w:val="18"/>
    </w:rPr>
  </w:style>
  <w:style w:type="character" w:customStyle="1" w:styleId="13">
    <w:name w:val="页脚 Char1"/>
    <w:basedOn w:val="9"/>
    <w:semiHidden/>
    <w:qFormat/>
    <w:uiPriority w:val="99"/>
    <w:rPr>
      <w:rFonts w:ascii="仿宋_GB2312" w:hAnsi="Times New Roman" w:eastAsia="仿宋_GB2312" w:cs="Times New Roman"/>
      <w:sz w:val="18"/>
      <w:szCs w:val="18"/>
    </w:rPr>
  </w:style>
  <w:style w:type="character" w:customStyle="1" w:styleId="14">
    <w:name w:val="正文文本缩进 Char1"/>
    <w:basedOn w:val="9"/>
    <w:semiHidden/>
    <w:qFormat/>
    <w:uiPriority w:val="99"/>
    <w:rPr>
      <w:rFonts w:ascii="仿宋_GB2312" w:hAnsi="Times New Roman" w:eastAsia="仿宋_GB2312" w:cs="Times New Roman"/>
      <w:sz w:val="32"/>
      <w:szCs w:val="20"/>
    </w:rPr>
  </w:style>
  <w:style w:type="character" w:customStyle="1" w:styleId="15">
    <w:name w:val="页眉 字符"/>
    <w:basedOn w:val="9"/>
    <w:link w:val="6"/>
    <w:qFormat/>
    <w:uiPriority w:val="99"/>
    <w:rPr>
      <w:rFonts w:ascii="仿宋_GB2312" w:hAnsi="Times New Roman" w:eastAsia="仿宋_GB2312" w:cs="Times New Roman"/>
      <w:sz w:val="18"/>
      <w:szCs w:val="18"/>
    </w:rPr>
  </w:style>
  <w:style w:type="paragraph" w:styleId="16">
    <w:name w:val="List Paragraph"/>
    <w:basedOn w:val="1"/>
    <w:qFormat/>
    <w:uiPriority w:val="34"/>
    <w:pPr>
      <w:ind w:firstLine="420" w:firstLineChars="200"/>
    </w:pPr>
    <w:rPr>
      <w:rFonts w:ascii="等线" w:hAnsi="等线" w:eastAsia="等线"/>
      <w:sz w:val="21"/>
      <w:szCs w:val="22"/>
    </w:rPr>
  </w:style>
  <w:style w:type="character" w:customStyle="1" w:styleId="17">
    <w:name w:val="标题 1 字符"/>
    <w:basedOn w:val="9"/>
    <w:link w:val="2"/>
    <w:qFormat/>
    <w:uiPriority w:val="0"/>
    <w:rPr>
      <w:rFonts w:ascii="Calibri" w:hAnsi="Calibri" w:eastAsia="宋体" w:cs="Times New Roman"/>
      <w:b/>
      <w:kern w:val="44"/>
      <w:sz w:val="44"/>
      <w:szCs w:val="24"/>
    </w:rPr>
  </w:style>
  <w:style w:type="character" w:customStyle="1" w:styleId="18">
    <w:name w:val="批注框文本 字符"/>
    <w:basedOn w:val="9"/>
    <w:link w:val="4"/>
    <w:semiHidden/>
    <w:qFormat/>
    <w:uiPriority w:val="99"/>
    <w:rPr>
      <w:rFonts w:ascii="仿宋_GB2312" w:eastAsia="仿宋_GB2312"/>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354</Words>
  <Characters>2019</Characters>
  <Lines>16</Lines>
  <Paragraphs>4</Paragraphs>
  <TotalTime>8</TotalTime>
  <ScaleCrop>false</ScaleCrop>
  <LinksUpToDate>false</LinksUpToDate>
  <CharactersWithSpaces>2369</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2021-03-31T18:47:00Z</dcterms:created>
  <dc:creator>孙悦</dc:creator>
  <cp:lastModifiedBy>user</cp:lastModifiedBy>
  <cp:lastPrinted>2022-06-04T06:02:00Z</cp:lastPrinted>
  <dcterms:modified xsi:type="dcterms:W3CDTF">2024-08-07T09:40:39Z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556CAEF5A2934829B385521455791C89</vt:lpwstr>
  </property>
</Properties>
</file>