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66DEE">
      <w:pPr>
        <w:rPr>
          <w:rFonts w:ascii="仿宋" w:hAnsi="仿宋" w:eastAsia="仿宋" w:cs="仿宋"/>
          <w:sz w:val="32"/>
          <w:szCs w:val="32"/>
        </w:rPr>
      </w:pPr>
      <w:r>
        <w:rPr>
          <w:rFonts w:hint="eastAsia" w:ascii="仿宋" w:hAnsi="仿宋" w:eastAsia="仿宋" w:cs="仿宋"/>
          <w:sz w:val="32"/>
          <w:szCs w:val="32"/>
        </w:rPr>
        <w:t>附件2</w:t>
      </w:r>
    </w:p>
    <w:p w14:paraId="12A5DAC7">
      <w:pPr>
        <w:jc w:val="center"/>
        <w:rPr>
          <w:rFonts w:ascii="方正小标宋简体" w:hAnsi="宋体" w:eastAsia="方正小标宋简体" w:cs="宋体"/>
          <w:bCs/>
          <w:sz w:val="44"/>
        </w:rPr>
      </w:pPr>
      <w:r>
        <w:rPr>
          <w:rFonts w:hint="eastAsia" w:ascii="方正小标宋简体" w:hAnsi="宋体" w:eastAsia="方正小标宋简体" w:cs="宋体"/>
          <w:bCs/>
          <w:sz w:val="44"/>
        </w:rPr>
        <w:t>关于对《通州区社区公园公共场所噪声管理规定》的起草说明</w:t>
      </w:r>
    </w:p>
    <w:p w14:paraId="5CB5365A">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一、起草背景</w:t>
      </w:r>
    </w:p>
    <w:p w14:paraId="681B519E">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为落实区委主要领导调研指示精神，切实解决通州区社区公园噪音扰民问题，严格依照《中华人民共和国噪</w:t>
      </w:r>
      <w:r>
        <w:rPr>
          <w:rFonts w:hint="eastAsia" w:ascii="仿宋_GB2312" w:hAnsi="仿宋_GB2312" w:eastAsia="仿宋_GB2312" w:cs="仿宋_GB2312"/>
          <w:sz w:val="32"/>
          <w:szCs w:val="32"/>
          <w:lang w:val="en-US" w:eastAsia="zh-CN"/>
        </w:rPr>
        <w:t>声</w:t>
      </w:r>
      <w:bookmarkStart w:id="0" w:name="_GoBack"/>
      <w:bookmarkEnd w:id="0"/>
      <w:r>
        <w:rPr>
          <w:rFonts w:hint="eastAsia" w:ascii="仿宋_GB2312" w:hAnsi="仿宋_GB2312" w:eastAsia="仿宋_GB2312" w:cs="仿宋_GB2312"/>
          <w:sz w:val="32"/>
          <w:szCs w:val="32"/>
          <w:lang w:eastAsia="zh-CN"/>
        </w:rPr>
        <w:t>污染防治法》中明确的“公共场所管理者应当合理规定娱乐、健身活动的区域、时段、音量”之规定，按“分类制定，有总有分，一园一策”的原则，结合实际，起草本规定。</w:t>
      </w:r>
    </w:p>
    <w:p w14:paraId="543DCBD5">
      <w:pPr>
        <w:ind w:firstLine="640" w:firstLineChars="200"/>
        <w:rPr>
          <w:rFonts w:ascii="仿宋" w:hAnsi="仿宋" w:eastAsia="仿宋" w:cs="仿宋_GB2312"/>
          <w:snapToGrid w:val="0"/>
          <w:kern w:val="32"/>
          <w:sz w:val="32"/>
          <w:szCs w:val="32"/>
        </w:rPr>
      </w:pPr>
      <w:r>
        <w:rPr>
          <w:rFonts w:hint="eastAsia" w:ascii="黑体" w:hAnsi="黑体" w:eastAsia="黑体"/>
          <w:sz w:val="32"/>
          <w:szCs w:val="32"/>
        </w:rPr>
        <w:t>二、起草过程</w:t>
      </w:r>
    </w:p>
    <w:p w14:paraId="2BC3FB50">
      <w:pPr>
        <w:ind w:firstLine="640" w:firstLineChars="200"/>
        <w:rPr>
          <w:rFonts w:ascii="楷体" w:hAnsi="楷体" w:eastAsia="楷体" w:cs="仿宋"/>
          <w:b/>
          <w:bCs/>
          <w:sz w:val="32"/>
          <w:szCs w:val="32"/>
        </w:rPr>
      </w:pPr>
      <w:r>
        <w:rPr>
          <w:rFonts w:hint="eastAsia" w:ascii="仿宋" w:hAnsi="仿宋" w:eastAsia="仿宋" w:cs="仿宋_GB2312"/>
          <w:snapToGrid w:val="0"/>
          <w:kern w:val="32"/>
          <w:sz w:val="32"/>
          <w:szCs w:val="32"/>
        </w:rPr>
        <w:t>7月5日</w:t>
      </w:r>
      <w:r>
        <w:rPr>
          <w:rFonts w:hint="eastAsia" w:ascii="仿宋" w:hAnsi="仿宋" w:eastAsia="仿宋" w:cs="仿宋_GB2312"/>
          <w:snapToGrid w:val="0"/>
          <w:kern w:val="32"/>
          <w:sz w:val="32"/>
          <w:szCs w:val="32"/>
          <w:lang w:eastAsia="zh-CN"/>
        </w:rPr>
        <w:t>——</w:t>
      </w:r>
      <w:r>
        <w:rPr>
          <w:rFonts w:hint="eastAsia" w:ascii="仿宋" w:hAnsi="仿宋" w:eastAsia="仿宋" w:cs="仿宋_GB2312"/>
          <w:snapToGrid w:val="0"/>
          <w:kern w:val="32"/>
          <w:sz w:val="32"/>
          <w:szCs w:val="32"/>
          <w:lang w:val="en-US" w:eastAsia="zh-CN"/>
        </w:rPr>
        <w:t>19日</w:t>
      </w:r>
      <w:r>
        <w:rPr>
          <w:rFonts w:hint="eastAsia" w:ascii="仿宋" w:hAnsi="仿宋" w:eastAsia="仿宋" w:cs="仿宋_GB2312"/>
          <w:snapToGrid w:val="0"/>
          <w:kern w:val="32"/>
          <w:sz w:val="32"/>
          <w:szCs w:val="32"/>
        </w:rPr>
        <w:t>，</w:t>
      </w:r>
      <w:r>
        <w:rPr>
          <w:rFonts w:hint="eastAsia" w:ascii="仿宋_GB2312" w:hAnsi="仿宋_GB2312" w:eastAsia="仿宋_GB2312" w:cs="仿宋_GB2312"/>
          <w:sz w:val="32"/>
          <w:szCs w:val="32"/>
          <w:lang w:eastAsia="zh-CN"/>
        </w:rPr>
        <w:t>区园林绿化局多轮次</w:t>
      </w:r>
      <w:r>
        <w:rPr>
          <w:rFonts w:hint="eastAsia" w:ascii="仿宋_GB2312" w:hAnsi="仿宋_GB2312" w:eastAsia="仿宋_GB2312" w:cs="仿宋_GB2312"/>
          <w:sz w:val="32"/>
          <w:szCs w:val="32"/>
        </w:rPr>
        <w:t>征</w:t>
      </w:r>
      <w:r>
        <w:rPr>
          <w:rFonts w:hint="eastAsia" w:ascii="仿宋" w:hAnsi="仿宋" w:eastAsia="仿宋" w:cs="仿宋_GB2312"/>
          <w:snapToGrid w:val="0"/>
          <w:kern w:val="32"/>
          <w:sz w:val="32"/>
          <w:szCs w:val="32"/>
        </w:rPr>
        <w:t>求了</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生态环境局、公安分局、区委宣传部、区司法局、区检察院、属地街道</w:t>
      </w:r>
      <w:r>
        <w:rPr>
          <w:rFonts w:hint="eastAsia" w:ascii="仿宋t.祯畴_x0007_." w:hAnsi="仿宋t.祯畴_x0007_." w:eastAsia="仿宋t.祯畴_x0007_." w:cs="Times New Roman"/>
          <w:sz w:val="32"/>
          <w:szCs w:val="32"/>
        </w:rPr>
        <w:t>等</w:t>
      </w:r>
      <w:r>
        <w:rPr>
          <w:rFonts w:hint="eastAsia" w:ascii="仿宋" w:hAnsi="仿宋" w:eastAsia="仿宋" w:cs="仿宋_GB2312"/>
          <w:snapToGrid w:val="0"/>
          <w:kern w:val="32"/>
          <w:sz w:val="32"/>
          <w:szCs w:val="32"/>
          <w:lang w:val="en-US" w:eastAsia="zh-CN"/>
        </w:rPr>
        <w:t>8</w:t>
      </w:r>
      <w:r>
        <w:rPr>
          <w:rFonts w:hint="eastAsia" w:ascii="仿宋" w:hAnsi="仿宋" w:eastAsia="仿宋" w:cs="仿宋_GB2312"/>
          <w:snapToGrid w:val="0"/>
          <w:kern w:val="32"/>
          <w:sz w:val="32"/>
          <w:szCs w:val="32"/>
        </w:rPr>
        <w:t>家单位的意见。按照反馈意见，</w:t>
      </w:r>
      <w:r>
        <w:rPr>
          <w:rFonts w:hint="eastAsia" w:ascii="仿宋" w:hAnsi="仿宋" w:eastAsia="仿宋" w:cs="仿宋_GB2312"/>
          <w:snapToGrid w:val="0"/>
          <w:kern w:val="32"/>
          <w:sz w:val="32"/>
          <w:szCs w:val="32"/>
          <w:lang w:eastAsia="zh-CN"/>
        </w:rPr>
        <w:t>区园林绿化局</w:t>
      </w:r>
      <w:r>
        <w:rPr>
          <w:rFonts w:hint="eastAsia" w:ascii="仿宋_GB2312" w:hAnsi="仿宋_GB2312" w:eastAsia="仿宋_GB2312" w:cs="仿宋_GB2312"/>
          <w:sz w:val="32"/>
          <w:szCs w:val="32"/>
        </w:rPr>
        <w:t>进行了修改完善。</w:t>
      </w:r>
    </w:p>
    <w:p w14:paraId="792DB695">
      <w:pPr>
        <w:ind w:firstLine="640" w:firstLineChars="200"/>
        <w:rPr>
          <w:rFonts w:ascii="黑体" w:hAnsi="黑体" w:eastAsia="黑体"/>
          <w:sz w:val="32"/>
          <w:szCs w:val="32"/>
        </w:rPr>
      </w:pPr>
      <w:r>
        <w:rPr>
          <w:rFonts w:hint="eastAsia" w:ascii="黑体" w:hAnsi="黑体" w:eastAsia="黑体"/>
          <w:sz w:val="32"/>
          <w:szCs w:val="32"/>
        </w:rPr>
        <w:t>三、主要内容说明</w:t>
      </w:r>
    </w:p>
    <w:p w14:paraId="0CA62DDC">
      <w:pPr>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规定</w:t>
      </w:r>
      <w:r>
        <w:rPr>
          <w:rFonts w:hint="eastAsia" w:ascii="仿宋" w:hAnsi="仿宋" w:eastAsia="仿宋" w:cs="仿宋"/>
          <w:sz w:val="32"/>
          <w:szCs w:val="32"/>
        </w:rPr>
        <w:t>》主要内容包括</w:t>
      </w:r>
      <w:r>
        <w:rPr>
          <w:rFonts w:hint="eastAsia" w:ascii="仿宋" w:hAnsi="仿宋" w:eastAsia="仿宋" w:cs="仿宋"/>
          <w:sz w:val="32"/>
          <w:szCs w:val="32"/>
          <w:lang w:eastAsia="zh-CN"/>
        </w:rPr>
        <w:t>四章</w:t>
      </w:r>
      <w:r>
        <w:rPr>
          <w:rFonts w:hint="eastAsia" w:ascii="仿宋" w:hAnsi="仿宋" w:eastAsia="仿宋" w:cs="仿宋"/>
          <w:sz w:val="32"/>
          <w:szCs w:val="32"/>
        </w:rPr>
        <w:t>：</w:t>
      </w:r>
      <w:r>
        <w:rPr>
          <w:rFonts w:hint="eastAsia" w:ascii="仿宋" w:hAnsi="仿宋" w:eastAsia="仿宋" w:cs="仿宋"/>
          <w:sz w:val="32"/>
          <w:szCs w:val="32"/>
          <w:lang w:eastAsia="zh-CN"/>
        </w:rPr>
        <w:t>法律依据</w:t>
      </w:r>
      <w:r>
        <w:rPr>
          <w:rFonts w:hint="eastAsia" w:ascii="仿宋" w:hAnsi="仿宋" w:eastAsia="仿宋" w:cs="仿宋"/>
          <w:sz w:val="32"/>
          <w:szCs w:val="32"/>
        </w:rPr>
        <w:t>、</w:t>
      </w:r>
      <w:r>
        <w:rPr>
          <w:rFonts w:hint="eastAsia" w:ascii="仿宋" w:hAnsi="仿宋" w:eastAsia="仿宋" w:cs="仿宋"/>
          <w:sz w:val="32"/>
          <w:szCs w:val="32"/>
          <w:lang w:eastAsia="zh-CN"/>
        </w:rPr>
        <w:t>噪声控制的规范要求</w:t>
      </w:r>
      <w:r>
        <w:rPr>
          <w:rFonts w:hint="eastAsia" w:ascii="仿宋" w:hAnsi="仿宋" w:eastAsia="仿宋" w:cs="仿宋"/>
          <w:sz w:val="32"/>
          <w:szCs w:val="32"/>
        </w:rPr>
        <w:t>、</w:t>
      </w:r>
      <w:r>
        <w:rPr>
          <w:rFonts w:hint="eastAsia" w:ascii="仿宋" w:hAnsi="仿宋" w:eastAsia="仿宋" w:cs="仿宋"/>
          <w:sz w:val="32"/>
          <w:szCs w:val="32"/>
          <w:lang w:eastAsia="zh-CN"/>
        </w:rPr>
        <w:t>监督管理和法律责任</w:t>
      </w:r>
      <w:r>
        <w:rPr>
          <w:rFonts w:hint="eastAsia" w:ascii="仿宋" w:hAnsi="仿宋" w:eastAsia="仿宋" w:cs="仿宋"/>
          <w:sz w:val="32"/>
          <w:szCs w:val="32"/>
        </w:rPr>
        <w:t>。</w:t>
      </w:r>
    </w:p>
    <w:p w14:paraId="006E32DE">
      <w:pPr>
        <w:ind w:firstLine="640" w:firstLineChars="200"/>
        <w:rPr>
          <w:rFonts w:ascii="仿宋" w:hAnsi="仿宋" w:eastAsia="仿宋" w:cs="仿宋"/>
          <w:sz w:val="32"/>
          <w:szCs w:val="32"/>
        </w:rPr>
      </w:pPr>
      <w:r>
        <w:rPr>
          <w:rFonts w:hint="eastAsia" w:ascii="仿宋" w:hAnsi="仿宋" w:eastAsia="仿宋" w:cs="仿宋"/>
          <w:sz w:val="32"/>
          <w:szCs w:val="32"/>
        </w:rPr>
        <w:t>（一）在“</w:t>
      </w:r>
      <w:r>
        <w:rPr>
          <w:rFonts w:hint="eastAsia" w:ascii="仿宋" w:hAnsi="仿宋" w:eastAsia="仿宋" w:cs="仿宋"/>
          <w:sz w:val="32"/>
          <w:szCs w:val="32"/>
          <w:lang w:eastAsia="zh-CN"/>
        </w:rPr>
        <w:t>法律依据</w:t>
      </w:r>
      <w:r>
        <w:rPr>
          <w:rFonts w:hint="eastAsia" w:ascii="仿宋" w:hAnsi="仿宋" w:eastAsia="仿宋" w:cs="仿宋"/>
          <w:sz w:val="32"/>
          <w:szCs w:val="32"/>
        </w:rPr>
        <w:t>”一章中，主要明确了</w:t>
      </w:r>
      <w:r>
        <w:rPr>
          <w:rFonts w:hint="eastAsia" w:ascii="仿宋" w:hAnsi="仿宋" w:eastAsia="仿宋" w:cs="仿宋"/>
          <w:sz w:val="32"/>
          <w:szCs w:val="32"/>
          <w:lang w:eastAsia="zh-CN"/>
        </w:rPr>
        <w:t>本《规定》制定的上位法律和技术标准依据</w:t>
      </w:r>
      <w:r>
        <w:rPr>
          <w:rFonts w:hint="eastAsia" w:ascii="仿宋" w:hAnsi="仿宋" w:eastAsia="仿宋" w:cs="仿宋"/>
          <w:sz w:val="32"/>
          <w:szCs w:val="32"/>
        </w:rPr>
        <w:t>。</w:t>
      </w:r>
    </w:p>
    <w:p w14:paraId="6A73FF26">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（二）在“</w:t>
      </w:r>
      <w:r>
        <w:rPr>
          <w:rFonts w:hint="eastAsia" w:ascii="仿宋" w:hAnsi="仿宋" w:eastAsia="仿宋" w:cs="仿宋"/>
          <w:sz w:val="32"/>
          <w:szCs w:val="32"/>
          <w:lang w:eastAsia="zh-CN"/>
        </w:rPr>
        <w:t>噪声控制的规范要求</w:t>
      </w:r>
      <w:r>
        <w:rPr>
          <w:rFonts w:hint="eastAsia" w:ascii="仿宋" w:hAnsi="仿宋" w:eastAsia="仿宋" w:cs="仿宋"/>
          <w:sz w:val="32"/>
          <w:szCs w:val="32"/>
        </w:rPr>
        <w:t>”一章中，明确提出</w:t>
      </w:r>
      <w:r>
        <w:rPr>
          <w:rFonts w:hint="eastAsia" w:ascii="仿宋" w:hAnsi="仿宋" w:eastAsia="仿宋" w:cs="仿宋"/>
          <w:sz w:val="32"/>
          <w:szCs w:val="32"/>
          <w:lang w:eastAsia="zh-CN"/>
        </w:rPr>
        <w:t>社区公园公共场所噪声管理的规范</w:t>
      </w:r>
      <w:r>
        <w:rPr>
          <w:rFonts w:hint="eastAsia" w:ascii="仿宋" w:hAnsi="仿宋" w:eastAsia="仿宋" w:cs="仿宋"/>
          <w:sz w:val="32"/>
          <w:szCs w:val="32"/>
        </w:rPr>
        <w:t>要求。</w:t>
      </w:r>
      <w:r>
        <w:rPr>
          <w:rFonts w:hint="eastAsia" w:ascii="仿宋" w:hAnsi="仿宋" w:eastAsia="仿宋" w:cs="仿宋"/>
          <w:sz w:val="32"/>
          <w:szCs w:val="32"/>
          <w:lang w:eastAsia="zh-CN"/>
        </w:rPr>
        <w:t>规定</w:t>
      </w:r>
      <w:r>
        <w:rPr>
          <w:rFonts w:hint="eastAsia" w:ascii="仿宋" w:hAnsi="仿宋" w:eastAsia="仿宋" w:cs="仿宋"/>
          <w:sz w:val="32"/>
          <w:szCs w:val="32"/>
        </w:rPr>
        <w:t>中明确</w:t>
      </w:r>
      <w:r>
        <w:rPr>
          <w:rFonts w:hint="eastAsia" w:ascii="仿宋" w:hAnsi="仿宋" w:eastAsia="仿宋" w:cs="仿宋"/>
          <w:sz w:val="32"/>
          <w:szCs w:val="32"/>
          <w:lang w:eastAsia="zh-CN"/>
        </w:rPr>
        <w:t>任何团体和个人在公园内开展文化娱乐活动或需要使用音响器材的活动区域、音响器材使用时间、音量控制与音响管理要求和活动形式。其中，对音量控制与音响管理要求的规定参考了其他省区市相关规定中限制的音量数值与音响功率值，并结合区生态环境局提供的音量衰减理论计算、噪音毒理病理研究以及实地监测数值综合研判确定。</w:t>
      </w:r>
    </w:p>
    <w:p w14:paraId="2AAE1872">
      <w:pPr>
        <w:ind w:firstLine="640" w:firstLineChars="200"/>
        <w:rPr>
          <w:rFonts w:ascii="仿宋" w:hAnsi="仿宋" w:eastAsia="仿宋" w:cs="仿宋"/>
          <w:sz w:val="32"/>
          <w:szCs w:val="32"/>
        </w:rPr>
      </w:pPr>
      <w:r>
        <w:rPr>
          <w:rFonts w:hint="eastAsia" w:ascii="仿宋" w:hAnsi="仿宋" w:eastAsia="仿宋" w:cs="仿宋"/>
          <w:sz w:val="32"/>
          <w:szCs w:val="32"/>
        </w:rPr>
        <w:t>（三）在“</w:t>
      </w:r>
      <w:r>
        <w:rPr>
          <w:rFonts w:hint="eastAsia" w:ascii="仿宋" w:hAnsi="仿宋" w:eastAsia="仿宋" w:cs="仿宋"/>
          <w:sz w:val="32"/>
          <w:szCs w:val="32"/>
          <w:lang w:eastAsia="zh-CN"/>
        </w:rPr>
        <w:t>监督管理</w:t>
      </w:r>
      <w:r>
        <w:rPr>
          <w:rFonts w:hint="eastAsia" w:ascii="仿宋" w:hAnsi="仿宋" w:eastAsia="仿宋" w:cs="仿宋"/>
          <w:sz w:val="32"/>
          <w:szCs w:val="32"/>
        </w:rPr>
        <w:t>”一章中，提出了</w:t>
      </w:r>
      <w:r>
        <w:rPr>
          <w:rFonts w:hint="eastAsia" w:ascii="仿宋" w:hAnsi="仿宋" w:eastAsia="仿宋" w:cs="仿宋"/>
          <w:sz w:val="32"/>
          <w:szCs w:val="32"/>
          <w:lang w:eastAsia="zh-CN"/>
        </w:rPr>
        <w:t>长效监管、监督投诉的管理机制</w:t>
      </w:r>
      <w:r>
        <w:rPr>
          <w:rFonts w:hint="eastAsia" w:ascii="仿宋" w:hAnsi="仿宋" w:eastAsia="仿宋" w:cs="仿宋"/>
          <w:sz w:val="32"/>
          <w:szCs w:val="32"/>
        </w:rPr>
        <w:t>。</w:t>
      </w:r>
    </w:p>
    <w:p w14:paraId="1D1C8290">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（四）在“</w:t>
      </w:r>
      <w:r>
        <w:rPr>
          <w:rFonts w:hint="eastAsia" w:ascii="仿宋" w:hAnsi="仿宋" w:eastAsia="仿宋" w:cs="仿宋"/>
          <w:sz w:val="32"/>
          <w:szCs w:val="32"/>
          <w:lang w:eastAsia="zh-CN"/>
        </w:rPr>
        <w:t>法律责任</w:t>
      </w:r>
      <w:r>
        <w:rPr>
          <w:rFonts w:hint="eastAsia" w:ascii="仿宋" w:hAnsi="仿宋" w:eastAsia="仿宋" w:cs="仿宋"/>
          <w:sz w:val="32"/>
          <w:szCs w:val="32"/>
        </w:rPr>
        <w:t>”一章中，</w:t>
      </w:r>
      <w:r>
        <w:rPr>
          <w:rFonts w:hint="eastAsia" w:ascii="仿宋" w:hAnsi="仿宋" w:eastAsia="仿宋" w:cs="仿宋"/>
          <w:sz w:val="32"/>
          <w:szCs w:val="32"/>
          <w:lang w:eastAsia="zh-CN"/>
        </w:rPr>
        <w:t>依据上位法条，明确相关违反规定行为的处罚部门及法律责任。</w:t>
      </w:r>
    </w:p>
    <w:p w14:paraId="5C8252C6">
      <w:pPr>
        <w:ind w:firstLine="640" w:firstLineChars="200"/>
        <w:rPr>
          <w:rFonts w:hint="eastAsia" w:ascii="仿宋" w:hAnsi="仿宋" w:eastAsia="仿宋" w:cs="仿宋"/>
          <w:sz w:val="32"/>
          <w:szCs w:val="32"/>
          <w:lang w:eastAsia="zh-CN"/>
        </w:rPr>
      </w:pPr>
    </w:p>
    <w:p w14:paraId="184340C3">
      <w:pPr>
        <w:ind w:firstLine="640" w:firstLineChars="200"/>
        <w:rPr>
          <w:rFonts w:hint="eastAsia" w:ascii="仿宋" w:hAnsi="仿宋" w:eastAsia="仿宋" w:cs="仿宋"/>
          <w:sz w:val="32"/>
          <w:szCs w:val="32"/>
        </w:rPr>
      </w:pPr>
    </w:p>
    <w:p w14:paraId="6F6C5294">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通州区园林绿化局</w:t>
      </w:r>
      <w:r>
        <w:rPr>
          <w:rFonts w:hint="eastAsia" w:ascii="仿宋" w:hAnsi="仿宋" w:eastAsia="仿宋" w:cs="仿宋"/>
          <w:sz w:val="32"/>
          <w:szCs w:val="32"/>
        </w:rPr>
        <w:t xml:space="preserve"> </w:t>
      </w:r>
    </w:p>
    <w:p w14:paraId="273F7176">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2024年7月</w:t>
      </w:r>
      <w:r>
        <w:rPr>
          <w:rFonts w:hint="eastAsia" w:ascii="仿宋" w:hAnsi="仿宋" w:eastAsia="仿宋" w:cs="仿宋"/>
          <w:sz w:val="32"/>
          <w:szCs w:val="32"/>
          <w:lang w:val="en-US" w:eastAsia="zh-CN"/>
        </w:rPr>
        <w:t>24</w:t>
      </w:r>
      <w:r>
        <w:rPr>
          <w:rFonts w:hint="eastAsia" w:ascii="仿宋" w:hAnsi="仿宋" w:eastAsia="仿宋" w:cs="仿宋"/>
          <w:sz w:val="32"/>
          <w:szCs w:val="32"/>
        </w:rPr>
        <w:t>日</w:t>
      </w:r>
    </w:p>
    <w:p w14:paraId="0B22097F">
      <w:pPr>
        <w:ind w:firstLine="640" w:firstLineChars="200"/>
        <w:rPr>
          <w:rFonts w:hint="eastAsia"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t.祯畴_x0007_.">
    <w:altName w:val="仿宋"/>
    <w:panose1 w:val="00000000000000000000"/>
    <w:charset w:val="86"/>
    <w:family w:val="roma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276732"/>
    </w:sdtPr>
    <w:sdtContent>
      <w:p w14:paraId="06B9B54A">
        <w:pPr>
          <w:pStyle w:val="3"/>
          <w:jc w:val="center"/>
        </w:pPr>
        <w:r>
          <w:fldChar w:fldCharType="begin"/>
        </w:r>
        <w:r>
          <w:instrText xml:space="preserve">PAGE   \* MERGEFORMAT</w:instrText>
        </w:r>
        <w:r>
          <w:fldChar w:fldCharType="separate"/>
        </w:r>
        <w:r>
          <w:rPr>
            <w:lang w:val="zh-CN"/>
          </w:rPr>
          <w:t>2</w:t>
        </w:r>
        <w:r>
          <w:fldChar w:fldCharType="end"/>
        </w:r>
      </w:p>
    </w:sdtContent>
  </w:sdt>
  <w:p w14:paraId="4D95692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YzFhMGNiNWM4NTJmYjVlYjgyODg0ZDA5YWE1YTMifQ=="/>
  </w:docVars>
  <w:rsids>
    <w:rsidRoot w:val="00C827F0"/>
    <w:rsid w:val="00067469"/>
    <w:rsid w:val="000A122C"/>
    <w:rsid w:val="00122D9C"/>
    <w:rsid w:val="001B3F79"/>
    <w:rsid w:val="002F5E8C"/>
    <w:rsid w:val="00320DCC"/>
    <w:rsid w:val="004C3144"/>
    <w:rsid w:val="00532B8E"/>
    <w:rsid w:val="00567AF6"/>
    <w:rsid w:val="00584DF5"/>
    <w:rsid w:val="006A57A1"/>
    <w:rsid w:val="00716795"/>
    <w:rsid w:val="00760E72"/>
    <w:rsid w:val="0076715E"/>
    <w:rsid w:val="007A4192"/>
    <w:rsid w:val="008A72D2"/>
    <w:rsid w:val="00926D6B"/>
    <w:rsid w:val="00940188"/>
    <w:rsid w:val="009627FC"/>
    <w:rsid w:val="00980203"/>
    <w:rsid w:val="00A15AE2"/>
    <w:rsid w:val="00A50C06"/>
    <w:rsid w:val="00C53A64"/>
    <w:rsid w:val="00C70E07"/>
    <w:rsid w:val="00C827F0"/>
    <w:rsid w:val="00DD3AFE"/>
    <w:rsid w:val="00DE7AE7"/>
    <w:rsid w:val="00E60251"/>
    <w:rsid w:val="00E907EC"/>
    <w:rsid w:val="00E936EE"/>
    <w:rsid w:val="00EA4581"/>
    <w:rsid w:val="00F03C0A"/>
    <w:rsid w:val="00F2466D"/>
    <w:rsid w:val="00F356FF"/>
    <w:rsid w:val="045361E9"/>
    <w:rsid w:val="06724319"/>
    <w:rsid w:val="079D00E8"/>
    <w:rsid w:val="0815142E"/>
    <w:rsid w:val="086364A9"/>
    <w:rsid w:val="08785B24"/>
    <w:rsid w:val="08F5542B"/>
    <w:rsid w:val="09233711"/>
    <w:rsid w:val="0925201E"/>
    <w:rsid w:val="09C8402D"/>
    <w:rsid w:val="09D315BE"/>
    <w:rsid w:val="0A7F331F"/>
    <w:rsid w:val="0BD315CD"/>
    <w:rsid w:val="0C8C124E"/>
    <w:rsid w:val="0F85232A"/>
    <w:rsid w:val="1040260B"/>
    <w:rsid w:val="12D51306"/>
    <w:rsid w:val="13CD3D50"/>
    <w:rsid w:val="17BA0877"/>
    <w:rsid w:val="18D05514"/>
    <w:rsid w:val="1A4112C8"/>
    <w:rsid w:val="1AE23BE7"/>
    <w:rsid w:val="1AF73578"/>
    <w:rsid w:val="1AFA26B5"/>
    <w:rsid w:val="1CB00B8A"/>
    <w:rsid w:val="1DB85F71"/>
    <w:rsid w:val="1E242ED9"/>
    <w:rsid w:val="1E881D78"/>
    <w:rsid w:val="1F6929AE"/>
    <w:rsid w:val="1FCF1EA2"/>
    <w:rsid w:val="212272F5"/>
    <w:rsid w:val="222D4E5D"/>
    <w:rsid w:val="25343862"/>
    <w:rsid w:val="26071CBA"/>
    <w:rsid w:val="2819681F"/>
    <w:rsid w:val="299031D0"/>
    <w:rsid w:val="2B342E3C"/>
    <w:rsid w:val="2CB84A9A"/>
    <w:rsid w:val="2D855BBA"/>
    <w:rsid w:val="2E073AE7"/>
    <w:rsid w:val="2EDC6BCE"/>
    <w:rsid w:val="2FE824EC"/>
    <w:rsid w:val="302754DF"/>
    <w:rsid w:val="30703C04"/>
    <w:rsid w:val="30AE7748"/>
    <w:rsid w:val="31D92B6E"/>
    <w:rsid w:val="351527CE"/>
    <w:rsid w:val="3663106A"/>
    <w:rsid w:val="377817D0"/>
    <w:rsid w:val="37BA5BD7"/>
    <w:rsid w:val="3EA0725E"/>
    <w:rsid w:val="3EEE7C80"/>
    <w:rsid w:val="3FC123E0"/>
    <w:rsid w:val="42E70C2B"/>
    <w:rsid w:val="43C45CE0"/>
    <w:rsid w:val="44323195"/>
    <w:rsid w:val="444A7A8D"/>
    <w:rsid w:val="46783CCB"/>
    <w:rsid w:val="468157BF"/>
    <w:rsid w:val="476D1314"/>
    <w:rsid w:val="47890054"/>
    <w:rsid w:val="47ED4FAF"/>
    <w:rsid w:val="47F77CB2"/>
    <w:rsid w:val="49502B1A"/>
    <w:rsid w:val="495A1346"/>
    <w:rsid w:val="49F54431"/>
    <w:rsid w:val="4D3A6EC0"/>
    <w:rsid w:val="4FAC5B28"/>
    <w:rsid w:val="4FD47272"/>
    <w:rsid w:val="4FE278BE"/>
    <w:rsid w:val="512A0E23"/>
    <w:rsid w:val="51FA7C52"/>
    <w:rsid w:val="5237681F"/>
    <w:rsid w:val="535F61E5"/>
    <w:rsid w:val="5399064A"/>
    <w:rsid w:val="53C645FD"/>
    <w:rsid w:val="53DC79AE"/>
    <w:rsid w:val="55645E99"/>
    <w:rsid w:val="5869252A"/>
    <w:rsid w:val="5AF27614"/>
    <w:rsid w:val="5B1F3434"/>
    <w:rsid w:val="5C682777"/>
    <w:rsid w:val="5D032261"/>
    <w:rsid w:val="5D2301BA"/>
    <w:rsid w:val="5D582553"/>
    <w:rsid w:val="5F2C6D42"/>
    <w:rsid w:val="60EA7EF5"/>
    <w:rsid w:val="62564F80"/>
    <w:rsid w:val="62D80B1D"/>
    <w:rsid w:val="68090F90"/>
    <w:rsid w:val="68BA43D6"/>
    <w:rsid w:val="6A397D4C"/>
    <w:rsid w:val="6B8375B0"/>
    <w:rsid w:val="6DCD6A34"/>
    <w:rsid w:val="6E273830"/>
    <w:rsid w:val="70CD5E6E"/>
    <w:rsid w:val="717C0049"/>
    <w:rsid w:val="74FA7B62"/>
    <w:rsid w:val="75AE18E5"/>
    <w:rsid w:val="76730D73"/>
    <w:rsid w:val="76F553E3"/>
    <w:rsid w:val="784427F1"/>
    <w:rsid w:val="78504D79"/>
    <w:rsid w:val="79291015"/>
    <w:rsid w:val="799966A9"/>
    <w:rsid w:val="7B082877"/>
    <w:rsid w:val="7B3B71D8"/>
    <w:rsid w:val="7B71752D"/>
    <w:rsid w:val="7B761354"/>
    <w:rsid w:val="7BB522B8"/>
    <w:rsid w:val="7C6F4D02"/>
    <w:rsid w:val="7CAE70EB"/>
    <w:rsid w:val="7DC01A8B"/>
    <w:rsid w:val="7E5C2204"/>
    <w:rsid w:val="7ED65CBE"/>
    <w:rsid w:val="FF7D0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heme="minorHAnsi" w:hAnsiTheme="minorHAnsi" w:eastAsiaTheme="minorEastAsia" w:cstheme="minorBidi"/>
      <w:kern w:val="2"/>
      <w:sz w:val="18"/>
      <w:szCs w:val="18"/>
    </w:rPr>
  </w:style>
  <w:style w:type="character" w:customStyle="1" w:styleId="8">
    <w:name w:val="页脚 Char"/>
    <w:basedOn w:val="6"/>
    <w:link w:val="3"/>
    <w:qFormat/>
    <w:uiPriority w:val="99"/>
    <w:rPr>
      <w:rFonts w:asciiTheme="minorHAnsi" w:hAnsiTheme="minorHAnsi" w:eastAsiaTheme="minorEastAsia" w:cstheme="minorBidi"/>
      <w:kern w:val="2"/>
      <w:sz w:val="18"/>
      <w:szCs w:val="18"/>
    </w:rPr>
  </w:style>
  <w:style w:type="character" w:customStyle="1" w:styleId="9">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618</Words>
  <Characters>623</Characters>
  <Lines>8</Lines>
  <Paragraphs>2</Paragraphs>
  <TotalTime>5</TotalTime>
  <ScaleCrop>false</ScaleCrop>
  <LinksUpToDate>false</LinksUpToDate>
  <CharactersWithSpaces>681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2024-07-17T17:09:00Z</dcterms:created>
  <dc:creator>Lenovo</dc:creator>
  <cp:lastModifiedBy>孙彤</cp:lastModifiedBy>
  <cp:lastPrinted>2024-07-24T17:36:00Z</cp:lastPrinted>
  <dcterms:modified xsi:type="dcterms:W3CDTF">2026-03-05T08:50:43Z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C4950B2BF78C40BE97B27CC982185AD0_12</vt:lpwstr>
  </property>
</Properties>
</file>