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北京市中关村科技园区通州园加强和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优化科创金融供给服务企业创新发展的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若干措施（试行）</w:t>
      </w:r>
      <w:r>
        <w:rPr>
          <w:rFonts w:hint="eastAsia" w:ascii="方正小标宋简体" w:hAnsi="方正小标宋简体" w:eastAsia="方正小标宋简体" w:cs="方正小标宋简体"/>
          <w:sz w:val="44"/>
          <w:szCs w:val="44"/>
          <w:lang w:eastAsia="zh-CN"/>
        </w:rPr>
        <w:t>》的起草说明</w:t>
      </w:r>
    </w:p>
    <w:bookmarkEnd w:id="0"/>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中国人民银行等九部委印发《北京市中关村国家自主创新示范区建设科创金融改革试验区总体方案》（银发〔2023〕98号），北京市人民政府办公厅印发《北京市中关村国家自主创新示范区建设科创金融改革试验区实施方案》（京政办发〔2023〕23号），从中央及市级层面指导中关村开展科创金融改革服务及提升工作。2024年，中关村通州园管委会印发《中关村科技园区通州园改革提升方案》，亦提出“构建企业全生命周期金融服务体系”改革任务。为更好贯彻落实中央部委、北京市及通州区相关工作部署，构建中央、市、区三级梯度衔接、协同推进的政策体系，打造以科创金融服务为特色的通州园产业发展生态，引导金融资本与产业资本高效协同，有效支撑通州园产业招商及企业服务工作，我委研究起草了《北京市中关村科技园区通州园加强和优化科创金融供给服务企业创新发展的若干措施（试行）》（以下简称《若干措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二、主要考虑</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《若干措施》</w:t>
      </w:r>
      <w:r>
        <w:rPr>
          <w:rFonts w:hint="eastAsia" w:ascii="仿宋_GB2312" w:hAnsi="仿宋_GB2312" w:eastAsia="仿宋_GB2312" w:cs="仿宋_GB2312"/>
          <w:sz w:val="32"/>
          <w:szCs w:val="32"/>
          <w:lang w:val="en-US" w:eastAsia="zh-CN"/>
        </w:rPr>
        <w:t>聚焦提升科创金融服务功能，通过风险补偿、担保代偿、保费补贴、融资补助、债券贴息、并购支持、投资奖励等措施，降低企业获取金融服务交易成本，畅通金融服务实体经济市场渠道，引导金融机构为通州园企业提供“全周期、全链条、多元化、接力式”服务。在起草过程中，结合园区职能做好与现行政策的衔接：</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深入研究</w:t>
      </w:r>
      <w:r>
        <w:rPr>
          <w:rFonts w:hint="eastAsia" w:ascii="仿宋_GB2312" w:hAnsi="仿宋_GB2312" w:eastAsia="仿宋_GB2312" w:cs="仿宋_GB2312"/>
          <w:sz w:val="32"/>
          <w:szCs w:val="32"/>
          <w:lang w:val="en-US" w:eastAsia="zh-CN"/>
        </w:rPr>
        <w:t>中关村“1+5”、通州区“26条”政策，起草措施均是北京市、通州区已出台政策中未提及或支持力度较弱的领域，从而形成差异化政策优势；</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找准通州园发展定位</w:t>
      </w:r>
      <w:r>
        <w:rPr>
          <w:rFonts w:hint="eastAsia" w:ascii="仿宋_GB2312" w:hAnsi="仿宋_GB2312" w:eastAsia="仿宋_GB2312" w:cs="仿宋_GB2312"/>
          <w:sz w:val="32"/>
          <w:szCs w:val="32"/>
          <w:lang w:val="en-US" w:eastAsia="zh-CN"/>
        </w:rPr>
        <w:t>，大力引导金融资源</w:t>
      </w:r>
      <w:r>
        <w:rPr>
          <w:rFonts w:hint="default"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val="en-US" w:eastAsia="zh-CN"/>
        </w:rPr>
        <w:t>通州园</w:t>
      </w:r>
      <w:r>
        <w:rPr>
          <w:rFonts w:hint="default" w:ascii="仿宋_GB2312" w:hAnsi="仿宋_GB2312" w:eastAsia="仿宋_GB2312" w:cs="仿宋_GB2312"/>
          <w:sz w:val="32"/>
          <w:szCs w:val="32"/>
          <w:lang w:eastAsia="zh-CN"/>
        </w:rPr>
        <w:t>科创</w:t>
      </w:r>
      <w:r>
        <w:rPr>
          <w:rFonts w:hint="eastAsia" w:ascii="仿宋_GB2312" w:hAnsi="仿宋_GB2312" w:eastAsia="仿宋_GB2312" w:cs="仿宋_GB2312"/>
          <w:sz w:val="32"/>
          <w:szCs w:val="32"/>
          <w:lang w:eastAsia="zh-CN"/>
        </w:rPr>
        <w:t>企业生产经营</w:t>
      </w:r>
      <w:r>
        <w:rPr>
          <w:rFonts w:hint="eastAsia" w:ascii="仿宋_GB2312" w:hAnsi="仿宋_GB2312" w:eastAsia="仿宋_GB2312" w:cs="仿宋_GB2312"/>
          <w:sz w:val="32"/>
          <w:szCs w:val="32"/>
          <w:lang w:val="en-US" w:eastAsia="zh-CN"/>
        </w:rPr>
        <w:t>活动，对能有效支持企业发展的金融服务均给予相应支持；</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聚焦问题</w:t>
      </w:r>
      <w:r>
        <w:rPr>
          <w:rFonts w:hint="eastAsia" w:ascii="仿宋_GB2312" w:hAnsi="仿宋_GB2312" w:eastAsia="仿宋_GB2312" w:cs="仿宋_GB2312"/>
          <w:sz w:val="32"/>
          <w:szCs w:val="32"/>
          <w:lang w:val="en-US" w:eastAsia="zh-CN"/>
        </w:rPr>
        <w:t>，针对当前企业融资过程中的难点事项和痛点环节精准发力，力求通过有为有度的政府支持，助力企业更好发展。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支持科技研发类贷款产品创新。通过建立科创贷款风险补偿机制，鼓</w:t>
      </w:r>
      <w:r>
        <w:rPr>
          <w:rFonts w:hint="eastAsia" w:ascii="仿宋_GB2312" w:hAnsi="仿宋_GB2312" w:eastAsia="仿宋_GB2312" w:cs="仿宋_GB2312"/>
          <w:sz w:val="32"/>
          <w:szCs w:val="32"/>
        </w:rPr>
        <w:t>励银行</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开发、办理面向各类科创主体的信贷</w:t>
      </w: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eastAsia="zh-CN"/>
        </w:rPr>
        <w:t>提升金融授信产品与科技研发融资需求适配度。</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val="en-US" w:eastAsia="zh-CN"/>
        </w:rPr>
        <w:t>鼓励开展各类贷款增信业务。支持各类市场主体加大对通州园科技创新型企业的融资增信力度。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推动保险支持特色优势产业集群发展。鼓励保险机构聚焦数字经济、先进制造领域开发各类有利于保障科技创新活动的科创保险产品。</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鼓励应用股债联动、认股权贷款及各类私募金融产品。</w:t>
      </w:r>
      <w:r>
        <w:rPr>
          <w:rFonts w:hint="eastAsia" w:ascii="仿宋_GB2312" w:hAnsi="仿宋_GB2312" w:eastAsia="仿宋_GB2312" w:cs="仿宋_GB2312"/>
          <w:sz w:val="32"/>
          <w:szCs w:val="32"/>
          <w:lang w:eastAsia="zh-CN"/>
        </w:rPr>
        <w:t>支持科创企业以融资为目的通过合规渠道依法应用私募股票、私募债、认股权等私募金融产品，</w:t>
      </w:r>
      <w:r>
        <w:rPr>
          <w:rFonts w:hint="eastAsia" w:ascii="仿宋_GB2312" w:hAnsi="仿宋_GB2312" w:eastAsia="仿宋_GB2312" w:cs="仿宋_GB2312"/>
          <w:sz w:val="32"/>
          <w:szCs w:val="32"/>
          <w:lang w:val="en-US" w:eastAsia="zh-CN"/>
        </w:rPr>
        <w:t>推动成立通州园科创产业接力基金，</w:t>
      </w:r>
      <w:r>
        <w:rPr>
          <w:rFonts w:hint="eastAsia" w:ascii="仿宋_GB2312" w:hAnsi="仿宋_GB2312" w:eastAsia="仿宋_GB2312" w:cs="仿宋_GB2312"/>
          <w:sz w:val="32"/>
          <w:szCs w:val="32"/>
          <w:lang w:eastAsia="zh-CN"/>
        </w:rPr>
        <w:t>支持企业</w:t>
      </w:r>
      <w:r>
        <w:rPr>
          <w:rFonts w:hint="eastAsia" w:ascii="仿宋_GB2312" w:hAnsi="仿宋_GB2312" w:eastAsia="仿宋_GB2312" w:cs="仿宋_GB2312"/>
          <w:sz w:val="32"/>
          <w:szCs w:val="32"/>
        </w:rPr>
        <w:t>开展认股权、股权激励</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员工持股计划登记存证</w:t>
      </w:r>
      <w:r>
        <w:rPr>
          <w:rFonts w:hint="eastAsia" w:ascii="仿宋_GB2312" w:hAnsi="仿宋_GB2312" w:eastAsia="仿宋_GB2312" w:cs="仿宋_GB2312"/>
          <w:sz w:val="32"/>
          <w:szCs w:val="32"/>
          <w:lang w:eastAsia="zh-CN"/>
        </w:rPr>
        <w:t>等业务，构建通州园企业权益资产投资池。</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b w:val="0"/>
          <w:bCs w:val="0"/>
          <w:sz w:val="32"/>
          <w:szCs w:val="32"/>
          <w:lang w:eastAsia="zh-CN"/>
        </w:rPr>
        <w:t>助力科技创新型企业利用资本市场融资。</w:t>
      </w:r>
      <w:r>
        <w:rPr>
          <w:rFonts w:hint="eastAsia" w:ascii="仿宋_GB2312" w:hAnsi="仿宋_GB2312" w:eastAsia="仿宋_GB2312" w:cs="仿宋_GB2312"/>
          <w:sz w:val="32"/>
          <w:szCs w:val="32"/>
          <w:lang w:eastAsia="zh-CN"/>
        </w:rPr>
        <w:t>支持符合条件的企业在沪深交易所、北交所、新三板、北京股权交易中心上市、挂牌、发债。</w:t>
      </w: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b w:val="0"/>
          <w:bCs w:val="0"/>
          <w:sz w:val="32"/>
          <w:szCs w:val="32"/>
          <w:lang w:eastAsia="zh-CN"/>
        </w:rPr>
        <w:t>支持企业开展具有商业实质的并购重组活动。</w:t>
      </w:r>
      <w:r>
        <w:rPr>
          <w:rFonts w:hint="eastAsia" w:ascii="仿宋_GB2312" w:hAnsi="仿宋_GB2312" w:eastAsia="仿宋_GB2312" w:cs="仿宋_GB2312"/>
          <w:sz w:val="32"/>
          <w:szCs w:val="32"/>
          <w:lang w:eastAsia="zh-CN"/>
        </w:rPr>
        <w:t>鼓励通州园企业、上市公司及控股股东等设立并购基金，引导金融机构围绕并购重组提供</w:t>
      </w:r>
      <w:r>
        <w:rPr>
          <w:rFonts w:hint="default" w:ascii="仿宋_GB2312" w:hAnsi="仿宋_GB2312" w:eastAsia="仿宋_GB2312" w:cs="仿宋_GB2312"/>
          <w:sz w:val="32"/>
          <w:szCs w:val="32"/>
          <w:lang w:eastAsia="zh-CN"/>
        </w:rPr>
        <w:t>股债</w:t>
      </w:r>
      <w:r>
        <w:rPr>
          <w:rFonts w:hint="eastAsia" w:ascii="仿宋_GB2312" w:hAnsi="仿宋_GB2312" w:eastAsia="仿宋_GB2312" w:cs="仿宋_GB2312"/>
          <w:sz w:val="32"/>
          <w:szCs w:val="32"/>
          <w:lang w:eastAsia="zh-CN"/>
        </w:rPr>
        <w:t>联动、并购贷款、保险资管计划等综合支持和创新服务。</w:t>
      </w:r>
      <w:r>
        <w:rPr>
          <w:rFonts w:hint="eastAsia" w:ascii="仿宋_GB2312" w:hAnsi="仿宋_GB2312" w:eastAsia="仿宋_GB2312" w:cs="仿宋_GB2312"/>
          <w:b/>
          <w:bCs/>
          <w:sz w:val="32"/>
          <w:szCs w:val="32"/>
          <w:lang w:eastAsia="zh-CN"/>
        </w:rPr>
        <w:t>七是</w:t>
      </w:r>
      <w:r>
        <w:rPr>
          <w:rFonts w:hint="eastAsia" w:ascii="仿宋_GB2312" w:hAnsi="仿宋_GB2312" w:eastAsia="仿宋_GB2312" w:cs="仿宋_GB2312"/>
          <w:sz w:val="32"/>
          <w:szCs w:val="32"/>
          <w:lang w:eastAsia="zh-CN"/>
        </w:rPr>
        <w:t>支持长期资本“投早”“投小”“投科技”。引导金融机构为种子期、初创期科技创新型企业提供灵活多样的创业投资、担保增信、供应链融资等的金融产品。</w:t>
      </w:r>
      <w:r>
        <w:rPr>
          <w:rFonts w:hint="eastAsia" w:ascii="仿宋_GB2312" w:hAnsi="仿宋_GB2312" w:eastAsia="仿宋_GB2312" w:cs="仿宋_GB2312"/>
          <w:b/>
          <w:bCs/>
          <w:sz w:val="32"/>
          <w:szCs w:val="32"/>
          <w:lang w:eastAsia="zh-CN"/>
        </w:rPr>
        <w:t>八是</w:t>
      </w:r>
      <w:r>
        <w:rPr>
          <w:rFonts w:hint="eastAsia" w:ascii="仿宋_GB2312" w:hAnsi="仿宋_GB2312" w:eastAsia="仿宋_GB2312" w:cs="仿宋_GB2312"/>
          <w:sz w:val="32"/>
          <w:szCs w:val="32"/>
          <w:lang w:eastAsia="zh-CN"/>
        </w:rPr>
        <w:t>引导科创金融专营机构发展。支持银行、保险等机构在通州园设立</w:t>
      </w:r>
      <w:r>
        <w:rPr>
          <w:rFonts w:hint="eastAsia" w:ascii="仿宋_GB2312" w:hAnsi="仿宋_GB2312" w:eastAsia="仿宋_GB2312" w:cs="仿宋_GB2312"/>
          <w:sz w:val="32"/>
          <w:szCs w:val="32"/>
        </w:rPr>
        <w:t>专注服务科技创新型企业的专营组织机构，加大</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科创</w:t>
      </w:r>
      <w:r>
        <w:rPr>
          <w:rFonts w:hint="eastAsia" w:ascii="仿宋_GB2312" w:hAnsi="仿宋_GB2312" w:eastAsia="仿宋_GB2312" w:cs="仿宋_GB2312"/>
          <w:sz w:val="32"/>
          <w:szCs w:val="32"/>
          <w:lang w:eastAsia="zh-CN"/>
        </w:rPr>
        <w:t>企业的服务</w:t>
      </w:r>
      <w:r>
        <w:rPr>
          <w:rFonts w:hint="eastAsia" w:ascii="仿宋_GB2312" w:hAnsi="仿宋_GB2312" w:eastAsia="仿宋_GB2312" w:cs="仿宋_GB2312"/>
          <w:sz w:val="32"/>
          <w:szCs w:val="32"/>
        </w:rPr>
        <w:t>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九是</w:t>
      </w:r>
      <w:r>
        <w:rPr>
          <w:rFonts w:hint="eastAsia" w:ascii="仿宋_GB2312" w:hAnsi="仿宋_GB2312" w:eastAsia="仿宋_GB2312" w:cs="仿宋_GB2312"/>
          <w:sz w:val="32"/>
          <w:szCs w:val="32"/>
          <w:lang w:eastAsia="zh-CN"/>
        </w:rPr>
        <w:t>建立中关村通州园科创金融产品矩阵。</w:t>
      </w:r>
      <w:r>
        <w:rPr>
          <w:rFonts w:hint="eastAsia" w:ascii="仿宋_GB2312" w:hAnsi="仿宋_GB2312" w:eastAsia="仿宋_GB2312" w:cs="仿宋_GB2312"/>
          <w:b w:val="0"/>
          <w:bCs w:val="0"/>
          <w:sz w:val="32"/>
          <w:szCs w:val="32"/>
          <w:lang w:eastAsia="zh-CN"/>
        </w:rPr>
        <w:t>支持金融企业、投资机构在通州园发布、试点新产品和新服务，提供个性化投融资解决方案，丰富企业金融服务选择范围，解决行业痛点问题。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sectPr>
      <w:footerReference r:id="rId3"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uQtjrMAQAAiA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LtrlTjG+OCRqv7DK3UwtkBrZoXEX&#10;XS6rmffpsV+qHn6g7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W5C2OswBAACIAwAADgAA&#10;AAAAAAABACAAAAA0AQAAZHJzL2Uyb0RvYy54bWxQSwUGAAAAAAYABgBZAQAAcgUAAAAA&#10;">
              <v:fill on="f" focussize="0,0"/>
              <v:stroke on="f"/>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8BED"/>
    <w:multiLevelType w:val="singleLevel"/>
    <w:tmpl w:val="FFFA8BE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D5F6E"/>
    <w:rsid w:val="1CE76905"/>
    <w:rsid w:val="3C7B3D52"/>
    <w:rsid w:val="3FDF2EE9"/>
    <w:rsid w:val="3FEAFCA9"/>
    <w:rsid w:val="56BB01A9"/>
    <w:rsid w:val="58A5E3A3"/>
    <w:rsid w:val="5FA910BA"/>
    <w:rsid w:val="67CFBE48"/>
    <w:rsid w:val="6BFF69A9"/>
    <w:rsid w:val="6E7ED556"/>
    <w:rsid w:val="6FDDB0E8"/>
    <w:rsid w:val="75FFF2C5"/>
    <w:rsid w:val="777FCDA6"/>
    <w:rsid w:val="77EF3797"/>
    <w:rsid w:val="7EFF48FD"/>
    <w:rsid w:val="7F9687BB"/>
    <w:rsid w:val="7F9FF9A1"/>
    <w:rsid w:val="7FDD5F6E"/>
    <w:rsid w:val="7FFF79A8"/>
    <w:rsid w:val="8B578080"/>
    <w:rsid w:val="ABEF640B"/>
    <w:rsid w:val="AEFFB8BF"/>
    <w:rsid w:val="C76EB657"/>
    <w:rsid w:val="D7BA01C5"/>
    <w:rsid w:val="DAFF4738"/>
    <w:rsid w:val="DDDFCA51"/>
    <w:rsid w:val="E6F312C3"/>
    <w:rsid w:val="EBBF81B9"/>
    <w:rsid w:val="ECABD244"/>
    <w:rsid w:val="F76F3074"/>
    <w:rsid w:val="F8759001"/>
    <w:rsid w:val="FBFD583B"/>
    <w:rsid w:val="FEFE7A66"/>
    <w:rsid w:val="FF7FAA16"/>
    <w:rsid w:val="FFF63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ind w:left="3360" w:leftChars="1600" w:firstLine="420" w:firstLineChars="200"/>
      <w:jc w:val="left"/>
    </w:p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Body Text 2"/>
    <w:basedOn w:val="1"/>
    <w:unhideWhenUsed/>
    <w:qFormat/>
    <w:uiPriority w:val="0"/>
    <w:pPr>
      <w:spacing w:line="360" w:lineRule="auto"/>
      <w:ind w:firstLine="200" w:firstLineChars="200"/>
    </w:pPr>
    <w:rPr>
      <w:rFonts w:eastAsia="楷体_GB2312"/>
      <w:sz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footnote text"/>
    <w:basedOn w:val="1"/>
    <w:unhideWhenUsed/>
    <w:qFormat/>
    <w:uiPriority w:val="0"/>
    <w:pPr>
      <w:snapToGrid w:val="0"/>
      <w:jc w:val="left"/>
    </w:pPr>
    <w:rPr>
      <w:sz w:val="18"/>
      <w:szCs w:val="18"/>
    </w:rPr>
  </w:style>
  <w:style w:type="paragraph" w:styleId="8">
    <w:name w:val="Body Text First Indent"/>
    <w:basedOn w:val="4"/>
    <w:next w:val="1"/>
    <w:qFormat/>
    <w:uiPriority w:val="0"/>
    <w:pPr>
      <w:spacing w:beforeAutospacing="1" w:after="100" w:afterAutospacing="1"/>
      <w:ind w:left="1548" w:firstLine="420" w:firstLineChars="100"/>
    </w:pPr>
    <w:rPr>
      <w:kern w:val="0"/>
      <w:sz w:val="20"/>
      <w:szCs w:val="20"/>
    </w:rPr>
  </w:style>
  <w:style w:type="character" w:styleId="11">
    <w:name w:val="footnote reference"/>
    <w:basedOn w:val="10"/>
    <w:unhideWhenUsed/>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2024-07-20T01:25:00Z</dcterms:created>
  <dc:creator>user</dc:creator>
  <cp:lastModifiedBy>user</cp:lastModifiedBy>
  <dcterms:modified xsi:type="dcterms:W3CDTF">2024-07-25T10:30:15Z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